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Earliest Event reported): July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National Vision Holdings,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001-38257</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46-4841717</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00" w:space="720"/>
            <w:col w:w="2860" w:space="720"/>
            <w:col w:w="3120"/>
          </w:cols>
          <w:pgMar w:left="240" w:top="670" w:right="2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(770) 822-3600</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(Address, including zip code, and telephone number,</w:t>
      </w:r>
    </w:p>
    <w:p>
      <w:pPr>
        <w:spacing w:after="0" w:line="21" w:lineRule="exact"/>
        <w:rPr>
          <w:sz w:val="24"/>
          <w:szCs w:val="24"/>
          <w:color w:val="auto"/>
        </w:rPr>
      </w:pPr>
    </w:p>
    <w:p>
      <w:pPr>
        <w:ind w:left="3340"/>
        <w:spacing w:after="0"/>
        <w:rPr>
          <w:sz w:val="20"/>
          <w:szCs w:val="20"/>
          <w:color w:val="auto"/>
        </w:rPr>
      </w:pPr>
      <w:r>
        <w:rPr>
          <w:rFonts w:ascii="Arial" w:cs="Arial" w:eastAsia="Arial" w:hAnsi="Arial"/>
          <w:sz w:val="16"/>
          <w:szCs w:val="16"/>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type w:val="continuous"/>
        </w:sectPr>
      </w:pPr>
    </w:p>
    <w:p>
      <w:pPr>
        <w:spacing w:after="0" w:line="38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2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45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37"/>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$0.01 per share</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EYE</w:t>
            </w:r>
          </w:p>
        </w:tc>
        <w:tc>
          <w:tcPr>
            <w:tcW w:w="4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Nasdaq</w:t>
            </w:r>
          </w:p>
        </w:tc>
      </w:tr>
      <w:tr>
        <w:trPr>
          <w:trHeight w:val="27"/>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84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48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r>
      <w:tr>
        <w:trPr>
          <w:trHeight w:val="365"/>
        </w:trPr>
        <w:tc>
          <w:tcPr>
            <w:tcW w:w="11420" w:type="dxa"/>
            <w:vAlign w:val="bottom"/>
            <w:gridSpan w:val="3"/>
          </w:tcPr>
          <w:p>
            <w:pPr>
              <w:ind w:left="66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r>
      <w:tr>
        <w:trPr>
          <w:trHeight w:val="283"/>
        </w:trPr>
        <w:tc>
          <w:tcPr>
            <w:tcW w:w="7640" w:type="dxa"/>
            <w:vAlign w:val="bottom"/>
            <w:gridSpan w:val="2"/>
          </w:tcPr>
          <w:p>
            <w:pPr>
              <w:spacing w:after="0"/>
              <w:rPr>
                <w:sz w:val="20"/>
                <w:szCs w:val="20"/>
                <w:color w:val="auto"/>
              </w:rPr>
            </w:pPr>
            <w:r>
              <w:rPr>
                <w:rFonts w:ascii="Arial" w:cs="Arial" w:eastAsia="Arial" w:hAnsi="Arial"/>
                <w:sz w:val="18"/>
                <w:szCs w:val="18"/>
                <w:color w:val="auto"/>
                <w:w w:val="93"/>
              </w:rPr>
              <w:t>new or revised financial accounting standards provided pursuant to Section 13(a) of the Exchange Act.</w:t>
            </w:r>
          </w:p>
        </w:tc>
        <w:tc>
          <w:tcPr>
            <w:tcW w:w="37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250"/>
        </w:trPr>
        <w:tc>
          <w:tcPr>
            <w:tcW w:w="2840" w:type="dxa"/>
            <w:vAlign w:val="bottom"/>
            <w:tcBorders>
              <w:bottom w:val="single" w:sz="8" w:color="auto"/>
            </w:tcBorders>
          </w:tcPr>
          <w:p>
            <w:pPr>
              <w:spacing w:after="0"/>
              <w:rPr>
                <w:sz w:val="21"/>
                <w:szCs w:val="21"/>
                <w:color w:val="auto"/>
              </w:rPr>
            </w:pPr>
          </w:p>
        </w:tc>
        <w:tc>
          <w:tcPr>
            <w:tcW w:w="480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r>
        <w:trPr>
          <w:trHeight w:val="28"/>
        </w:trPr>
        <w:tc>
          <w:tcPr>
            <w:tcW w:w="284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459"/>
        </w:trPr>
        <w:tc>
          <w:tcPr>
            <w:tcW w:w="28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0" w:right="2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18, 2019 (the “Closing Date”), the Credit Agreement, dated as of October 9, 2018 (the “Existing Credit Agreement”), by and among Nautilus Acquisition Holdings, Inc. (“Holdings”), a Delaware corporation and a wholly-owned subsidiary of National Vision Holdings, Inc. (the “Company”), National Vision, Inc., a Georgia corporation and a wholly-owned subsidiary of the Company and the borrower under the Existing Credit Agreement (“NVI”), Goldman Sachs Bank USA, as administrative agent and collateral agent, and the lenders from time to time party thereto and the other parties thereto, was amended pursuant to that certain Joinder and Amendment and Restatement Agreement, dated as of July 18, 2019 (the “Restatement Agreement”) by and among Holdings, NVI, as borrower, certain subsidiaries of NVI, as guarantors, Goldman Sachs Bank USA, as former administrative agent and collateral agent, Bank of America, N.A., as new administrative agent and collateral agent, and the lenders from time to time party thereto (the Existing Credit Agreement, as amended by the Restatement Agreement, the “Credit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Existing Credit Agreement was amended to, among other things, (i) establish new first lien term loans in an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$420,000,000 (“Term A Loans”) to repay all principal, interest fees and other amounts outstanding under the Existing Credit Agreement immediately prior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Closing Date, (ii) establish a new revolving credit facility in an aggregate principal amount of up to $300,000,000, of which $148,000,000 was drawn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closing and (iii) replace Goldman Sachs Bank USA with Bank of America, N.A. as administrative agent and collateral agent under the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related documentation. Capitalized terms used but not defined herein shall have the meanings assigned to such terms in the Credit Agreement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Restatement Agreement, as applicable.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Restatement Agreement, the initial new Applicable Margins are (i) 1.50% for the new first lien term loans that are LIBOR Loans and</w:t>
      </w:r>
    </w:p>
    <w:p>
      <w:pPr>
        <w:spacing w:after="0" w:line="46" w:lineRule="exact"/>
        <w:rPr>
          <w:sz w:val="20"/>
          <w:szCs w:val="20"/>
          <w:color w:val="auto"/>
        </w:rPr>
      </w:pPr>
    </w:p>
    <w:p>
      <w:pPr>
        <w:ind w:right="20" w:firstLine="8"/>
        <w:spacing w:after="0" w:line="281"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0.50% for the new first lien term loans that are ABR Loans. The Restatement Agreement further provides that following the Closing Date, the above Applicable Margins for the new first lien term loans will be based on NVI’s total leverage ratio as follows: (a) if NVI’s total leverage ratio is greater than 3:75 to 1.00, the Applicable Margin will be 2.00% for LIBOR Loans and 1.00% for ABR Loans, (b) if NVI’s total leverage ratio is less than or equal to 3.75 to</w:t>
      </w:r>
    </w:p>
    <w:p>
      <w:pPr>
        <w:spacing w:after="0" w:line="2" w:lineRule="exact"/>
        <w:rPr>
          <w:rFonts w:ascii="Arial" w:cs="Arial" w:eastAsia="Arial" w:hAnsi="Arial"/>
          <w:sz w:val="16"/>
          <w:szCs w:val="16"/>
          <w:color w:val="auto"/>
        </w:rPr>
      </w:pPr>
    </w:p>
    <w:p>
      <w:pPr>
        <w:ind w:right="100"/>
        <w:spacing w:after="0" w:line="252" w:lineRule="auto"/>
        <w:rPr>
          <w:rFonts w:ascii="Arial" w:cs="Arial" w:eastAsia="Arial" w:hAnsi="Arial"/>
          <w:sz w:val="16"/>
          <w:szCs w:val="16"/>
          <w:color w:val="auto"/>
        </w:rPr>
      </w:pPr>
      <w:r>
        <w:rPr>
          <w:rFonts w:ascii="Arial" w:cs="Arial" w:eastAsia="Arial" w:hAnsi="Arial"/>
          <w:sz w:val="18"/>
          <w:szCs w:val="18"/>
          <w:color w:val="auto"/>
        </w:rPr>
        <w:t>1.00, but greater than 2.75 to 1.00, the Applicable Margin will be 1.75% for LIBOR Loans and 0.75% for ABR Loans, (c) if NVI’s total leverage ratio is less than or equal to 2.75 to 1.00 but greater than 1.75:1.00, the Applicable Margin will be 1.50% for LIBOR Loans and 0.50% for ABR Loans, (d) if NVI’s total leverage ratio is less than or equal to 1.75 to 1.00 but greater than 0.75:1.00, the Applicable Margin will be 1.25% for LIBOR Loans and 0.25% for ABR Loans and (e) if NVI’s total leverage ratio is less than or equal to 0:75 to 1.00, the Applicable Margin will be 1.00% for LIBOR Loans and 0.00% for ABR Loans. The new first lien term loans will amortize in equal quarterly installments equal to 2.50% per annum in the first three years of the loan and 5.00% per annum thereafter.</w:t>
      </w:r>
    </w:p>
    <w:p>
      <w:pPr>
        <w:spacing w:after="0" w:line="19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addition, pursuant to the Restatement Agreement, solely with respect to the Term A Loans, commencing on the fiscal quarter ending on December 31, 2019, Holdings will not permit (i) the Consolidated Total Debt to Consolidated EBITDA Ratio as of the last day of any fiscal quarter of Holdings to be greater than 4.75 to 1.00 for the first three years, and 4.50: 1.00 thereafter, subject to certain step-ups after the consummation of a Material Acquisition, or (ii) the Consolidated Interest Coverage Ratio of Holdings as of the last day of any fiscal quarter of Holdings to be less than 3.00 to 1.00.</w:t>
      </w:r>
    </w:p>
    <w:p>
      <w:pPr>
        <w:spacing w:after="0" w:line="154"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KKR Capital Markets LLC, an affiliate of KKR &amp; Co. Inc., BofA Securities, Inc., JPMorgan Chase Bank, N.A. and Wells Fargo Securities, LLC acted as joint lead arrangers with respect to the Restatement Agreement and received fees in connection therewith. Entities affiliated with KKR &amp; Co. Inc. currently own approximately 11.7% of the Company’s outstanding common stock.</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 copy of the Restatement Agreement, including the amended and restated Credit Agreement attached as Exhibit A thereto, is filed herewith as Exhibit 10.1 and incorporated herein by reference. The above description of the Restatement Agreement and the Credit Agreement is qualified in its entirety by reference to such exhibit.</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1.01 above is incorporated by reference in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No. Description</w:t>
      </w:r>
    </w:p>
    <w:p>
      <w:pPr>
        <w:spacing w:after="0" w:line="225" w:lineRule="exact"/>
        <w:rPr>
          <w:sz w:val="20"/>
          <w:szCs w:val="20"/>
          <w:color w:val="auto"/>
        </w:rPr>
      </w:pPr>
    </w:p>
    <w:p>
      <w:pPr>
        <w:ind w:left="920" w:hanging="904"/>
        <w:spacing w:after="0" w:line="259" w:lineRule="auto"/>
        <w:tabs>
          <w:tab w:leader="none" w:pos="900" w:val="left"/>
        </w:tabs>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5">
        <w:r>
          <w:rPr>
            <w:rFonts w:ascii="Arial" w:cs="Arial" w:eastAsia="Arial" w:hAnsi="Arial"/>
            <w:sz w:val="18"/>
            <w:szCs w:val="18"/>
            <w:u w:val="single" w:color="auto"/>
            <w:color w:val="0000EE"/>
          </w:rPr>
          <w:t>Joinder and Amendment and Restatement Agreement, including as Exhibit A thereto, the Amended and Restated Credit Agreement, dated as of</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July 18, 2019, by and among Nautilus Acquisition Holdings, Inc., National Vision, Inc., certain subsidiaries of National Vision, Inc., as</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guarantors, Goldman Sachs Bank USA, as former administrative agent and collateral agent, Bank of America, N.A., as new administrative agent</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and collateral agent, and the lenders from time to time party thereto.</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National Vision Holdings, Inc.</w:t>
            </w:r>
          </w:p>
        </w:tc>
        <w:tc>
          <w:tcPr>
            <w:tcW w:w="102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July 23, 2019</w:t>
            </w:r>
          </w:p>
        </w:tc>
        <w:tc>
          <w:tcPr>
            <w:tcW w:w="2840" w:type="dxa"/>
            <w:vAlign w:val="bottom"/>
          </w:tcPr>
          <w:p>
            <w:pPr>
              <w:ind w:left="216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Jared Brandman</w:t>
            </w:r>
          </w:p>
        </w:tc>
        <w:tc>
          <w:tcPr>
            <w:tcW w:w="102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84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Jared Brandman</w:t>
            </w:r>
          </w:p>
        </w:tc>
        <w:tc>
          <w:tcPr>
            <w:tcW w:w="102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840" w:type="dxa"/>
            <w:vAlign w:val="bottom"/>
          </w:tcPr>
          <w:p>
            <w:pPr>
              <w:ind w:left="2160"/>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Senior Vice President, General Counsel and</w:t>
            </w:r>
          </w:p>
        </w:tc>
        <w:tc>
          <w:tcPr>
            <w:tcW w:w="102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Secretary</w:t>
            </w:r>
          </w:p>
        </w:tc>
        <w:tc>
          <w:tcPr>
            <w:tcW w:w="1020" w:type="dxa"/>
            <w:vAlign w:val="bottom"/>
          </w:tcPr>
          <w:p>
            <w:pPr>
              <w:spacing w:after="0"/>
              <w:rPr>
                <w:sz w:val="20"/>
                <w:szCs w:val="20"/>
                <w:color w:val="auto"/>
              </w:rPr>
            </w:pPr>
          </w:p>
        </w:tc>
      </w:tr>
      <w:tr>
        <w:trPr>
          <w:trHeight w:val="918"/>
        </w:trPr>
        <w:tc>
          <w:tcPr>
            <w:tcW w:w="35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AND AMENDMENT AND RESTATEMENT AGREEMENT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7"/>
          <w:szCs w:val="17"/>
          <w:color w:val="auto"/>
        </w:rPr>
        <w:t>JOINDER AND AMENDMENT AND RESTATEMENT AGREEMENT, dated as of July 18, 2019 (this “</w:t>
      </w:r>
      <w:r>
        <w:rPr>
          <w:rFonts w:ascii="Arial" w:cs="Arial" w:eastAsia="Arial" w:hAnsi="Arial"/>
          <w:sz w:val="17"/>
          <w:szCs w:val="17"/>
          <w:b w:val="1"/>
          <w:bCs w:val="1"/>
          <w:color w:val="auto"/>
        </w:rPr>
        <w:t>Restatement Agreement</w:t>
      </w:r>
      <w:r>
        <w:rPr>
          <w:rFonts w:ascii="Arial" w:cs="Arial" w:eastAsia="Arial" w:hAnsi="Arial"/>
          <w:sz w:val="17"/>
          <w:szCs w:val="17"/>
          <w:color w:val="auto"/>
        </w:rPr>
        <w:t>”), by and among the New Lenders (as defined below) party hereto, the Letter of Credit Issuers party hereto, NAUTILUS ACQUISITION HOLDINGS, INC., a Delaware corporation (“</w:t>
      </w:r>
      <w:r>
        <w:rPr>
          <w:rFonts w:ascii="Arial" w:cs="Arial" w:eastAsia="Arial" w:hAnsi="Arial"/>
          <w:sz w:val="17"/>
          <w:szCs w:val="17"/>
          <w:b w:val="1"/>
          <w:bCs w:val="1"/>
          <w:color w:val="auto"/>
        </w:rPr>
        <w:t>Holdings</w:t>
      </w:r>
      <w:r>
        <w:rPr>
          <w:rFonts w:ascii="Arial" w:cs="Arial" w:eastAsia="Arial" w:hAnsi="Arial"/>
          <w:sz w:val="17"/>
          <w:szCs w:val="17"/>
          <w:color w:val="auto"/>
        </w:rPr>
        <w:t>”), NATIONAL VISION, INC., a Georgia corporation (the “</w:t>
      </w:r>
      <w:r>
        <w:rPr>
          <w:rFonts w:ascii="Arial" w:cs="Arial" w:eastAsia="Arial" w:hAnsi="Arial"/>
          <w:sz w:val="17"/>
          <w:szCs w:val="17"/>
          <w:b w:val="1"/>
          <w:bCs w:val="1"/>
          <w:color w:val="auto"/>
        </w:rPr>
        <w:t>Borrower</w:t>
      </w:r>
      <w:r>
        <w:rPr>
          <w:rFonts w:ascii="Arial" w:cs="Arial" w:eastAsia="Arial" w:hAnsi="Arial"/>
          <w:sz w:val="17"/>
          <w:szCs w:val="17"/>
          <w:color w:val="auto"/>
        </w:rPr>
        <w:t>”), the subsidiaries of the Borrower party hereto, as guarantors (together with Holdings, the “</w:t>
      </w:r>
      <w:r>
        <w:rPr>
          <w:rFonts w:ascii="Arial" w:cs="Arial" w:eastAsia="Arial" w:hAnsi="Arial"/>
          <w:sz w:val="17"/>
          <w:szCs w:val="17"/>
          <w:b w:val="1"/>
          <w:bCs w:val="1"/>
          <w:color w:val="auto"/>
        </w:rPr>
        <w:t>Guarantors</w:t>
      </w:r>
      <w:r>
        <w:rPr>
          <w:rFonts w:ascii="Arial" w:cs="Arial" w:eastAsia="Arial" w:hAnsi="Arial"/>
          <w:sz w:val="17"/>
          <w:szCs w:val="17"/>
          <w:color w:val="auto"/>
        </w:rPr>
        <w:t>”), the Former Agent (as defined below) and Bank of America, N.A. (“</w:t>
      </w:r>
      <w:r>
        <w:rPr>
          <w:rFonts w:ascii="Arial" w:cs="Arial" w:eastAsia="Arial" w:hAnsi="Arial"/>
          <w:sz w:val="17"/>
          <w:szCs w:val="17"/>
          <w:b w:val="1"/>
          <w:bCs w:val="1"/>
          <w:color w:val="auto"/>
        </w:rPr>
        <w:t>Bank of America</w:t>
      </w:r>
      <w:r>
        <w:rPr>
          <w:rFonts w:ascii="Arial" w:cs="Arial" w:eastAsia="Arial" w:hAnsi="Arial"/>
          <w:sz w:val="17"/>
          <w:szCs w:val="17"/>
          <w:color w:val="auto"/>
        </w:rPr>
        <w:t>”) in its capacity as administrative agent and collateral agent on and after the Restatement Effective Date (as defined below) (the “</w:t>
      </w:r>
      <w:r>
        <w:rPr>
          <w:rFonts w:ascii="Arial" w:cs="Arial" w:eastAsia="Arial" w:hAnsi="Arial"/>
          <w:sz w:val="17"/>
          <w:szCs w:val="17"/>
          <w:b w:val="1"/>
          <w:bCs w:val="1"/>
          <w:color w:val="auto"/>
        </w:rPr>
        <w:t>Administrative Agent</w:t>
      </w:r>
      <w:r>
        <w:rPr>
          <w:rFonts w:ascii="Arial" w:cs="Arial" w:eastAsia="Arial" w:hAnsi="Arial"/>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WHEREAS, reference is hereby made to that certain First Lien Credit Agreement dated as of March 13, 2014 (as amended, restated, amended and restated, supplemented or otherwise modified prior to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 and, as further amended by this Restatement Agreement, the “</w:t>
      </w:r>
      <w:r>
        <w:rPr>
          <w:rFonts w:ascii="Arial" w:cs="Arial" w:eastAsia="Arial" w:hAnsi="Arial"/>
          <w:sz w:val="18"/>
          <w:szCs w:val="18"/>
          <w:b w:val="1"/>
          <w:bCs w:val="1"/>
          <w:color w:val="auto"/>
        </w:rPr>
        <w:t>Amended and Restated Credit Agreement</w:t>
      </w:r>
      <w:r>
        <w:rPr>
          <w:rFonts w:ascii="Arial" w:cs="Arial" w:eastAsia="Arial" w:hAnsi="Arial"/>
          <w:sz w:val="18"/>
          <w:szCs w:val="18"/>
          <w:color w:val="auto"/>
        </w:rPr>
        <w:t>”) among Holdings, the Borrower, the lending institutions from time to time parties thereto and Goldman Sachs Bank USA (“</w:t>
      </w:r>
      <w:r>
        <w:rPr>
          <w:rFonts w:ascii="Arial" w:cs="Arial" w:eastAsia="Arial" w:hAnsi="Arial"/>
          <w:sz w:val="18"/>
          <w:szCs w:val="18"/>
          <w:b w:val="1"/>
          <w:bCs w:val="1"/>
          <w:color w:val="auto"/>
        </w:rPr>
        <w:t>GS Bank</w:t>
      </w:r>
      <w:r>
        <w:rPr>
          <w:rFonts w:ascii="Arial" w:cs="Arial" w:eastAsia="Arial" w:hAnsi="Arial"/>
          <w:sz w:val="18"/>
          <w:szCs w:val="18"/>
          <w:color w:val="auto"/>
        </w:rPr>
        <w:t>”), in its capacity as administrative agent and collateral agent (capitalized terms used but not defined herein having the meaning provided in the Amended and Restated Credit Agreement);</w:t>
      </w:r>
    </w:p>
    <w:p>
      <w:pPr>
        <w:spacing w:after="0" w:line="184"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of the Credit Agreement, the Borrower may establish New Term Loan Commitments and New</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Commitments by, among other things, entering into one or more Joinder Agreements with New Term Loan Lenders and New Revolving Loan Lenders, as applicable;</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WHEREAS, the Borrower has requested that the Credit Agreement be amended pursuant to Section 2.14 of the Credit Agreement to, among other things, (i) establish commitments for the Term A Loans in an aggregate principal amount of $420,000,000 (the “</w:t>
      </w:r>
      <w:r>
        <w:rPr>
          <w:rFonts w:ascii="Arial" w:cs="Arial" w:eastAsia="Arial" w:hAnsi="Arial"/>
          <w:sz w:val="18"/>
          <w:szCs w:val="18"/>
          <w:b w:val="1"/>
          <w:bCs w:val="1"/>
          <w:color w:val="auto"/>
        </w:rPr>
        <w:t>Term A Loan Facility</w:t>
      </w:r>
      <w:r>
        <w:rPr>
          <w:rFonts w:ascii="Arial" w:cs="Arial" w:eastAsia="Arial" w:hAnsi="Arial"/>
          <w:sz w:val="18"/>
          <w:szCs w:val="18"/>
          <w:color w:val="auto"/>
        </w:rPr>
        <w:t>” and such commitments, the “</w:t>
      </w:r>
      <w:r>
        <w:rPr>
          <w:rFonts w:ascii="Arial" w:cs="Arial" w:eastAsia="Arial" w:hAnsi="Arial"/>
          <w:sz w:val="18"/>
          <w:szCs w:val="18"/>
          <w:b w:val="1"/>
          <w:bCs w:val="1"/>
          <w:color w:val="auto"/>
        </w:rPr>
        <w:t>Term A Loan Commitments</w:t>
      </w:r>
      <w:r>
        <w:rPr>
          <w:rFonts w:ascii="Arial" w:cs="Arial" w:eastAsia="Arial" w:hAnsi="Arial"/>
          <w:sz w:val="18"/>
          <w:szCs w:val="18"/>
          <w:color w:val="auto"/>
        </w:rPr>
        <w:t>”) and (ii) establish a new Revolving Credit Facility in an aggregate principal amount of up to $300,000,000 (the “</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and such commitments, the “</w:t>
      </w:r>
      <w:r>
        <w:rPr>
          <w:rFonts w:ascii="Arial" w:cs="Arial" w:eastAsia="Arial" w:hAnsi="Arial"/>
          <w:sz w:val="18"/>
          <w:szCs w:val="18"/>
          <w:b w:val="1"/>
          <w:bCs w:val="1"/>
          <w:color w:val="auto"/>
        </w:rPr>
        <w:t>Revolving Credit Commitments</w:t>
      </w:r>
      <w:r>
        <w:rPr>
          <w:rFonts w:ascii="Arial" w:cs="Arial" w:eastAsia="Arial" w:hAnsi="Arial"/>
          <w:sz w:val="18"/>
          <w:szCs w:val="18"/>
          <w:color w:val="auto"/>
        </w:rPr>
        <w:t>”); the term “</w:t>
      </w:r>
      <w:r>
        <w:rPr>
          <w:rFonts w:ascii="Arial" w:cs="Arial" w:eastAsia="Arial" w:hAnsi="Arial"/>
          <w:sz w:val="18"/>
          <w:szCs w:val="18"/>
          <w:b w:val="1"/>
          <w:bCs w:val="1"/>
          <w:color w:val="auto"/>
        </w:rPr>
        <w:t>New Facilities</w:t>
      </w:r>
      <w:r>
        <w:rPr>
          <w:rFonts w:ascii="Arial" w:cs="Arial" w:eastAsia="Arial" w:hAnsi="Arial"/>
          <w:sz w:val="18"/>
          <w:szCs w:val="18"/>
          <w:color w:val="auto"/>
        </w:rPr>
        <w:t>” means the Term A Facility and the Revolving Credit Facility;</w:t>
      </w:r>
    </w:p>
    <w:p>
      <w:pPr>
        <w:spacing w:after="0" w:line="188"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WHEREAS, the proceeds of the New Facilities will be used (i) to repay all principal, interest fees and other amounts outstanding (other than contingent obligations for which no claim has been asserted) under the Credit Agreement immediately prior to the Restatement Effective Date, and to permanently terminate all Commitments (as defined in the Credit Agreement) (the “</w:t>
      </w:r>
      <w:r>
        <w:rPr>
          <w:rFonts w:ascii="Arial" w:cs="Arial" w:eastAsia="Arial" w:hAnsi="Arial"/>
          <w:sz w:val="16"/>
          <w:szCs w:val="16"/>
          <w:b w:val="1"/>
          <w:bCs w:val="1"/>
          <w:color w:val="auto"/>
        </w:rPr>
        <w:t>Existing Commitments</w:t>
      </w:r>
      <w:r>
        <w:rPr>
          <w:rFonts w:ascii="Arial" w:cs="Arial" w:eastAsia="Arial" w:hAnsi="Arial"/>
          <w:sz w:val="16"/>
          <w:szCs w:val="16"/>
          <w:color w:val="auto"/>
        </w:rPr>
        <w:t>”) in connection therewith, (ii) to pay fees and expenses incurred in connection with the transactions contemplated hereby and (iii) for general corporate purposes (collectively, the “</w:t>
      </w:r>
      <w:r>
        <w:rPr>
          <w:rFonts w:ascii="Arial" w:cs="Arial" w:eastAsia="Arial" w:hAnsi="Arial"/>
          <w:sz w:val="16"/>
          <w:szCs w:val="16"/>
          <w:b w:val="1"/>
          <w:bCs w:val="1"/>
          <w:color w:val="auto"/>
        </w:rPr>
        <w:t>Transactions</w:t>
      </w:r>
      <w:r>
        <w:rPr>
          <w:rFonts w:ascii="Arial" w:cs="Arial" w:eastAsia="Arial" w:hAnsi="Arial"/>
          <w:sz w:val="16"/>
          <w:szCs w:val="16"/>
          <w:color w:val="auto"/>
        </w:rPr>
        <w:t>”);</w:t>
      </w:r>
    </w:p>
    <w:p>
      <w:pPr>
        <w:spacing w:after="0" w:line="150"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WHEREAS, each financial institution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of the Amended and Restated Credit Agreement (each a “</w:t>
      </w:r>
      <w:r>
        <w:rPr>
          <w:rFonts w:ascii="Arial" w:cs="Arial" w:eastAsia="Arial" w:hAnsi="Arial"/>
          <w:sz w:val="18"/>
          <w:szCs w:val="18"/>
          <w:b w:val="1"/>
          <w:bCs w:val="1"/>
          <w:color w:val="auto"/>
        </w:rPr>
        <w:t>New Lender</w:t>
      </w:r>
      <w:r>
        <w:rPr>
          <w:rFonts w:ascii="Arial" w:cs="Arial" w:eastAsia="Arial" w:hAnsi="Arial"/>
          <w:sz w:val="18"/>
          <w:szCs w:val="18"/>
          <w:color w:val="auto"/>
        </w:rPr>
        <w:t xml:space="preserve">”) has agreed to provide a Term A Loan Commitment and/or a Revolving Credit Commitment, in the amount(s) set forth opposite such New Lender’s name on such </w:t>
      </w: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18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WHEREAS, each of the parties hereto hereby agrees that (i) on the Restatement Effective Date, GS Bank will resign as Administrative Agent and Collateral Agent under the Credit Agreement and the Credit Documents (in such capacities, the “</w:t>
      </w:r>
      <w:r>
        <w:rPr>
          <w:rFonts w:ascii="Arial" w:cs="Arial" w:eastAsia="Arial" w:hAnsi="Arial"/>
          <w:sz w:val="18"/>
          <w:szCs w:val="18"/>
          <w:b w:val="1"/>
          <w:bCs w:val="1"/>
          <w:color w:val="auto"/>
        </w:rPr>
        <w:t>Former Agent</w:t>
      </w:r>
      <w:r>
        <w:rPr>
          <w:rFonts w:ascii="Arial" w:cs="Arial" w:eastAsia="Arial" w:hAnsi="Arial"/>
          <w:sz w:val="18"/>
          <w:szCs w:val="18"/>
          <w:color w:val="auto"/>
        </w:rPr>
        <w:t>”) and (ii) from and after the Restatement Effective Date, Bank of America will act as the successor Administrative Agent and Collateral Agent under the Amended and Restated Credit Agreement and the other Credit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6"/>
          <w:szCs w:val="16"/>
          <w:color w:val="auto"/>
        </w:rPr>
        <w:t>NOW, THEREFORE, in consideration of the premises and agreements, provisions and covenants herein contained, the parties hereto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Amendment and Restatement of the Credit Agreement, Exhibits and Schedules; Establishment of New Loans and Commitments</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64"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Credit Agreement is, effective as of the Restatement Effective Date, hereby amended and restated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Additionally, the schedules and exhibits to the Credit Agreement are hereby amended and restated in the form attached to the Amended and Restated Credit Agreement.</w:t>
      </w:r>
    </w:p>
    <w:p>
      <w:pPr>
        <w:spacing w:after="0" w:line="181" w:lineRule="exact"/>
        <w:rPr>
          <w:rFonts w:ascii="Arial" w:cs="Arial" w:eastAsia="Arial" w:hAnsi="Arial"/>
          <w:sz w:val="18"/>
          <w:szCs w:val="18"/>
          <w:color w:val="auto"/>
        </w:rPr>
      </w:pPr>
    </w:p>
    <w:p>
      <w:pPr>
        <w:ind w:right="460" w:firstLine="656"/>
        <w:spacing w:after="0" w:line="277" w:lineRule="auto"/>
        <w:tabs>
          <w:tab w:leader="none" w:pos="116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 of the Restatement Effective Date, the schedules to the Security Agreement are hereby amended and restated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right="280" w:firstLine="656"/>
        <w:spacing w:after="0" w:line="308" w:lineRule="auto"/>
        <w:tabs>
          <w:tab w:leader="none" w:pos="1163"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Each party hereto acknowledges and agrees that, effective as of the Restatement Effective Date, the Commitments under the Term A Loan Facility and the Revolving Credit Facility will be set forth on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of the Amended and Restated Credit Agreement.</w:t>
      </w:r>
    </w:p>
    <w:p>
      <w:pPr>
        <w:spacing w:after="0" w:line="146" w:lineRule="exact"/>
        <w:rPr>
          <w:rFonts w:ascii="Arial" w:cs="Arial" w:eastAsia="Arial" w:hAnsi="Arial"/>
          <w:sz w:val="17"/>
          <w:szCs w:val="17"/>
          <w:color w:val="auto"/>
        </w:rPr>
      </w:pPr>
    </w:p>
    <w:p>
      <w:pPr>
        <w:ind w:right="620" w:firstLine="656"/>
        <w:spacing w:after="0" w:line="277" w:lineRule="auto"/>
        <w:tabs>
          <w:tab w:leader="none" w:pos="117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Each New Lender party hereto hereby agrees to commit to provide its respective Term A Loan Commitment and/or Revolving Credit Commitment in the amount(s)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of the Amended and Restated Credit Agreement.</w:t>
      </w:r>
    </w:p>
    <w:p>
      <w:pPr>
        <w:spacing w:after="0" w:line="170" w:lineRule="exact"/>
        <w:rPr>
          <w:rFonts w:ascii="Arial" w:cs="Arial" w:eastAsia="Arial" w:hAnsi="Arial"/>
          <w:sz w:val="18"/>
          <w:szCs w:val="18"/>
          <w:color w:val="auto"/>
        </w:rPr>
      </w:pPr>
    </w:p>
    <w:p>
      <w:pPr>
        <w:ind w:right="40" w:firstLine="656"/>
        <w:spacing w:after="0" w:line="270" w:lineRule="auto"/>
        <w:tabs>
          <w:tab w:leader="none" w:pos="1163"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New Lender (i) confirms that it has received a copy of the Amended and Restated Credit Agreement and the other Credit Documents and the exhibits thereto, together with copies of the financial statements referred to therein and such other documents and information as it has deemed appropriate to make its own credit analysis and decision to enter into this Restatement Agreement; (ii) agrees that it will, independently and without reliance upon the Administrative Agent, the Collateral Agent, the Former Agent, any other New Lender or any other Lender or Agent and based on such documents and information as it shall deem appropriate at the time, continue to make its own credit decisions in taking or not taking action under the Amended and Restated Credit Agreement; (iii) appoints and authorizes the Administrative Agent and the Collateral Agent to take such action as agent on its behalf and to exercise such powers under the Amended and Restated Credit Agreement and the other Credit Documents as are delegated to the Administrative Agent or the Collateral Agent, as the case may be, by the terms thereof, together with such powers as are reasonably incidental thereto; and (iv) agrees that it will perform in accordance with their terms all of the obligations which by the terms of the Amended and Restated Credit Agreement are required to be performed by it as a Lender.</w:t>
      </w:r>
    </w:p>
    <w:p>
      <w:pPr>
        <w:spacing w:after="0" w:line="177" w:lineRule="exact"/>
        <w:rPr>
          <w:rFonts w:ascii="Arial" w:cs="Arial" w:eastAsia="Arial" w:hAnsi="Arial"/>
          <w:sz w:val="17"/>
          <w:szCs w:val="17"/>
          <w:color w:val="auto"/>
        </w:rPr>
      </w:pPr>
    </w:p>
    <w:p>
      <w:pPr>
        <w:ind w:right="40" w:firstLine="656"/>
        <w:spacing w:after="0" w:line="264" w:lineRule="auto"/>
        <w:tabs>
          <w:tab w:leader="none" w:pos="1133"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obligations in respect of the New Facilities established hereby shall (i) constitute Obligations and have all of the benefits thereof, (ii) be guaranteed by the Guarantors pursuant to the Guarantee and (iii) be secured by the Liens granted to the Collateral Agent for the benefit of the Secured Parties under the Security Documents.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Resignation and Appointment of Administrative Agent; Consents</w:t>
      </w:r>
      <w:r>
        <w:rPr>
          <w:rFonts w:ascii="Arial" w:cs="Arial" w:eastAsia="Arial" w:hAnsi="Arial"/>
          <w:sz w:val="17"/>
          <w:szCs w:val="17"/>
          <w:color w:val="auto"/>
        </w:rPr>
        <w:t>. Effective as of the Restatement Effective Date, each of the parties hereto hereby consents to (i) the resignation of GS Bank as Administrative Agent and Collateral Agent under the Credit Agreement and the Credit Documents effective as of the Restatement Effective Date and (ii) the appointment of Bank of America as successor Administrative Agent and Collateral Agent under the Amended and Restated Credit Agreement and the other Credit Documents effective as of the Restatement Effective Date.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 w:name="page7"/>
    <w:bookmarkEnd w:id="6"/>
    <w:p>
      <w:pPr>
        <w:ind w:left="660"/>
        <w:spacing w:after="0"/>
        <w:tabs>
          <w:tab w:leader="none" w:pos="18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Reference to and Effect on the Credit Documents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9" w:lineRule="auto"/>
        <w:tabs>
          <w:tab w:leader="none" w:pos="1163"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and after the Restatement Effective Date, each reference in the Credit Agreement to “this Credit Agreement,” “hereunder,” “hereof” or words of like import referring to the Credit Agreement, and each reference in the other Credit Documents to “the Credit Agreement,” “thereunder,” “thereof” or words of like import referring to the “Credit Agreement,” shall mean and be a reference to the Amended and Restated Credit Agreement, and any reference to “Obligations” shall mean and be a reference to the “Obligations” under the Amended and Restated Credit Agreement.</w:t>
      </w:r>
    </w:p>
    <w:p>
      <w:pPr>
        <w:spacing w:after="0" w:line="171" w:lineRule="exact"/>
        <w:rPr>
          <w:rFonts w:ascii="Arial" w:cs="Arial" w:eastAsia="Arial" w:hAnsi="Arial"/>
          <w:sz w:val="17"/>
          <w:szCs w:val="17"/>
          <w:color w:val="auto"/>
        </w:rPr>
      </w:pPr>
    </w:p>
    <w:p>
      <w:pPr>
        <w:ind w:firstLine="656"/>
        <w:spacing w:after="0" w:line="259" w:lineRule="auto"/>
        <w:tabs>
          <w:tab w:leader="none" w:pos="1173"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and after the Restatement Effective Date, the Credit Agreement, as specifically amended and restated by this Restatement Agreement, and the other Credit Documents are, and shall continue to be, in full force and effect, and are hereby in all respects ratified and confirmed (including the Guarantee and all Liens and security interests granted thereunder, which shall continue to secure the Obligations in effect after giving effect to this Restatement Agreement).</w:t>
      </w:r>
    </w:p>
    <w:p>
      <w:pPr>
        <w:spacing w:after="0" w:line="186" w:lineRule="exact"/>
        <w:rPr>
          <w:rFonts w:ascii="Arial" w:cs="Arial" w:eastAsia="Arial" w:hAnsi="Arial"/>
          <w:sz w:val="18"/>
          <w:szCs w:val="18"/>
          <w:color w:val="auto"/>
        </w:rPr>
      </w:pPr>
    </w:p>
    <w:p>
      <w:pPr>
        <w:ind w:right="240" w:firstLine="656"/>
        <w:spacing w:after="0" w:line="277" w:lineRule="auto"/>
        <w:tabs>
          <w:tab w:leader="none" w:pos="1163" w:val="left"/>
        </w:tabs>
        <w:numPr>
          <w:ilvl w:val="0"/>
          <w:numId w:val="5"/>
        </w:numPr>
        <w:rPr>
          <w:rFonts w:ascii="Arial" w:cs="Arial" w:eastAsia="Arial" w:hAnsi="Arial"/>
          <w:sz w:val="18"/>
          <w:szCs w:val="18"/>
          <w:color w:val="auto"/>
        </w:rPr>
      </w:pPr>
      <w:r>
        <w:rPr>
          <w:rFonts w:ascii="Arial" w:cs="Arial" w:eastAsia="Arial" w:hAnsi="Arial"/>
          <w:sz w:val="18"/>
          <w:szCs w:val="18"/>
          <w:color w:val="auto"/>
        </w:rPr>
        <w:t>From and after the Restatement Effective Date, this Restatement Agreement shall be deemed a Credit Document for all purposes under the Amended and Restated Credit Agreement and the other Credit Documents.</w:t>
      </w:r>
    </w:p>
    <w:p>
      <w:pPr>
        <w:spacing w:after="0" w:line="170" w:lineRule="exact"/>
        <w:rPr>
          <w:rFonts w:ascii="Arial" w:cs="Arial" w:eastAsia="Arial" w:hAnsi="Arial"/>
          <w:sz w:val="18"/>
          <w:szCs w:val="18"/>
          <w:color w:val="auto"/>
        </w:rPr>
      </w:pPr>
    </w:p>
    <w:p>
      <w:pPr>
        <w:ind w:right="140" w:firstLine="656"/>
        <w:spacing w:after="0" w:line="264" w:lineRule="auto"/>
        <w:tabs>
          <w:tab w:leader="none" w:pos="117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parties hereto acknowledge and agree that the amendment and restatement of the Credit Agreement pursuant to this Restatement Agreement and all other Credit Documents amended and/or executed and delivered in connection herewith shall not constitute a novation of the Obligations or the Credit Agreement and the other Credit Documents as in effect prior to the Restatement Effective Date.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This Restatement Agreement and the obligations of the parties hereunder and under the Amended and Restated Credit Agreement shall become effective upon the satisfaction of each of the conditions set forth in Section 6.1 of the Amended and Restated Credit Agreement.</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Borrower hereby represents and warrants to the Administrative Agent and the Lenders as of the Restatement Effective Date that the representations and warranties of each Credit Party contained in Section 8 of the Amended and Restated Credit Agreement and in the other Credit Documents are true and correct in all material respects (provided that any such representations and warranties which are qualified by materiality, material adverse effect or similar language shall be true and correct in all respects) on and as of the Restatement Effective Date after giving effect to the transactions contemplated by this Restatement Agreement (except where such representations and warranties expressly relate to an earlier date, in which case such representations and warranties shall have been true and correct in all material respects (provided that any such representations and warranties which are qualified by materiality, material adverse effect or similar language shall be true and correct in all respects) as of such earlier date.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p>
      <w:pPr>
        <w:ind w:right="120" w:firstLine="648"/>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Liens Unimpaired</w:t>
      </w:r>
      <w:r>
        <w:rPr>
          <w:rFonts w:ascii="Arial" w:cs="Arial" w:eastAsia="Arial" w:hAnsi="Arial"/>
          <w:sz w:val="18"/>
          <w:szCs w:val="18"/>
          <w:color w:val="auto"/>
        </w:rPr>
        <w:t>. As of the date hereof, each Credit Party reaffirms its obligations under the Credit Documents to which it is party and its prior grant and the validity of the Liens granted by it pursuant to the Security Documents, and after giving effect to this Restatement Agreement, except as specifically modified by this Restatement Agreement, the Credit Documents (and the Liens and security interests granted pursuant thereto) shall remain in full force and effect and are hereby ratified and confirmed in all respects. After giving effect to this Restatement Agreement, neither the modification of the Credit Agreement effected pursuant to this Restatement Agreement nor the execution, delivery, performance or effectiveness of this Restatement Agreement:</w:t>
      </w:r>
    </w:p>
    <w:p>
      <w:pPr>
        <w:spacing w:after="0" w:line="193" w:lineRule="exact"/>
        <w:rPr>
          <w:sz w:val="20"/>
          <w:szCs w:val="20"/>
          <w:color w:val="auto"/>
        </w:rPr>
      </w:pPr>
    </w:p>
    <w:p>
      <w:pPr>
        <w:ind w:right="60" w:firstLine="656"/>
        <w:spacing w:after="0" w:line="277" w:lineRule="auto"/>
        <w:tabs>
          <w:tab w:leader="none" w:pos="1163"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impairs the validity, effectiveness or priority of the Liens granted pursuant to any Credit Document, and such Liens continue unimpaired with the same priority to secure repayment of all Obligations, whether heretofore or hereafter incurred; or</w:t>
      </w:r>
    </w:p>
    <w:p>
      <w:pPr>
        <w:spacing w:after="0" w:line="170" w:lineRule="exact"/>
        <w:rPr>
          <w:rFonts w:ascii="Arial" w:cs="Arial" w:eastAsia="Arial" w:hAnsi="Arial"/>
          <w:sz w:val="18"/>
          <w:szCs w:val="18"/>
          <w:color w:val="auto"/>
        </w:rPr>
      </w:pPr>
    </w:p>
    <w:p>
      <w:pPr>
        <w:ind w:right="560" w:firstLine="656"/>
        <w:spacing w:after="0" w:line="277" w:lineRule="auto"/>
        <w:tabs>
          <w:tab w:leader="none" w:pos="1173"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requires that any new filings be made or other action taken to perfect or to maintain the perfection of such Liens, other than such UCC financing statements amendments necessary to effectuate the assignment referred to in Section 7.</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Resignation, Appointment, Assignment; Covenants of Former Agent</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69"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Former Agent hereby resigns as Administrative Agent and Collateral Agent under the Credit Agreement and the other Credit Documents effective upon the Restatement Effective Date. The parties hereto hereby agree that the resignation of GS Bank as the Administrative Agent and as the Collateral Agent under the Credit Documents shall become effective as of the Restatement Effective Date. On the Restatement Effective Date, the Former Agent’s rights, powers, duties and obligations (other than such rights, powers, duties and obligations expressly provided herein) as Administrative Agent and Collateral Agent shall be terminated, without any further act or deed on the part of the Former Agent, the Lenders or any of the other parties to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Former Agent and any of its Related Parties shall retain their rights to expense reimbursement, indemnification and other similar obligations or contingent obligations and any other provisions of the Credit Documents pertaining to GS Bank in its capacity as Administrative Agent and Collateral Agent that survive its resignation and/or that survive the satisfaction of the Obligations to the extent expressly provided for under the Credit Documents. The resignation by the Former Agent hereunder shall also constitute its resignation as Swingline Lender and as an Letter of Credit Issuer, and the resigning Letter of Credit Issuer and resigning Swingline Lender shall not be required to issue any further Letters of Credit or extend any further Swingline Loans under the Credit Agreement.</w:t>
      </w:r>
    </w:p>
    <w:p>
      <w:pPr>
        <w:spacing w:after="0" w:line="183"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Each of the parties hereto waive any notice and eligibility requirements of, and any inconsistency or conflict with, the provisions of any of the Credit Documents with respect to the resignation of GS Bank as Administrative Agent, Collateral Agent, Swingline Lender and Letter of Credit Issuer.</w:t>
      </w:r>
    </w:p>
    <w:p>
      <w:pPr>
        <w:spacing w:after="0" w:line="147" w:lineRule="exact"/>
        <w:rPr>
          <w:sz w:val="20"/>
          <w:szCs w:val="20"/>
          <w:color w:val="auto"/>
        </w:rPr>
      </w:pPr>
    </w:p>
    <w:p>
      <w:pPr>
        <w:ind w:firstLine="656"/>
        <w:spacing w:after="0" w:line="270" w:lineRule="auto"/>
        <w:tabs>
          <w:tab w:leader="none" w:pos="1173"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Effective as of the Restatement Effective Date, (i) Bank of America is hereby appointed as the Administrative Agent and the Collateral Agent under the Amended and Restated Credit Agreement and the other Credit Documents, (ii) Bank of America hereby accepts its appointment as the Administrative Agent and Collateral Agent under the Amended and Restated Credit Agreement and any other Credit Documents, (iii) the parties hereto hereby consent to the appointment of Bank of America as Administrative Agent and Collateral Agent, and (iv) Bank of America, shall succeed to, and be vested with, all of the rights, powers, privileges and duties of the Administrative Agent and the Collateral Agent under the Amended and Restated Credit Agreement and the other Credit Documents (except for the continuing rights of the Former Agent as contemplated above). Immediately upon the Restatement Effective Date (i) Bank of America or its Affiliate shall succeed to and become vested with all of the rights, powers, privileges and duties of the retiring Letter of Credit Issuer and Swingline Lender and (ii) the retiring Letter of Credit Issuer and Swingline Lender shall be discharged from all of their respective duties and obligations hereunder or under the other Credit Documents.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60" w:firstLine="656"/>
        <w:spacing w:after="0" w:line="285" w:lineRule="auto"/>
        <w:tabs>
          <w:tab w:leader="none" w:pos="11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Former Agent, from and after the Restatement Effective Date, assigns (without recourse, representation or warranty of any kind) to Bank of America, as the Administrative Agent and Collateral Agent for the benefit of the Secured Parties, all Liens, security interests, mortgages and powers of attorney under the Security Documents and the other Credit Documents and all of its rights, titles, interests, indemnities, privileges, claims and demands of the Former Agent as secured party, mortgagee, beneficiary or Lien holder under or in connection with any and all Security Documents and the other Credit Documents and all other Liens of record (including Uniform Commercial Code financing statements or other financing statements) filed in favor of the Former Agent pursuant to the Credit Documents and all Liens granted pursuant to the Credit Documents with respect to Intellectual Property (as defined in the Security Agreement) filed with the United States Patent and Trademark Office or the United States Copyright Office (if any), and Bank of America, as the Administrative Agent and Collateral Agent on behalf of the Secured Parties, hereby assumes all such Liens, security interests and mortgages, for its benefit and for the benefit of the other Secured Parties, and all such rights, titles, interests, indemnities, privileges, claims and demands of the Former Agent as secured party, mortgagee, beneficiary or Lien holder under or in connection with the Security Documents and the other Credit Documents and such financing statements and other Liens. All of such Liens and security interests shall in all respects be continuing and in full force and effect following execution and delivery of this Restatement Agreement. Without limiting the generality of the foregoing, any and all references to GS Bank on any publicly filed document, to the extent such filing relates to Liens and security interests assigned to the Administrative Agent and Collateral Agent hereby and until such filing is modified to reflect the interest of Bank of America, as Administrative Agent and Collateral Agent, shall, with respect to such Liens and security interests, constitute a reference to the Former Agent as collateral representative of the Administrative Agent and Collateral Agent (provided, that the parties hereto agree that the Former Agent’s role as such collateral representative shall impose no duties, obligations, or liabilities on the Former Agent, including, without limitation, any duty to take any type of direction regarding any action to be taken against such Collateral, whether such direction comes from the Administrative Agent, the Lenders, or otherwise and the Former Agent shall be entitled to all the benefits of the Administrative Agent and Collateral Agent under the Credit Documents with respect to all actions taken or omitted to be taken in such capacity).</w:t>
      </w:r>
    </w:p>
    <w:p>
      <w:pPr>
        <w:spacing w:after="0" w:line="170" w:lineRule="exact"/>
        <w:rPr>
          <w:rFonts w:ascii="Arial" w:cs="Arial" w:eastAsia="Arial" w:hAnsi="Arial"/>
          <w:sz w:val="16"/>
          <w:szCs w:val="16"/>
          <w:color w:val="auto"/>
        </w:rPr>
      </w:pPr>
    </w:p>
    <w:p>
      <w:pPr>
        <w:ind w:left="-60" w:firstLine="656"/>
        <w:spacing w:after="0" w:line="259" w:lineRule="auto"/>
        <w:tabs>
          <w:tab w:leader="none" w:pos="111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Borrower represents and warrants that (i) executed copies of each Credit Document to which the Former Agent is a party, together with all exhibits and schedules thereto, have been delivered to the Administrative Agent (or its counsel) on or prior to the date hereof, and (ii) as of the date hereof, there have been no amendments, supplements or consents to the Credit Documents to which the Former Agent is a party, except as otherwise provided to the successor Administrative Agent.</w:t>
      </w:r>
    </w:p>
    <w:p>
      <w:pPr>
        <w:spacing w:after="0" w:line="186" w:lineRule="exact"/>
        <w:rPr>
          <w:rFonts w:ascii="Arial" w:cs="Arial" w:eastAsia="Arial" w:hAnsi="Arial"/>
          <w:sz w:val="18"/>
          <w:szCs w:val="18"/>
          <w:color w:val="auto"/>
        </w:rPr>
      </w:pPr>
    </w:p>
    <w:p>
      <w:pPr>
        <w:ind w:left="-60" w:right="140" w:firstLine="656"/>
        <w:spacing w:after="0" w:line="259"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Former Agent covenants and agrees that it will, in each case at the Borrower’s or the Lenders’ sole expense deliver to Collateral Agent, on or about the Restatement Effective Date, the possessory collateral described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which have been delivered by the Credit Parties to the Former Agent. The Credit Parties hereby consent to all actions taken by the Former Agent and the Administrative Agent pursuant to and in accordance with this Section 7.</w:t>
      </w:r>
    </w:p>
    <w:p>
      <w:pPr>
        <w:spacing w:after="0" w:line="186" w:lineRule="exact"/>
        <w:rPr>
          <w:rFonts w:ascii="Arial" w:cs="Arial" w:eastAsia="Arial" w:hAnsi="Arial"/>
          <w:sz w:val="18"/>
          <w:szCs w:val="18"/>
          <w:color w:val="auto"/>
        </w:rPr>
      </w:pPr>
    </w:p>
    <w:p>
      <w:pPr>
        <w:ind w:left="-60" w:right="20" w:firstLine="656"/>
        <w:spacing w:after="0" w:line="28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Former Agent agrees that to further effectuate the purposes of this Restatement Agreement, it shall, in each case at the Borrower’s sole expense, upon the Administrative Agent’s or Collateral Agent’s reasonable written request, use commercially reasonable efforts to (i) furnish additional releases, assignments, termination statements and such other documents, instruments and agreements as are customary in order to effect and evidence more fully the matters covered hereby, (ii) deliver to Collateral Agent any original instruments, promissory notes and other property that the Former Agent holds in its capacity as Administrative Agent or Collateral Agent for the Secured Parties and (iii) execute any additional documents and take such further actions that are reasonably necessary to effect the purposes hereof (including executing any documents relating to any Credit Document reasonably necessary to vest in the Administrative Agent and the Collateral Agent all of the powers and rights of the Former Agent). The Former Agent agrees that the Collateral Agent is authorized as it may reasonably deem necessary or appropriate to file such UCC financing statements and amendments under the Uniform Commercial Code as the Administrative Agent reasonably deems necessary to effectuate the matters referred to herein. The Credit Parties further agree that the Collateral Agent is authorized as it may reasonably deem necessary or appropriate to file initial financing statements, assignments of financing statements, financing change statements, and amended financing statements, to make any and all filings with the United States Patent and Trademark Office, the United States Copyright Office, and to make any amendment, assignment or other filings with respect to any real property covered by mortgages in any United States (including in any state thereof), in each instance covering any of the applicable Collateral in order to (i) effectuate the matters referred to herein or (ii) continue the perfection of the Liens granted or purported to be granted by the Security Documents.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9" w:name="page10"/>
    <w:bookmarkEnd w:id="9"/>
    <w:p>
      <w:pPr>
        <w:ind w:left="-60" w:right="100" w:firstLine="656"/>
        <w:spacing w:after="0" w:line="270" w:lineRule="auto"/>
        <w:tabs>
          <w:tab w:leader="none" w:pos="111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Former Agent may, but shall have no obligation to, disclose to, share with or otherwise exchange with the Administrative Agent information and documents under this Section 7 that is otherwise protected against disclosure by privilege, doctrine or rule of confidentiality (such information and documents, “</w:t>
      </w:r>
      <w:r>
        <w:rPr>
          <w:rFonts w:ascii="Arial" w:cs="Arial" w:eastAsia="Arial" w:hAnsi="Arial"/>
          <w:sz w:val="17"/>
          <w:szCs w:val="17"/>
          <w:b w:val="1"/>
          <w:bCs w:val="1"/>
          <w:color w:val="auto"/>
        </w:rPr>
        <w:t>Privileged Information</w:t>
      </w:r>
      <w:r>
        <w:rPr>
          <w:rFonts w:ascii="Arial" w:cs="Arial" w:eastAsia="Arial" w:hAnsi="Arial"/>
          <w:sz w:val="17"/>
          <w:szCs w:val="17"/>
          <w:color w:val="auto"/>
        </w:rPr>
        <w:t>”) and the disclosure, sharing or other exchange of any Privileged Information by the Former Agent shall in no way give rise to, or be deemed to give rise to, any duty, obligation or liability of any kind or nature on the part of the Former Agent in connection therewith (including, without limitation, any duty or obligation to disclose, share or exchange any other or further Privileged Information or any liability for any failure to do so). In connection with the foregoing, it is the intention and understanding of the Former Agent and the Administrative Agent that any disclosure, sharing or other exchange of Privileged Information will not (i) waive any applicable privilege, doctrine or rule of protection from disclosure, (ii) diminish the confidentiality of the Privileged Information or (iii) be asserted as a waiver of any such privilege, doctrine or rule by the Former Agent or the Administrative Agent. If requested by the Former Agent, the Administrative Agent will thereupon enter into any agreement or agreements as the Former Agent may reasonably request in order to further effectuate the intentions set forth in the foregoing sentence.</w:t>
      </w:r>
    </w:p>
    <w:p>
      <w:pPr>
        <w:spacing w:after="0" w:line="177" w:lineRule="exact"/>
        <w:rPr>
          <w:rFonts w:ascii="Arial" w:cs="Arial" w:eastAsia="Arial" w:hAnsi="Arial"/>
          <w:sz w:val="17"/>
          <w:szCs w:val="17"/>
          <w:color w:val="auto"/>
        </w:rPr>
      </w:pPr>
    </w:p>
    <w:p>
      <w:pPr>
        <w:ind w:left="-60" w:firstLine="656"/>
        <w:spacing w:after="0" w:line="271" w:lineRule="auto"/>
        <w:tabs>
          <w:tab w:leader="none" w:pos="11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Notwithstanding anything in this Restatement Agreement or in the Credit Documents to the contrary, the provisions of Section 12, Section 13.5 and Section 13.6 of the Credit Agreement shall continue in effect for the benefit of the Former Agent and its sub-agents, in each case, in their capacity as administrative agent, collateral agent, sub-agent or Former Agent, as applicable, in connection with or as a result of the execution or delivery of this Restatement Agreement or any other Credit Document, or any amendment, amendment and restatement, modification or waiver of the provisions hereof or thereof, or any agreement or instrument contemplated hereby or thereby, the performance by the parties hereto of their respective obligations hereunder or thereunder (including without limitation for any actions taken or omitted to be taken by any of them in connection with any of the foregoing while the Former Agent was acting as administrative agent and collateral agent under the Credit Documents and while the Former Agent was acting as bailee or sub-agent for the Administrative Agent) or the consummation of the transactions contemplated hereby or thereby.</w:t>
      </w:r>
    </w:p>
    <w:p>
      <w:pPr>
        <w:spacing w:after="0" w:line="178" w:lineRule="exact"/>
        <w:rPr>
          <w:rFonts w:ascii="Arial" w:cs="Arial" w:eastAsia="Arial" w:hAnsi="Arial"/>
          <w:sz w:val="17"/>
          <w:szCs w:val="17"/>
          <w:color w:val="auto"/>
        </w:rPr>
      </w:pPr>
    </w:p>
    <w:p>
      <w:pPr>
        <w:ind w:left="-60" w:firstLine="656"/>
        <w:spacing w:after="0" w:line="288" w:lineRule="auto"/>
        <w:tabs>
          <w:tab w:leader="none" w:pos="10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Notwithstanding anything in this Restatement Agreement or in the Credit Documents to the contrary, all parties hereto agree that the knowledge of the Former Agent under the Credit Agreement and the other Credit Documents in effect immediately prior to the date hereof shall not be imputed to the Administrative Agent or the Collateral Agent. Bank of America shall have no responsibility or liability for any actions taken or omitted to be taken by GS Bank in its capacity as the Former Agent or as bailee or sub-agent hereunder or for any other action taken or omitted to be taken by the Former Agent or any of its Related Parties in any way related to the Credit Documents (including any actions taken or omitted to be taken by the Former Agent under this Restatement Agreement) or otherwise contemplated by any Credit Document or any agreement contemplated by any Credit Document. GS Bank shall have no responsibility or liability for any actions taken or omitted to be taken by Bank of America in its capacity as Administrative Agent or the Collateral Agent or for any other action taken or omitted to be taken by the Administrative Agent or the Collateral Agent or any of their Related Parties in any way related to the Credit Documents (including any actions taken or omitted to be taken by the Administrative Agent or Collateral Agent under this Restatement Agreement) or otherwise contemplated by any Credit Document or any agreement contemplated by any Credit Document.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10" w:name="page11"/>
    <w:bookmarkEnd w:id="10"/>
    <w:p>
      <w:pPr>
        <w:jc w:val="both"/>
        <w:ind w:right="60" w:firstLine="648"/>
        <w:spacing w:after="0" w:line="28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Release of Former Agent</w:t>
      </w:r>
      <w:r>
        <w:rPr>
          <w:rFonts w:ascii="Arial" w:cs="Arial" w:eastAsia="Arial" w:hAnsi="Arial"/>
          <w:sz w:val="17"/>
          <w:szCs w:val="17"/>
          <w:color w:val="auto"/>
        </w:rPr>
        <w:t>. The Borrower (on behalf of itself and the other Credit Parties), the Administrative Agent and the Former Agent hereby agree that neither the Former Agent, nor any of its affiliates, nor any of its and their respective officers, directors, employees, representatives, agents or affiliates, shall bear any responsibility or liability for any actions taken or omitted to be taken by the Administrative Agent.</w:t>
      </w:r>
    </w:p>
    <w:p>
      <w:pPr>
        <w:spacing w:after="0" w:line="16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Amendment, Modification and Waiver</w:t>
      </w:r>
      <w:r>
        <w:rPr>
          <w:rFonts w:ascii="Arial" w:cs="Arial" w:eastAsia="Arial" w:hAnsi="Arial"/>
          <w:sz w:val="18"/>
          <w:szCs w:val="18"/>
          <w:color w:val="auto"/>
        </w:rPr>
        <w:t>. This Restatement Agreement may not be amended, modified or waived except by an instrument or instruments in writing signed and delivered on behalf of each of the parties hereto.</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RESTATEMENT AGREEMENT AND THE RIGHTS AND OBLIGATIONS OF THE PARTIES HEREUNDER SHALL BE GOVERNED BY, AND CONSTRUED AND INTERPRETED IN ACCORDANCE WITH, THE LAW OF THE STATE OF NEW YORK. Sections 13.13 and 13.15 of the Credit Agreement are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Restatement Agreement which is invalid or unenforceable in any jurisdiction shall, as to that jurisdiction, be ineffective to the extent of such invalidity or unenforceability without rendering invalid or unenforceable the remaining terms and provisions of this Restatement Agreement or affecting the validity or enforceability of any of the terms or provisions of this Restatement Agreement in any other jurisdiction. If any provision of this Restatement Agreement is so broad as to be unenforceable, the provision shall be interpreted to be only so broad as would be enforceable.</w:t>
      </w:r>
    </w:p>
    <w:p>
      <w:pPr>
        <w:spacing w:after="0" w:line="188"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Counterparts</w:t>
      </w:r>
      <w:r>
        <w:rPr>
          <w:rFonts w:ascii="Arial" w:cs="Arial" w:eastAsia="Arial" w:hAnsi="Arial"/>
          <w:sz w:val="17"/>
          <w:szCs w:val="17"/>
          <w:color w:val="auto"/>
        </w:rPr>
        <w:t>. This Restatement Agreement may be executed in counterparts (including by facsimile or other electronic transmission), each of which shall be deemed to be an original, but all of which shall constitute one and the same agreement.</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11" w:name="page12"/>
    <w:bookmarkEnd w:id="11"/>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Restatement Agreement to be executed by their respective authorized officers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above written.</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NAUTILUS ACQUISITION HOLDINGS, INC.</w:t>
      </w:r>
      <w:r>
        <w:rPr>
          <w:rFonts w:ascii="Arial" w:cs="Arial" w:eastAsia="Arial" w:hAnsi="Arial"/>
          <w:sz w:val="18"/>
          <w:szCs w:val="18"/>
          <w:color w:val="auto"/>
        </w:rPr>
        <w:t>, as Holdings</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R. Moore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Patrick R. Moore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NATIONAL VISION, INC.</w:t>
            </w:r>
            <w:r>
              <w:rPr>
                <w:rFonts w:ascii="Arial" w:cs="Arial" w:eastAsia="Arial" w:hAnsi="Arial"/>
                <w:sz w:val="18"/>
                <w:szCs w:val="18"/>
                <w:color w:val="auto"/>
              </w:rPr>
              <w:t>, as Borrower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R. Moore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Patrick R. Moore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OPTI-VISION FINANCE SERVICES, LLC</w:t>
      </w:r>
      <w:r>
        <w:rPr>
          <w:rFonts w:ascii="Arial" w:cs="Arial" w:eastAsia="Arial" w:hAnsi="Arial"/>
          <w:sz w:val="18"/>
          <w:szCs w:val="18"/>
          <w:color w:val="auto"/>
        </w:rPr>
        <w:t>, as Subsidiary Guarantor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R. Moore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Patrick R. Moore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19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ARLINGTON CONTACT LENS SERVICE, INC.</w:t>
      </w:r>
      <w:r>
        <w:rPr>
          <w:rFonts w:ascii="Arial" w:cs="Arial" w:eastAsia="Arial" w:hAnsi="Arial"/>
          <w:sz w:val="18"/>
          <w:szCs w:val="18"/>
          <w:color w:val="auto"/>
        </w:rPr>
        <w:t>, as Subsidiary Guarantor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R. Moore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Patrick R. Moore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VC IV, LLC</w:t>
            </w:r>
            <w:r>
              <w:rPr>
                <w:rFonts w:ascii="Arial" w:cs="Arial" w:eastAsia="Arial" w:hAnsi="Arial"/>
                <w:sz w:val="18"/>
                <w:szCs w:val="18"/>
                <w:color w:val="auto"/>
              </w:rPr>
              <w:t>, as Subsidiary Guarantor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R. Moore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Patrick R. Moore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4520"/>
        <w:spacing w:after="0"/>
        <w:rPr>
          <w:sz w:val="20"/>
          <w:szCs w:val="20"/>
          <w:color w:val="auto"/>
        </w:rPr>
      </w:pPr>
      <w:r>
        <w:rPr>
          <w:rFonts w:ascii="Arial" w:cs="Arial" w:eastAsia="Arial" w:hAnsi="Arial"/>
          <w:sz w:val="18"/>
          <w:szCs w:val="18"/>
          <w:b w:val="1"/>
          <w:bCs w:val="1"/>
          <w:color w:val="auto"/>
        </w:rPr>
        <w:t>NVAL HEALTHCARE SYSTEMS, INC.</w:t>
      </w:r>
      <w:r>
        <w:rPr>
          <w:rFonts w:ascii="Arial" w:cs="Arial" w:eastAsia="Arial" w:hAnsi="Arial"/>
          <w:sz w:val="18"/>
          <w:szCs w:val="18"/>
          <w:color w:val="auto"/>
        </w:rPr>
        <w:t>, as Subsidiary Guarantor</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R. Moore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Patrick R. Moore</w:t>
            </w:r>
          </w:p>
        </w:tc>
      </w:tr>
      <w:tr>
        <w:trPr>
          <w:trHeight w:val="216"/>
        </w:trPr>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Senior Vice President and</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INTERNATIONAL VISION ASSOCIATES, LTD</w:t>
      </w:r>
      <w:r>
        <w:rPr>
          <w:rFonts w:ascii="Arial" w:cs="Arial" w:eastAsia="Arial" w:hAnsi="Arial"/>
          <w:sz w:val="17"/>
          <w:szCs w:val="17"/>
          <w:color w:val="auto"/>
        </w:rPr>
        <w:t>, as Subsidiary Guarantor</w:t>
      </w: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R. Moore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Patrick R. Moore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3" w:name="page14"/>
    <w:bookmarkEnd w:id="13"/>
    <w:p>
      <w:pPr>
        <w:ind w:left="4520"/>
        <w:spacing w:after="0"/>
        <w:rPr>
          <w:sz w:val="20"/>
          <w:szCs w:val="20"/>
          <w:color w:val="auto"/>
        </w:rPr>
      </w:pPr>
      <w:r>
        <w:rPr>
          <w:rFonts w:ascii="Arial" w:cs="Arial" w:eastAsia="Arial" w:hAnsi="Arial"/>
          <w:sz w:val="17"/>
          <w:szCs w:val="17"/>
          <w:b w:val="1"/>
          <w:bCs w:val="1"/>
          <w:color w:val="auto"/>
        </w:rPr>
        <w:t>GOLDMAN SACHS BANK USA</w:t>
      </w:r>
      <w:r>
        <w:rPr>
          <w:rFonts w:ascii="Arial" w:cs="Arial" w:eastAsia="Arial" w:hAnsi="Arial"/>
          <w:sz w:val="17"/>
          <w:szCs w:val="17"/>
          <w:color w:val="auto"/>
        </w:rPr>
        <w:t>, as Former Agent</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Annie Carr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 w:name="page15"/>
    <w:bookmarkEnd w:id="14"/>
    <w:p>
      <w:pPr>
        <w:ind w:left="452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 as Administrative Agent and Collateral Agent</w:t>
      </w: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M. Truette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Eric M. Truette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ind w:left="4520" w:right="540"/>
        <w:spacing w:after="0" w:line="282" w:lineRule="auto"/>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Term A Lender, a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and a Letter of Credit Issuer</w:t>
      </w:r>
    </w:p>
    <w:p>
      <w:pPr>
        <w:spacing w:after="0" w:line="166"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Charlie Hart</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Charlie Hart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5" w:name="page16"/>
    <w:bookmarkEnd w:id="15"/>
    <w:p>
      <w:pPr>
        <w:ind w:left="4520"/>
        <w:spacing w:after="0" w:line="282" w:lineRule="auto"/>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a Term A Lender, a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and a Letter of Credit Issuer</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Rossman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Andrew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40"/>
          </w:cols>
          <w:pgMar w:left="1440" w:top="904" w:right="819" w:bottom="1440" w:gutter="0" w:footer="0" w:header="0"/>
        </w:sectPr>
      </w:pPr>
    </w:p>
    <w:bookmarkStart w:id="16" w:name="page17"/>
    <w:bookmarkEnd w:id="16"/>
    <w:p>
      <w:pPr>
        <w:ind w:left="4520" w:right="400"/>
        <w:spacing w:after="0" w:line="282" w:lineRule="auto"/>
        <w:rPr>
          <w:sz w:val="20"/>
          <w:szCs w:val="20"/>
          <w:color w:val="auto"/>
        </w:rPr>
      </w:pPr>
      <w:r>
        <w:rPr>
          <w:rFonts w:ascii="Arial" w:cs="Arial" w:eastAsia="Arial" w:hAnsi="Arial"/>
          <w:sz w:val="18"/>
          <w:szCs w:val="18"/>
          <w:b w:val="1"/>
          <w:bCs w:val="1"/>
          <w:color w:val="auto"/>
        </w:rPr>
        <w:t>WELLS FARGO BANK, N.A.</w:t>
      </w:r>
      <w:r>
        <w:rPr>
          <w:rFonts w:ascii="Arial" w:cs="Arial" w:eastAsia="Arial" w:hAnsi="Arial"/>
          <w:sz w:val="18"/>
          <w:szCs w:val="18"/>
          <w:color w:val="auto"/>
        </w:rPr>
        <w:t>, as a Term A Lender, a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and a Letter of Credit Issuer</w:t>
      </w:r>
    </w:p>
    <w:p>
      <w:pPr>
        <w:spacing w:after="0" w:line="166"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Maribelle Villaseñor</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Maribelle Villaseñor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color w:val="auto"/>
        </w:rPr>
        <w:t>Fifth Third Bank, as a Term A Lender, and a Revolving Credit Lender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J Ramsey</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Mary J Ramsey</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Senior Vice President</w:t>
            </w: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8" w:name="page19"/>
    <w:bookmarkEnd w:id="18"/>
    <w:p>
      <w:pPr>
        <w:ind w:left="4520"/>
        <w:spacing w:after="0"/>
        <w:rPr>
          <w:sz w:val="20"/>
          <w:szCs w:val="20"/>
          <w:color w:val="auto"/>
        </w:rPr>
      </w:pPr>
      <w:r>
        <w:rPr>
          <w:rFonts w:ascii="Arial" w:cs="Arial" w:eastAsia="Arial" w:hAnsi="Arial"/>
          <w:sz w:val="17"/>
          <w:szCs w:val="17"/>
          <w:b w:val="1"/>
          <w:bCs w:val="1"/>
          <w:color w:val="auto"/>
        </w:rPr>
        <w:t>SUNTRUST BANK</w:t>
      </w:r>
      <w:r>
        <w:rPr>
          <w:rFonts w:ascii="Arial" w:cs="Arial" w:eastAsia="Arial" w:hAnsi="Arial"/>
          <w:sz w:val="17"/>
          <w:szCs w:val="17"/>
          <w:color w:val="auto"/>
        </w:rPr>
        <w:t>, as a Term A Lender, and a Revolving Credit Lender</w:t>
      </w: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Miller</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Will Miller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9" w:name="page20"/>
    <w:bookmarkEnd w:id="19"/>
    <w:p>
      <w:pPr>
        <w:ind w:left="4520"/>
        <w:spacing w:after="0" w:line="282" w:lineRule="auto"/>
        <w:rPr>
          <w:sz w:val="20"/>
          <w:szCs w:val="20"/>
          <w:color w:val="auto"/>
        </w:rPr>
      </w:pPr>
      <w:r>
        <w:rPr>
          <w:rFonts w:ascii="Arial" w:cs="Arial" w:eastAsia="Arial" w:hAnsi="Arial"/>
          <w:sz w:val="18"/>
          <w:szCs w:val="18"/>
          <w:b w:val="1"/>
          <w:bCs w:val="1"/>
          <w:color w:val="auto"/>
        </w:rPr>
        <w:t>GOLDMAN SACHS BANK USA</w:t>
      </w:r>
      <w:r>
        <w:rPr>
          <w:rFonts w:ascii="Arial" w:cs="Arial" w:eastAsia="Arial" w:hAnsi="Arial"/>
          <w:sz w:val="18"/>
          <w:szCs w:val="18"/>
          <w:color w:val="auto"/>
        </w:rPr>
        <w:t>, as a Revolving Credit Lender and a Letter</w:t>
      </w:r>
      <w:r>
        <w:rPr>
          <w:rFonts w:ascii="Arial" w:cs="Arial" w:eastAsia="Arial" w:hAnsi="Arial"/>
          <w:sz w:val="18"/>
          <w:szCs w:val="18"/>
          <w:b w:val="1"/>
          <w:bCs w:val="1"/>
          <w:color w:val="auto"/>
        </w:rPr>
        <w:t xml:space="preserve"> </w:t>
      </w:r>
      <w:r>
        <w:rPr>
          <w:rFonts w:ascii="Arial" w:cs="Arial" w:eastAsia="Arial" w:hAnsi="Arial"/>
          <w:sz w:val="18"/>
          <w:szCs w:val="18"/>
          <w:color w:val="auto"/>
        </w:rPr>
        <w:t>of Credit Issuer</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Annie Carr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4" w:right="259" w:bottom="1440" w:gutter="0" w:footer="0" w:header="0"/>
        </w:sectPr>
      </w:pPr>
    </w:p>
    <w:bookmarkStart w:id="20" w:name="page21"/>
    <w:bookmarkEnd w:id="20"/>
    <w:p>
      <w:pPr>
        <w:ind w:left="45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Revolving Credit Lender</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Alvaro De Velasco</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Alvaro De Velasco</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1" w:name="page22"/>
    <w:bookmarkEnd w:id="21"/>
    <w:p>
      <w:pPr>
        <w:ind w:left="4520"/>
        <w:spacing w:after="0"/>
        <w:rPr>
          <w:sz w:val="20"/>
          <w:szCs w:val="20"/>
          <w:color w:val="auto"/>
        </w:rPr>
      </w:pPr>
      <w:r>
        <w:rPr>
          <w:rFonts w:ascii="Arial" w:cs="Arial" w:eastAsia="Arial" w:hAnsi="Arial"/>
          <w:sz w:val="16"/>
          <w:szCs w:val="16"/>
          <w:b w:val="1"/>
          <w:bCs w:val="1"/>
          <w:color w:val="auto"/>
        </w:rPr>
        <w:t>Barclays Bank PLC</w:t>
      </w:r>
      <w:r>
        <w:rPr>
          <w:rFonts w:ascii="Arial" w:cs="Arial" w:eastAsia="Arial" w:hAnsi="Arial"/>
          <w:sz w:val="16"/>
          <w:szCs w:val="16"/>
          <w:color w:val="auto"/>
        </w:rPr>
        <w:t>, as a Term A Lender and a Revolving Credit Lender</w:t>
      </w:r>
    </w:p>
    <w:p>
      <w:pPr>
        <w:spacing w:after="0" w:line="25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Ritam Bhalla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40"/>
          </w:cols>
          <w:pgMar w:left="1440" w:top="904" w:right="619" w:bottom="1440" w:gutter="0" w:footer="0" w:header="0"/>
        </w:sectPr>
      </w:pPr>
    </w:p>
    <w:bookmarkStart w:id="22" w:name="page23"/>
    <w:bookmarkEnd w:id="22"/>
    <w:p>
      <w:pPr>
        <w:ind w:left="4520"/>
        <w:spacing w:after="0" w:line="282" w:lineRule="auto"/>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 as a Term A Lender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 Revolving Credit Lender</w:t>
      </w:r>
    </w:p>
    <w:p>
      <w:pPr>
        <w:spacing w:after="0" w:line="16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40"/>
          </w:cols>
          <w:pgMar w:left="1440" w:top="904" w:right="319"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color w:val="auto"/>
        </w:rPr>
        <w:t>Stifel Bank &amp; Trust, as a Term A Lender and a Revolving Credit Lender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M. Roessler</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Laura M. Roessler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4" w:name="page25"/>
    <w:bookmarkEnd w:id="24"/>
    <w:p>
      <w:pPr>
        <w:ind w:left="4520"/>
        <w:spacing w:after="0"/>
        <w:rPr>
          <w:sz w:val="20"/>
          <w:szCs w:val="20"/>
          <w:color w:val="auto"/>
        </w:rPr>
      </w:pPr>
      <w:r>
        <w:rPr>
          <w:rFonts w:ascii="Arial" w:cs="Arial" w:eastAsia="Arial" w:hAnsi="Arial"/>
          <w:sz w:val="16"/>
          <w:szCs w:val="16"/>
          <w:b w:val="1"/>
          <w:bCs w:val="1"/>
          <w:color w:val="auto"/>
        </w:rPr>
        <w:t>Synovus Bank</w:t>
      </w:r>
      <w:r>
        <w:rPr>
          <w:rFonts w:ascii="Arial" w:cs="Arial" w:eastAsia="Arial" w:hAnsi="Arial"/>
          <w:sz w:val="16"/>
          <w:szCs w:val="16"/>
          <w:color w:val="auto"/>
        </w:rPr>
        <w:t>, as a Term A Lender, and a Revolving Credit Lender</w:t>
      </w:r>
    </w:p>
    <w:p>
      <w:pPr>
        <w:spacing w:after="0" w:line="25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Anne Lovette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Anne Lovette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40"/>
          </w:cols>
          <w:pgMar w:left="1440" w:top="904" w:right="1019" w:bottom="1440" w:gutter="0" w:footer="0" w:header="0"/>
        </w:sectPr>
      </w:pPr>
    </w:p>
    <w:bookmarkStart w:id="25" w:name="page26"/>
    <w:bookmarkEnd w:id="25"/>
    <w:p>
      <w:pPr>
        <w:ind w:left="4520" w:right="20"/>
        <w:spacing w:after="0" w:line="282" w:lineRule="auto"/>
        <w:rPr>
          <w:sz w:val="20"/>
          <w:szCs w:val="20"/>
          <w:color w:val="auto"/>
        </w:rPr>
      </w:pPr>
      <w:r>
        <w:rPr>
          <w:rFonts w:ascii="Arial" w:cs="Arial" w:eastAsia="Arial" w:hAnsi="Arial"/>
          <w:sz w:val="18"/>
          <w:szCs w:val="18"/>
          <w:b w:val="1"/>
          <w:bCs w:val="1"/>
          <w:color w:val="auto"/>
        </w:rPr>
        <w:t>HANCOCK WHITNEY BANK</w:t>
      </w:r>
      <w:r>
        <w:rPr>
          <w:rFonts w:ascii="Arial" w:cs="Arial" w:eastAsia="Arial" w:hAnsi="Arial"/>
          <w:sz w:val="18"/>
          <w:szCs w:val="18"/>
          <w:color w:val="auto"/>
        </w:rPr>
        <w:t>, as a Term A Lender and a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166"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N. Livingston</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Joshua N. Livingston</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Duly Authorized Signatory</w:t>
            </w: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6" w:name="page27"/>
    <w:bookmarkEnd w:id="26"/>
    <w:p>
      <w:pPr>
        <w:ind w:left="4520" w:right="460"/>
        <w:spacing w:after="0" w:line="282" w:lineRule="auto"/>
        <w:rPr>
          <w:sz w:val="20"/>
          <w:szCs w:val="20"/>
          <w:color w:val="auto"/>
        </w:rPr>
      </w:pPr>
      <w:r>
        <w:rPr>
          <w:rFonts w:ascii="Arial" w:cs="Arial" w:eastAsia="Arial" w:hAnsi="Arial"/>
          <w:sz w:val="18"/>
          <w:szCs w:val="18"/>
          <w:b w:val="1"/>
          <w:bCs w:val="1"/>
          <w:color w:val="auto"/>
        </w:rPr>
        <w:t>UNITED COMMUNITY BANK</w:t>
      </w:r>
      <w:r>
        <w:rPr>
          <w:rFonts w:ascii="Arial" w:cs="Arial" w:eastAsia="Arial" w:hAnsi="Arial"/>
          <w:sz w:val="18"/>
          <w:szCs w:val="18"/>
          <w:color w:val="auto"/>
        </w:rPr>
        <w:t>, as a Term A Lender and a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Lender</w:t>
      </w:r>
    </w:p>
    <w:p>
      <w:pPr>
        <w:spacing w:after="0" w:line="166"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Wilson</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Jeff Wilson</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7" w:name="page28"/>
    <w:bookmarkEnd w:id="27"/>
    <w:p>
      <w:pPr>
        <w:ind w:left="4520" w:right="340"/>
        <w:spacing w:after="0" w:line="282" w:lineRule="auto"/>
        <w:rPr>
          <w:sz w:val="20"/>
          <w:szCs w:val="20"/>
          <w:color w:val="auto"/>
        </w:rPr>
      </w:pPr>
      <w:r>
        <w:rPr>
          <w:rFonts w:ascii="Arial" w:cs="Arial" w:eastAsia="Arial" w:hAnsi="Arial"/>
          <w:sz w:val="18"/>
          <w:szCs w:val="18"/>
          <w:b w:val="1"/>
          <w:bCs w:val="1"/>
          <w:color w:val="auto"/>
        </w:rPr>
        <w:t>Atlantic Capital Bank, N.A.</w:t>
      </w:r>
      <w:r>
        <w:rPr>
          <w:rFonts w:ascii="Arial" w:cs="Arial" w:eastAsia="Arial" w:hAnsi="Arial"/>
          <w:sz w:val="18"/>
          <w:szCs w:val="18"/>
          <w:color w:val="auto"/>
        </w:rPr>
        <w:t>, as a Term A Lender and a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166"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Oglesby, Jr</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Richard A. Oglesby, Jr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E.V.P.</w:t>
            </w: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Restatement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8" w:name="page29"/>
    <w:bookmarkEnd w:id="28"/>
    <w:p>
      <w:pPr>
        <w:ind w:left="4160"/>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Published CUSIP Number: 63845QAD1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Revolving Loan CUSIP Number: 63845QAE9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Term Loan CUSIP Number: 63845QAF6</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AMENDED AND RESTATED CREDIT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July 18, 2019,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NAUTILUS ACQUISITION HOLDINGS,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NATIONAL VISION,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Several Lenders</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from Time to Time Parties Hereto,</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as the Administrative Agent, the Collateral Agent, the Swingline Lender and a Lender,</w:t>
      </w: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Letter of Credit Issuers Parties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KKR CAPITAL MARKETS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 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Bookrunners,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 and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WELLS FARGO BANK, N.A., as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Agents</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FIFTH THIRD BANK, and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Documentation Agents</w:t>
      </w:r>
    </w:p>
    <w:p>
      <w:pPr>
        <w:spacing w:after="0" w:line="200" w:lineRule="exact"/>
        <w:rPr>
          <w:sz w:val="20"/>
          <w:szCs w:val="20"/>
          <w:color w:val="auto"/>
        </w:rPr>
      </w:pPr>
    </w:p>
    <w:p>
      <w:pPr>
        <w:spacing w:after="0" w:line="22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16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Definitions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Defined Terms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1.2</w:t>
            </w:r>
          </w:p>
        </w:tc>
        <w:tc>
          <w:tcPr>
            <w:tcW w:w="9160" w:type="dxa"/>
            <w:vAlign w:val="bottom"/>
          </w:tcPr>
          <w:p>
            <w:pPr>
              <w:ind w:left="260"/>
              <w:spacing w:after="0"/>
              <w:rPr>
                <w:sz w:val="20"/>
                <w:szCs w:val="20"/>
                <w:color w:val="auto"/>
              </w:rPr>
            </w:pPr>
            <w:r>
              <w:rPr>
                <w:rFonts w:ascii="Arial" w:cs="Arial" w:eastAsia="Arial" w:hAnsi="Arial"/>
                <w:sz w:val="18"/>
                <w:szCs w:val="18"/>
                <w:color w:val="auto"/>
              </w:rPr>
              <w:t>Other Interpretive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1.3</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Accounting Terms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1.4</w:t>
            </w:r>
          </w:p>
        </w:tc>
        <w:tc>
          <w:tcPr>
            <w:tcW w:w="9160" w:type="dxa"/>
            <w:vAlign w:val="bottom"/>
          </w:tcPr>
          <w:p>
            <w:pPr>
              <w:ind w:left="260"/>
              <w:spacing w:after="0"/>
              <w:rPr>
                <w:sz w:val="20"/>
                <w:szCs w:val="20"/>
                <w:color w:val="auto"/>
              </w:rPr>
            </w:pPr>
            <w:r>
              <w:rPr>
                <w:rFonts w:ascii="Arial" w:cs="Arial" w:eastAsia="Arial" w:hAnsi="Arial"/>
                <w:sz w:val="18"/>
                <w:szCs w:val="18"/>
                <w:color w:val="auto"/>
              </w:rPr>
              <w:t>Rounding</w:t>
            </w: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1.5</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References to Agreements Laws, Etc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1.6</w:t>
            </w:r>
          </w:p>
        </w:tc>
        <w:tc>
          <w:tcPr>
            <w:tcW w:w="9160" w:type="dxa"/>
            <w:vAlign w:val="bottom"/>
          </w:tcPr>
          <w:p>
            <w:pPr>
              <w:ind w:left="260"/>
              <w:spacing w:after="0"/>
              <w:rPr>
                <w:sz w:val="20"/>
                <w:szCs w:val="20"/>
                <w:color w:val="auto"/>
              </w:rPr>
            </w:pPr>
            <w:r>
              <w:rPr>
                <w:rFonts w:ascii="Arial" w:cs="Arial" w:eastAsia="Arial" w:hAnsi="Arial"/>
                <w:sz w:val="18"/>
                <w:szCs w:val="18"/>
                <w:color w:val="auto"/>
              </w:rPr>
              <w:t>Exchange Rates</w:t>
            </w: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1.7</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Rates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1.8</w:t>
            </w:r>
          </w:p>
        </w:tc>
        <w:tc>
          <w:tcPr>
            <w:tcW w:w="9160" w:type="dxa"/>
            <w:vAlign w:val="bottom"/>
          </w:tcPr>
          <w:p>
            <w:pPr>
              <w:ind w:left="260"/>
              <w:spacing w:after="0"/>
              <w:rPr>
                <w:sz w:val="20"/>
                <w:szCs w:val="20"/>
                <w:color w:val="auto"/>
              </w:rPr>
            </w:pPr>
            <w:r>
              <w:rPr>
                <w:rFonts w:ascii="Arial" w:cs="Arial" w:eastAsia="Arial" w:hAnsi="Arial"/>
                <w:sz w:val="18"/>
                <w:szCs w:val="18"/>
                <w:color w:val="auto"/>
              </w:rPr>
              <w:t>Times of Day</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1.9</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Timing of Payment or Performance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1.10</w:t>
            </w:r>
          </w:p>
        </w:tc>
        <w:tc>
          <w:tcPr>
            <w:tcW w:w="9160" w:type="dxa"/>
            <w:vAlign w:val="bottom"/>
          </w:tcPr>
          <w:p>
            <w:pPr>
              <w:ind w:left="260"/>
              <w:spacing w:after="0"/>
              <w:rPr>
                <w:sz w:val="20"/>
                <w:szCs w:val="20"/>
                <w:color w:val="auto"/>
              </w:rPr>
            </w:pPr>
            <w:r>
              <w:rPr>
                <w:rFonts w:ascii="Arial" w:cs="Arial" w:eastAsia="Arial" w:hAnsi="Arial"/>
                <w:sz w:val="18"/>
                <w:szCs w:val="18"/>
                <w:color w:val="auto"/>
              </w:rPr>
              <w:t>Certifications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1.11</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Compliance with Certain Sections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1.12</w:t>
            </w:r>
          </w:p>
        </w:tc>
        <w:tc>
          <w:tcPr>
            <w:tcW w:w="9160" w:type="dxa"/>
            <w:vAlign w:val="bottom"/>
          </w:tcPr>
          <w:p>
            <w:pPr>
              <w:ind w:left="260"/>
              <w:spacing w:after="0"/>
              <w:rPr>
                <w:sz w:val="20"/>
                <w:szCs w:val="20"/>
                <w:color w:val="auto"/>
              </w:rPr>
            </w:pPr>
            <w:r>
              <w:rPr>
                <w:rFonts w:ascii="Arial" w:cs="Arial" w:eastAsia="Arial" w:hAnsi="Arial"/>
                <w:sz w:val="18"/>
                <w:szCs w:val="18"/>
                <w:color w:val="auto"/>
              </w:rPr>
              <w:t>Pro Forma and Other Calculations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1.13</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Divisions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1.14</w:t>
            </w:r>
          </w:p>
        </w:tc>
        <w:tc>
          <w:tcPr>
            <w:tcW w:w="9160" w:type="dxa"/>
            <w:vAlign w:val="bottom"/>
          </w:tcPr>
          <w:p>
            <w:pPr>
              <w:ind w:left="260"/>
              <w:spacing w:after="0"/>
              <w:rPr>
                <w:sz w:val="20"/>
                <w:szCs w:val="20"/>
                <w:color w:val="auto"/>
              </w:rPr>
            </w:pPr>
            <w:r>
              <w:rPr>
                <w:rFonts w:ascii="Arial" w:cs="Arial" w:eastAsia="Arial" w:hAnsi="Arial"/>
                <w:sz w:val="18"/>
                <w:szCs w:val="18"/>
                <w:color w:val="auto"/>
              </w:rPr>
              <w:t>Amendment and Restatement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Section 2</w:t>
            </w:r>
          </w:p>
        </w:tc>
        <w:tc>
          <w:tcPr>
            <w:tcW w:w="9160" w:type="dxa"/>
            <w:vAlign w:val="bottom"/>
          </w:tcPr>
          <w:p>
            <w:pPr>
              <w:ind w:left="260"/>
              <w:spacing w:after="0"/>
              <w:rPr>
                <w:sz w:val="20"/>
                <w:szCs w:val="20"/>
                <w:color w:val="auto"/>
              </w:rPr>
            </w:pPr>
            <w:r>
              <w:rPr>
                <w:rFonts w:ascii="Arial" w:cs="Arial" w:eastAsia="Arial" w:hAnsi="Arial"/>
                <w:sz w:val="18"/>
                <w:szCs w:val="18"/>
                <w:color w:val="auto"/>
              </w:rPr>
              <w:t>Amount and Terms of Credit</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2.1</w:t>
            </w:r>
          </w:p>
        </w:tc>
        <w:tc>
          <w:tcPr>
            <w:tcW w:w="9160" w:type="dxa"/>
            <w:vAlign w:val="bottom"/>
          </w:tcPr>
          <w:p>
            <w:pPr>
              <w:ind w:left="260"/>
              <w:spacing w:after="0"/>
              <w:rPr>
                <w:sz w:val="20"/>
                <w:szCs w:val="20"/>
                <w:color w:val="auto"/>
              </w:rPr>
            </w:pPr>
            <w:r>
              <w:rPr>
                <w:rFonts w:ascii="Arial" w:cs="Arial" w:eastAsia="Arial" w:hAnsi="Arial"/>
                <w:sz w:val="18"/>
                <w:szCs w:val="18"/>
                <w:color w:val="auto"/>
              </w:rPr>
              <w:t>Commitments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2.2</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Minimum Amount of Each Borrowing; Maximum Number of Borrowings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2.3</w:t>
            </w:r>
          </w:p>
        </w:tc>
        <w:tc>
          <w:tcPr>
            <w:tcW w:w="9160" w:type="dxa"/>
            <w:vAlign w:val="bottom"/>
          </w:tcPr>
          <w:p>
            <w:pPr>
              <w:ind w:left="260"/>
              <w:spacing w:after="0"/>
              <w:rPr>
                <w:sz w:val="20"/>
                <w:szCs w:val="20"/>
                <w:color w:val="auto"/>
              </w:rPr>
            </w:pPr>
            <w:r>
              <w:rPr>
                <w:rFonts w:ascii="Arial" w:cs="Arial" w:eastAsia="Arial" w:hAnsi="Arial"/>
                <w:sz w:val="18"/>
                <w:szCs w:val="18"/>
                <w:color w:val="auto"/>
              </w:rPr>
              <w:t>Notice of Borrowing</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2.4</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Disbursement of Funds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2.5</w:t>
            </w:r>
          </w:p>
        </w:tc>
        <w:tc>
          <w:tcPr>
            <w:tcW w:w="9160" w:type="dxa"/>
            <w:vAlign w:val="bottom"/>
          </w:tcPr>
          <w:p>
            <w:pPr>
              <w:ind w:left="260"/>
              <w:spacing w:after="0"/>
              <w:rPr>
                <w:sz w:val="20"/>
                <w:szCs w:val="20"/>
                <w:color w:val="auto"/>
              </w:rPr>
            </w:pPr>
            <w:r>
              <w:rPr>
                <w:rFonts w:ascii="Arial" w:cs="Arial" w:eastAsia="Arial" w:hAnsi="Arial"/>
                <w:sz w:val="18"/>
                <w:szCs w:val="18"/>
                <w:color w:val="auto"/>
              </w:rPr>
              <w:t>Repayment of Loans; Evidence of Debt</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2.6</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Conversions and Continuations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2.7</w:t>
            </w:r>
          </w:p>
        </w:tc>
        <w:tc>
          <w:tcPr>
            <w:tcW w:w="9160" w:type="dxa"/>
            <w:vAlign w:val="bottom"/>
          </w:tcPr>
          <w:p>
            <w:pPr>
              <w:ind w:left="260"/>
              <w:spacing w:after="0"/>
              <w:rPr>
                <w:sz w:val="20"/>
                <w:szCs w:val="20"/>
                <w:color w:val="auto"/>
              </w:rPr>
            </w:pPr>
            <w:r>
              <w:rPr>
                <w:rFonts w:ascii="Arial" w:cs="Arial" w:eastAsia="Arial" w:hAnsi="Arial"/>
                <w:sz w:val="18"/>
                <w:szCs w:val="18"/>
                <w:color w:val="auto"/>
              </w:rPr>
              <w:t>Pro Rata Borrowings</w:t>
            </w: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2.8</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2.9</w:t>
            </w:r>
          </w:p>
        </w:tc>
        <w:tc>
          <w:tcPr>
            <w:tcW w:w="9160" w:type="dxa"/>
            <w:vAlign w:val="bottom"/>
          </w:tcPr>
          <w:p>
            <w:pPr>
              <w:ind w:left="260"/>
              <w:spacing w:after="0"/>
              <w:rPr>
                <w:sz w:val="20"/>
                <w:szCs w:val="20"/>
                <w:color w:val="auto"/>
              </w:rPr>
            </w:pPr>
            <w:r>
              <w:rPr>
                <w:rFonts w:ascii="Arial" w:cs="Arial" w:eastAsia="Arial" w:hAnsi="Arial"/>
                <w:sz w:val="18"/>
                <w:szCs w:val="18"/>
                <w:color w:val="auto"/>
              </w:rPr>
              <w:t>Interest Periods</w:t>
            </w: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2.10</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Increased Costs, Illegality, Etc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2.11</w:t>
            </w:r>
          </w:p>
        </w:tc>
        <w:tc>
          <w:tcPr>
            <w:tcW w:w="9160" w:type="dxa"/>
            <w:vAlign w:val="bottom"/>
          </w:tcPr>
          <w:p>
            <w:pPr>
              <w:ind w:left="260"/>
              <w:spacing w:after="0"/>
              <w:rPr>
                <w:sz w:val="20"/>
                <w:szCs w:val="20"/>
                <w:color w:val="auto"/>
              </w:rPr>
            </w:pPr>
            <w:r>
              <w:rPr>
                <w:rFonts w:ascii="Arial" w:cs="Arial" w:eastAsia="Arial" w:hAnsi="Arial"/>
                <w:sz w:val="18"/>
                <w:szCs w:val="18"/>
                <w:color w:val="auto"/>
              </w:rPr>
              <w:t>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2.12</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of Lending Office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2.13</w:t>
            </w:r>
          </w:p>
        </w:tc>
        <w:tc>
          <w:tcPr>
            <w:tcW w:w="9160" w:type="dxa"/>
            <w:vAlign w:val="bottom"/>
          </w:tcPr>
          <w:p>
            <w:pPr>
              <w:ind w:left="260"/>
              <w:spacing w:after="0"/>
              <w:rPr>
                <w:sz w:val="20"/>
                <w:szCs w:val="20"/>
                <w:color w:val="auto"/>
              </w:rPr>
            </w:pPr>
            <w:r>
              <w:rPr>
                <w:rFonts w:ascii="Arial" w:cs="Arial" w:eastAsia="Arial" w:hAnsi="Arial"/>
                <w:sz w:val="18"/>
                <w:szCs w:val="18"/>
                <w:color w:val="auto"/>
              </w:rPr>
              <w:t>Notice of Certain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2.14</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Incremental Facilities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2.15</w:t>
            </w:r>
          </w:p>
        </w:tc>
        <w:tc>
          <w:tcPr>
            <w:tcW w:w="9160" w:type="dxa"/>
            <w:vAlign w:val="bottom"/>
          </w:tcPr>
          <w:p>
            <w:pPr>
              <w:ind w:left="260"/>
              <w:spacing w:after="0"/>
              <w:rPr>
                <w:sz w:val="20"/>
                <w:szCs w:val="20"/>
                <w:color w:val="auto"/>
              </w:rPr>
            </w:pPr>
            <w:r>
              <w:rPr>
                <w:rFonts w:ascii="Arial" w:cs="Arial" w:eastAsia="Arial" w:hAnsi="Arial"/>
                <w:sz w:val="18"/>
                <w:szCs w:val="18"/>
                <w:color w:val="auto"/>
              </w:rPr>
              <w:t>[Reserved]</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2.16</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Defaulting Lenders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Letters of Credit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3.1</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Letters of Credit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3.2</w:t>
            </w:r>
          </w:p>
        </w:tc>
        <w:tc>
          <w:tcPr>
            <w:tcW w:w="9160" w:type="dxa"/>
            <w:vAlign w:val="bottom"/>
          </w:tcPr>
          <w:p>
            <w:pPr>
              <w:ind w:left="260"/>
              <w:spacing w:after="0"/>
              <w:rPr>
                <w:sz w:val="20"/>
                <w:szCs w:val="20"/>
                <w:color w:val="auto"/>
              </w:rPr>
            </w:pPr>
            <w:r>
              <w:rPr>
                <w:rFonts w:ascii="Arial" w:cs="Arial" w:eastAsia="Arial" w:hAnsi="Arial"/>
                <w:sz w:val="18"/>
                <w:szCs w:val="18"/>
                <w:color w:val="auto"/>
              </w:rPr>
              <w:t>Letter of Credit Requests</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3.3</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Letter of Credit Participations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3.4</w:t>
            </w:r>
          </w:p>
        </w:tc>
        <w:tc>
          <w:tcPr>
            <w:tcW w:w="9160" w:type="dxa"/>
            <w:vAlign w:val="bottom"/>
          </w:tcPr>
          <w:p>
            <w:pPr>
              <w:ind w:left="260"/>
              <w:spacing w:after="0"/>
              <w:rPr>
                <w:sz w:val="20"/>
                <w:szCs w:val="20"/>
                <w:color w:val="auto"/>
              </w:rPr>
            </w:pPr>
            <w:r>
              <w:rPr>
                <w:rFonts w:ascii="Arial" w:cs="Arial" w:eastAsia="Arial" w:hAnsi="Arial"/>
                <w:sz w:val="18"/>
                <w:szCs w:val="18"/>
                <w:color w:val="auto"/>
              </w:rPr>
              <w:t>Agreement to Repay Letter of Credit Drawings</w:t>
            </w: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3.5</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Increased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3.6</w:t>
            </w:r>
          </w:p>
        </w:tc>
        <w:tc>
          <w:tcPr>
            <w:tcW w:w="9160" w:type="dxa"/>
            <w:vAlign w:val="bottom"/>
          </w:tcPr>
          <w:p>
            <w:pPr>
              <w:ind w:left="260"/>
              <w:spacing w:after="0"/>
              <w:rPr>
                <w:sz w:val="20"/>
                <w:szCs w:val="20"/>
                <w:color w:val="auto"/>
              </w:rPr>
            </w:pPr>
            <w:r>
              <w:rPr>
                <w:rFonts w:ascii="Arial" w:cs="Arial" w:eastAsia="Arial" w:hAnsi="Arial"/>
                <w:sz w:val="18"/>
                <w:szCs w:val="18"/>
                <w:color w:val="auto"/>
              </w:rPr>
              <w:t>New or Successor Letter of Credit Issuer</w:t>
            </w: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3.7</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Role of Letter of Credit Issuer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3.8</w:t>
            </w:r>
          </w:p>
        </w:tc>
        <w:tc>
          <w:tcPr>
            <w:tcW w:w="9160" w:type="dxa"/>
            <w:vAlign w:val="bottom"/>
          </w:tcPr>
          <w:p>
            <w:pPr>
              <w:ind w:left="260"/>
              <w:spacing w:after="0"/>
              <w:rPr>
                <w:sz w:val="20"/>
                <w:szCs w:val="20"/>
                <w:color w:val="auto"/>
              </w:rPr>
            </w:pPr>
            <w:r>
              <w:rPr>
                <w:rFonts w:ascii="Arial" w:cs="Arial" w:eastAsia="Arial" w:hAnsi="Arial"/>
                <w:sz w:val="18"/>
                <w:szCs w:val="18"/>
                <w:color w:val="auto"/>
              </w:rPr>
              <w:t>Cash Collateral</w:t>
            </w: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3.9</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Applicability of ISP</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3.10</w:t>
            </w:r>
          </w:p>
        </w:tc>
        <w:tc>
          <w:tcPr>
            <w:tcW w:w="9160" w:type="dxa"/>
            <w:vAlign w:val="bottom"/>
          </w:tcPr>
          <w:p>
            <w:pPr>
              <w:ind w:left="260"/>
              <w:spacing w:after="0"/>
              <w:rPr>
                <w:sz w:val="20"/>
                <w:szCs w:val="20"/>
                <w:color w:val="auto"/>
              </w:rPr>
            </w:pPr>
            <w:r>
              <w:rPr>
                <w:rFonts w:ascii="Arial" w:cs="Arial" w:eastAsia="Arial" w:hAnsi="Arial"/>
                <w:sz w:val="18"/>
                <w:szCs w:val="18"/>
                <w:color w:val="auto"/>
              </w:rPr>
              <w:t>Conflict with Issuer Documents</w:t>
            </w: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3.11</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Letters of Credit Issued for Restricted Subsidiaries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3.12</w:t>
            </w:r>
          </w:p>
        </w:tc>
        <w:tc>
          <w:tcPr>
            <w:tcW w:w="9160" w:type="dxa"/>
            <w:vAlign w:val="bottom"/>
          </w:tcPr>
          <w:p>
            <w:pPr>
              <w:ind w:left="260"/>
              <w:spacing w:after="0"/>
              <w:rPr>
                <w:sz w:val="20"/>
                <w:szCs w:val="20"/>
                <w:color w:val="auto"/>
              </w:rPr>
            </w:pPr>
            <w:r>
              <w:rPr>
                <w:rFonts w:ascii="Arial" w:cs="Arial" w:eastAsia="Arial" w:hAnsi="Arial"/>
                <w:sz w:val="18"/>
                <w:szCs w:val="18"/>
                <w:color w:val="auto"/>
              </w:rPr>
              <w:t>Provisions Related to Extended Revolving Credit Commitments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Section 4</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4.1</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4.2</w:t>
            </w:r>
          </w:p>
        </w:tc>
        <w:tc>
          <w:tcPr>
            <w:tcW w:w="9160" w:type="dxa"/>
            <w:vAlign w:val="bottom"/>
          </w:tcPr>
          <w:p>
            <w:pPr>
              <w:ind w:left="260"/>
              <w:spacing w:after="0"/>
              <w:rPr>
                <w:sz w:val="20"/>
                <w:szCs w:val="20"/>
                <w:color w:val="auto"/>
              </w:rPr>
            </w:pPr>
            <w:r>
              <w:rPr>
                <w:rFonts w:ascii="Arial" w:cs="Arial" w:eastAsia="Arial" w:hAnsi="Arial"/>
                <w:sz w:val="18"/>
                <w:szCs w:val="18"/>
                <w:color w:val="auto"/>
              </w:rPr>
              <w:t>Voluntary Reduction of Revolving Credit Commitments</w:t>
            </w: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4.3</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Mandatory Termination of Commitments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Section 5</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5.1</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Voluntary Prepayments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5.2</w:t>
            </w:r>
          </w:p>
        </w:tc>
        <w:tc>
          <w:tcPr>
            <w:tcW w:w="9160" w:type="dxa"/>
            <w:vAlign w:val="bottom"/>
          </w:tcPr>
          <w:p>
            <w:pPr>
              <w:ind w:left="260"/>
              <w:spacing w:after="0"/>
              <w:rPr>
                <w:sz w:val="20"/>
                <w:szCs w:val="20"/>
                <w:color w:val="auto"/>
              </w:rPr>
            </w:pPr>
            <w:r>
              <w:rPr>
                <w:rFonts w:ascii="Arial" w:cs="Arial" w:eastAsia="Arial" w:hAnsi="Arial"/>
                <w:sz w:val="18"/>
                <w:szCs w:val="18"/>
                <w:color w:val="auto"/>
              </w:rPr>
              <w:t>Mandatory Prepayments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5.3</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Method and Place of Payment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5.4</w:t>
            </w:r>
          </w:p>
        </w:tc>
        <w:tc>
          <w:tcPr>
            <w:tcW w:w="9160" w:type="dxa"/>
            <w:vAlign w:val="bottom"/>
          </w:tcPr>
          <w:p>
            <w:pPr>
              <w:ind w:left="260"/>
              <w:spacing w:after="0"/>
              <w:rPr>
                <w:sz w:val="20"/>
                <w:szCs w:val="20"/>
                <w:color w:val="auto"/>
              </w:rPr>
            </w:pPr>
            <w:r>
              <w:rPr>
                <w:rFonts w:ascii="Arial" w:cs="Arial" w:eastAsia="Arial" w:hAnsi="Arial"/>
                <w:sz w:val="18"/>
                <w:szCs w:val="18"/>
                <w:color w:val="auto"/>
              </w:rPr>
              <w:t>Net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5.5</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Computations of Interest and Fees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5.6</w:t>
            </w:r>
          </w:p>
        </w:tc>
        <w:tc>
          <w:tcPr>
            <w:tcW w:w="9160" w:type="dxa"/>
            <w:vAlign w:val="bottom"/>
          </w:tcPr>
          <w:p>
            <w:pPr>
              <w:ind w:left="260"/>
              <w:spacing w:after="0"/>
              <w:rPr>
                <w:sz w:val="20"/>
                <w:szCs w:val="20"/>
                <w:color w:val="auto"/>
              </w:rPr>
            </w:pPr>
            <w:r>
              <w:rPr>
                <w:rFonts w:ascii="Arial" w:cs="Arial" w:eastAsia="Arial" w:hAnsi="Arial"/>
                <w:sz w:val="18"/>
                <w:szCs w:val="18"/>
                <w:color w:val="auto"/>
              </w:rPr>
              <w:t>Limit on Rate of 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Section 6</w:t>
            </w:r>
          </w:p>
        </w:tc>
        <w:tc>
          <w:tcPr>
            <w:tcW w:w="9160" w:type="dxa"/>
            <w:vAlign w:val="bottom"/>
          </w:tcPr>
          <w:p>
            <w:pPr>
              <w:ind w:left="260"/>
              <w:spacing w:after="0"/>
              <w:rPr>
                <w:sz w:val="20"/>
                <w:szCs w:val="20"/>
                <w:color w:val="auto"/>
              </w:rPr>
            </w:pPr>
            <w:r>
              <w:rPr>
                <w:rFonts w:ascii="Arial" w:cs="Arial" w:eastAsia="Arial" w:hAnsi="Arial"/>
                <w:sz w:val="18"/>
                <w:szCs w:val="18"/>
                <w:color w:val="auto"/>
              </w:rPr>
              <w:t>Conditions Precedent to Initial Borrowing</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6.1</w:t>
            </w:r>
          </w:p>
        </w:tc>
        <w:tc>
          <w:tcPr>
            <w:tcW w:w="9160" w:type="dxa"/>
            <w:vAlign w:val="bottom"/>
          </w:tcPr>
          <w:p>
            <w:pPr>
              <w:ind w:left="260"/>
              <w:spacing w:after="0"/>
              <w:rPr>
                <w:sz w:val="20"/>
                <w:szCs w:val="20"/>
                <w:color w:val="auto"/>
              </w:rPr>
            </w:pPr>
            <w:r>
              <w:rPr>
                <w:rFonts w:ascii="Arial" w:cs="Arial" w:eastAsia="Arial" w:hAnsi="Arial"/>
                <w:sz w:val="18"/>
                <w:szCs w:val="18"/>
                <w:color w:val="auto"/>
              </w:rPr>
              <w:t>Credit Documents</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6.2</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Collateral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6.3</w:t>
            </w:r>
          </w:p>
        </w:tc>
        <w:tc>
          <w:tcPr>
            <w:tcW w:w="9160" w:type="dxa"/>
            <w:vAlign w:val="bottom"/>
          </w:tcPr>
          <w:p>
            <w:pPr>
              <w:ind w:left="260"/>
              <w:spacing w:after="0"/>
              <w:rPr>
                <w:sz w:val="20"/>
                <w:szCs w:val="20"/>
                <w:color w:val="auto"/>
              </w:rPr>
            </w:pPr>
            <w:r>
              <w:rPr>
                <w:rFonts w:ascii="Arial" w:cs="Arial" w:eastAsia="Arial" w:hAnsi="Arial"/>
                <w:sz w:val="18"/>
                <w:szCs w:val="18"/>
                <w:color w:val="auto"/>
              </w:rPr>
              <w:t>Legal Opinions</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6.4</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Closing Certificates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6.5</w:t>
            </w:r>
          </w:p>
        </w:tc>
        <w:tc>
          <w:tcPr>
            <w:tcW w:w="9160" w:type="dxa"/>
            <w:vAlign w:val="bottom"/>
          </w:tcPr>
          <w:p>
            <w:pPr>
              <w:ind w:left="260"/>
              <w:spacing w:after="0"/>
              <w:rPr>
                <w:sz w:val="20"/>
                <w:szCs w:val="20"/>
                <w:color w:val="auto"/>
              </w:rPr>
            </w:pPr>
            <w:r>
              <w:rPr>
                <w:rFonts w:ascii="Arial" w:cs="Arial" w:eastAsia="Arial" w:hAnsi="Arial"/>
                <w:sz w:val="18"/>
                <w:szCs w:val="18"/>
                <w:color w:val="auto"/>
              </w:rPr>
              <w:t>Authorization of Proceedings of the Credit Parties; Corporate Documents</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6.6</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6.7</w:t>
            </w:r>
          </w:p>
        </w:tc>
        <w:tc>
          <w:tcPr>
            <w:tcW w:w="9160" w:type="dxa"/>
            <w:vAlign w:val="bottom"/>
          </w:tcPr>
          <w:p>
            <w:pPr>
              <w:ind w:left="260"/>
              <w:spacing w:after="0"/>
              <w:rPr>
                <w:sz w:val="20"/>
                <w:szCs w:val="20"/>
                <w:color w:val="auto"/>
              </w:rPr>
            </w:pPr>
            <w:r>
              <w:rPr>
                <w:rFonts w:ascii="Arial" w:cs="Arial" w:eastAsia="Arial" w:hAnsi="Arial"/>
                <w:sz w:val="18"/>
                <w:szCs w:val="18"/>
                <w:color w:val="auto"/>
              </w:rPr>
              <w:t>Representations and Warranties; No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6.8</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Solvency Certificate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6.9</w:t>
            </w:r>
          </w:p>
        </w:tc>
        <w:tc>
          <w:tcPr>
            <w:tcW w:w="9160" w:type="dxa"/>
            <w:vAlign w:val="bottom"/>
          </w:tcPr>
          <w:p>
            <w:pPr>
              <w:ind w:left="260"/>
              <w:spacing w:after="0"/>
              <w:rPr>
                <w:sz w:val="20"/>
                <w:szCs w:val="20"/>
                <w:color w:val="auto"/>
              </w:rPr>
            </w:pPr>
            <w:r>
              <w:rPr>
                <w:rFonts w:ascii="Arial" w:cs="Arial" w:eastAsia="Arial" w:hAnsi="Arial"/>
                <w:sz w:val="18"/>
                <w:szCs w:val="18"/>
                <w:color w:val="auto"/>
              </w:rPr>
              <w:t>KYC Information</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6.10</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Refinancing</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6.11</w:t>
            </w:r>
          </w:p>
        </w:tc>
        <w:tc>
          <w:tcPr>
            <w:tcW w:w="9160" w:type="dxa"/>
            <w:vAlign w:val="bottom"/>
          </w:tcPr>
          <w:p>
            <w:pPr>
              <w:ind w:left="260"/>
              <w:spacing w:after="0"/>
              <w:rPr>
                <w:sz w:val="20"/>
                <w:szCs w:val="20"/>
                <w:color w:val="auto"/>
              </w:rPr>
            </w:pPr>
            <w:r>
              <w:rPr>
                <w:rFonts w:ascii="Arial" w:cs="Arial" w:eastAsia="Arial" w:hAnsi="Arial"/>
                <w:sz w:val="18"/>
                <w:szCs w:val="18"/>
                <w:color w:val="auto"/>
              </w:rPr>
              <w:t>Notice of Term Loan Borrowing</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Section 7</w:t>
            </w:r>
          </w:p>
        </w:tc>
        <w:tc>
          <w:tcPr>
            <w:tcW w:w="9160" w:type="dxa"/>
            <w:vAlign w:val="bottom"/>
          </w:tcPr>
          <w:p>
            <w:pPr>
              <w:ind w:left="260"/>
              <w:spacing w:after="0"/>
              <w:rPr>
                <w:sz w:val="20"/>
                <w:szCs w:val="20"/>
                <w:color w:val="auto"/>
              </w:rPr>
            </w:pPr>
            <w:r>
              <w:rPr>
                <w:rFonts w:ascii="Arial" w:cs="Arial" w:eastAsia="Arial" w:hAnsi="Arial"/>
                <w:sz w:val="18"/>
                <w:szCs w:val="18"/>
                <w:color w:val="auto"/>
              </w:rPr>
              <w:t>Conditions Precedent to All Credit Events on and after the Restatement Effective Date</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7.1</w:t>
            </w:r>
          </w:p>
        </w:tc>
        <w:tc>
          <w:tcPr>
            <w:tcW w:w="9160" w:type="dxa"/>
            <w:vAlign w:val="bottom"/>
          </w:tcPr>
          <w:p>
            <w:pPr>
              <w:ind w:left="260"/>
              <w:spacing w:after="0"/>
              <w:rPr>
                <w:sz w:val="20"/>
                <w:szCs w:val="20"/>
                <w:color w:val="auto"/>
              </w:rPr>
            </w:pPr>
            <w:r>
              <w:rPr>
                <w:rFonts w:ascii="Arial" w:cs="Arial" w:eastAsia="Arial" w:hAnsi="Arial"/>
                <w:sz w:val="18"/>
                <w:szCs w:val="18"/>
                <w:color w:val="auto"/>
              </w:rPr>
              <w:t>No Default; Representations and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7.2</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Notice of Borrowing; Letter of Credit Request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Section 8</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Representations and Warranties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8.1</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Status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8.2</w:t>
            </w:r>
          </w:p>
        </w:tc>
        <w:tc>
          <w:tcPr>
            <w:tcW w:w="9160" w:type="dxa"/>
            <w:vAlign w:val="bottom"/>
          </w:tcPr>
          <w:p>
            <w:pPr>
              <w:ind w:left="260"/>
              <w:spacing w:after="0"/>
              <w:rPr>
                <w:sz w:val="20"/>
                <w:szCs w:val="20"/>
                <w:color w:val="auto"/>
              </w:rPr>
            </w:pPr>
            <w:r>
              <w:rPr>
                <w:rFonts w:ascii="Arial" w:cs="Arial" w:eastAsia="Arial" w:hAnsi="Arial"/>
                <w:sz w:val="18"/>
                <w:szCs w:val="18"/>
                <w:color w:val="auto"/>
              </w:rPr>
              <w:t>Corporate Power and Authority</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8.3</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 Violation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8.4</w:t>
            </w:r>
          </w:p>
        </w:tc>
        <w:tc>
          <w:tcPr>
            <w:tcW w:w="916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8.5</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Margin Regulations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8.6</w:t>
            </w:r>
          </w:p>
        </w:tc>
        <w:tc>
          <w:tcPr>
            <w:tcW w:w="9160" w:type="dxa"/>
            <w:vAlign w:val="bottom"/>
          </w:tcPr>
          <w:p>
            <w:pPr>
              <w:ind w:left="260"/>
              <w:spacing w:after="0"/>
              <w:rPr>
                <w:sz w:val="20"/>
                <w:szCs w:val="20"/>
                <w:color w:val="auto"/>
              </w:rPr>
            </w:pPr>
            <w:r>
              <w:rPr>
                <w:rFonts w:ascii="Arial" w:cs="Arial" w:eastAsia="Arial" w:hAnsi="Arial"/>
                <w:sz w:val="18"/>
                <w:szCs w:val="18"/>
                <w:color w:val="auto"/>
              </w:rPr>
              <w:t>Governmental Approvals</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8.7</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Investment Company Act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8.8</w:t>
            </w:r>
          </w:p>
        </w:tc>
        <w:tc>
          <w:tcPr>
            <w:tcW w:w="9160" w:type="dxa"/>
            <w:vAlign w:val="bottom"/>
          </w:tcPr>
          <w:p>
            <w:pPr>
              <w:ind w:left="260"/>
              <w:spacing w:after="0"/>
              <w:rPr>
                <w:sz w:val="20"/>
                <w:szCs w:val="20"/>
                <w:color w:val="auto"/>
              </w:rPr>
            </w:pPr>
            <w:r>
              <w:rPr>
                <w:rFonts w:ascii="Arial" w:cs="Arial" w:eastAsia="Arial" w:hAnsi="Arial"/>
                <w:sz w:val="18"/>
                <w:szCs w:val="18"/>
                <w:color w:val="auto"/>
              </w:rPr>
              <w:t>True and Complete Disclosure</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8.9</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Condition; 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8.10</w:t>
            </w:r>
          </w:p>
        </w:tc>
        <w:tc>
          <w:tcPr>
            <w:tcW w:w="9160" w:type="dxa"/>
            <w:vAlign w:val="bottom"/>
          </w:tcPr>
          <w:p>
            <w:pPr>
              <w:ind w:left="260"/>
              <w:spacing w:after="0"/>
              <w:rPr>
                <w:sz w:val="20"/>
                <w:szCs w:val="20"/>
                <w:color w:val="auto"/>
              </w:rPr>
            </w:pPr>
            <w:r>
              <w:rPr>
                <w:rFonts w:ascii="Arial" w:cs="Arial" w:eastAsia="Arial" w:hAnsi="Arial"/>
                <w:sz w:val="18"/>
                <w:szCs w:val="18"/>
                <w:color w:val="auto"/>
              </w:rPr>
              <w:t>Compliance with Laws; No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8.11</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Anti-Corruption, Sanctions and Anti-Money Laundering Compliance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8.12</w:t>
            </w:r>
          </w:p>
        </w:tc>
        <w:tc>
          <w:tcPr>
            <w:tcW w:w="916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8.13</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Compliance with ERISA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8.14</w:t>
            </w:r>
          </w:p>
        </w:tc>
        <w:tc>
          <w:tcPr>
            <w:tcW w:w="9160" w:type="dxa"/>
            <w:vAlign w:val="bottom"/>
          </w:tcPr>
          <w:p>
            <w:pPr>
              <w:ind w:left="260"/>
              <w:spacing w:after="0"/>
              <w:rPr>
                <w:sz w:val="20"/>
                <w:szCs w:val="20"/>
                <w:color w:val="auto"/>
              </w:rPr>
            </w:pPr>
            <w:r>
              <w:rPr>
                <w:rFonts w:ascii="Arial" w:cs="Arial" w:eastAsia="Arial" w:hAnsi="Arial"/>
                <w:sz w:val="18"/>
                <w:szCs w:val="18"/>
                <w:color w:val="auto"/>
              </w:rPr>
              <w:t>Subsidiaries</w:t>
            </w: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8.15</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Intellectual Property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8.16</w:t>
            </w:r>
          </w:p>
        </w:tc>
        <w:tc>
          <w:tcPr>
            <w:tcW w:w="9160" w:type="dxa"/>
            <w:vAlign w:val="bottom"/>
          </w:tcPr>
          <w:p>
            <w:pPr>
              <w:ind w:left="260"/>
              <w:spacing w:after="0"/>
              <w:rPr>
                <w:sz w:val="20"/>
                <w:szCs w:val="20"/>
                <w:color w:val="auto"/>
              </w:rPr>
            </w:pPr>
            <w:r>
              <w:rPr>
                <w:rFonts w:ascii="Arial" w:cs="Arial" w:eastAsia="Arial" w:hAnsi="Arial"/>
                <w:sz w:val="18"/>
                <w:szCs w:val="18"/>
                <w:color w:val="auto"/>
              </w:rPr>
              <w:t>Environmental Laws</w:t>
            </w: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8.17</w:t>
            </w:r>
          </w:p>
        </w:tc>
        <w:tc>
          <w:tcPr>
            <w:tcW w:w="9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Pr>
          <w:p>
            <w:pPr>
              <w:ind w:left="520"/>
              <w:spacing w:after="0"/>
              <w:rPr>
                <w:sz w:val="20"/>
                <w:szCs w:val="20"/>
                <w:color w:val="auto"/>
              </w:rPr>
            </w:pPr>
            <w:r>
              <w:rPr>
                <w:rFonts w:ascii="Arial" w:cs="Arial" w:eastAsia="Arial" w:hAnsi="Arial"/>
                <w:sz w:val="18"/>
                <w:szCs w:val="18"/>
                <w:color w:val="auto"/>
              </w:rPr>
              <w:t>8.18</w:t>
            </w:r>
          </w:p>
        </w:tc>
        <w:tc>
          <w:tcPr>
            <w:tcW w:w="9160" w:type="dxa"/>
            <w:vAlign w:val="bottom"/>
          </w:tcPr>
          <w:p>
            <w:pPr>
              <w:ind w:left="260"/>
              <w:spacing w:after="0"/>
              <w:rPr>
                <w:sz w:val="20"/>
                <w:szCs w:val="20"/>
                <w:color w:val="auto"/>
              </w:rPr>
            </w:pPr>
            <w:r>
              <w:rPr>
                <w:rFonts w:ascii="Arial" w:cs="Arial" w:eastAsia="Arial" w:hAnsi="Arial"/>
                <w:sz w:val="18"/>
                <w:szCs w:val="18"/>
                <w:color w:val="auto"/>
              </w:rPr>
              <w:t>Solvency</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8.19</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Patriot Act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Affirmative Covenants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Information Covenants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9.2</w:t>
            </w:r>
          </w:p>
        </w:tc>
        <w:tc>
          <w:tcPr>
            <w:tcW w:w="9120" w:type="dxa"/>
            <w:vAlign w:val="bottom"/>
          </w:tcPr>
          <w:p>
            <w:pPr>
              <w:ind w:left="220"/>
              <w:spacing w:after="0"/>
              <w:rPr>
                <w:sz w:val="20"/>
                <w:szCs w:val="20"/>
                <w:color w:val="auto"/>
              </w:rPr>
            </w:pPr>
            <w:r>
              <w:rPr>
                <w:rFonts w:ascii="Arial" w:cs="Arial" w:eastAsia="Arial" w:hAnsi="Arial"/>
                <w:sz w:val="18"/>
                <w:szCs w:val="18"/>
                <w:color w:val="auto"/>
              </w:rPr>
              <w:t>Books, Records, and Inspections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9.3</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Maintenance of Insurance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9.4</w:t>
            </w:r>
          </w:p>
        </w:tc>
        <w:tc>
          <w:tcPr>
            <w:tcW w:w="9120" w:type="dxa"/>
            <w:vAlign w:val="bottom"/>
          </w:tcPr>
          <w:p>
            <w:pPr>
              <w:ind w:left="220"/>
              <w:spacing w:after="0"/>
              <w:rPr>
                <w:sz w:val="20"/>
                <w:szCs w:val="20"/>
                <w:color w:val="auto"/>
              </w:rPr>
            </w:pPr>
            <w:r>
              <w:rPr>
                <w:rFonts w:ascii="Arial" w:cs="Arial" w:eastAsia="Arial" w:hAnsi="Arial"/>
                <w:sz w:val="18"/>
                <w:szCs w:val="18"/>
                <w:color w:val="auto"/>
              </w:rPr>
              <w:t>Payment of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9.5</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Preservation of Existence; Consolidated Corporate Franchises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9.6</w:t>
            </w:r>
          </w:p>
        </w:tc>
        <w:tc>
          <w:tcPr>
            <w:tcW w:w="9120" w:type="dxa"/>
            <w:vAlign w:val="bottom"/>
          </w:tcPr>
          <w:p>
            <w:pPr>
              <w:ind w:left="220"/>
              <w:spacing w:after="0"/>
              <w:rPr>
                <w:sz w:val="20"/>
                <w:szCs w:val="20"/>
                <w:color w:val="auto"/>
              </w:rPr>
            </w:pPr>
            <w:r>
              <w:rPr>
                <w:rFonts w:ascii="Arial" w:cs="Arial" w:eastAsia="Arial" w:hAnsi="Arial"/>
                <w:sz w:val="18"/>
                <w:szCs w:val="18"/>
                <w:color w:val="auto"/>
              </w:rPr>
              <w:t>Compliance with Statutes, Regulations, Etc</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9.7</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ERISA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9.8</w:t>
            </w:r>
          </w:p>
        </w:tc>
        <w:tc>
          <w:tcPr>
            <w:tcW w:w="9120" w:type="dxa"/>
            <w:vAlign w:val="bottom"/>
          </w:tcPr>
          <w:p>
            <w:pPr>
              <w:ind w:left="220"/>
              <w:spacing w:after="0"/>
              <w:rPr>
                <w:sz w:val="20"/>
                <w:szCs w:val="20"/>
                <w:color w:val="auto"/>
              </w:rPr>
            </w:pPr>
            <w:r>
              <w:rPr>
                <w:rFonts w:ascii="Arial" w:cs="Arial" w:eastAsia="Arial" w:hAnsi="Arial"/>
                <w:sz w:val="18"/>
                <w:szCs w:val="18"/>
                <w:color w:val="auto"/>
              </w:rPr>
              <w:t>Maintenance of Properties</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9.9</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Transactions with Affiliates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9.10</w:t>
            </w:r>
          </w:p>
        </w:tc>
        <w:tc>
          <w:tcPr>
            <w:tcW w:w="9120" w:type="dxa"/>
            <w:vAlign w:val="bottom"/>
          </w:tcPr>
          <w:p>
            <w:pPr>
              <w:ind w:left="220"/>
              <w:spacing w:after="0"/>
              <w:rPr>
                <w:sz w:val="20"/>
                <w:szCs w:val="20"/>
                <w:color w:val="auto"/>
              </w:rPr>
            </w:pPr>
            <w:r>
              <w:rPr>
                <w:rFonts w:ascii="Arial" w:cs="Arial" w:eastAsia="Arial" w:hAnsi="Arial"/>
                <w:sz w:val="18"/>
                <w:szCs w:val="18"/>
                <w:color w:val="auto"/>
              </w:rPr>
              <w:t>End of Fiscal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9.11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Guarantors and Grantors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9.12</w:t>
            </w:r>
          </w:p>
        </w:tc>
        <w:tc>
          <w:tcPr>
            <w:tcW w:w="9120" w:type="dxa"/>
            <w:vAlign w:val="bottom"/>
          </w:tcPr>
          <w:p>
            <w:pPr>
              <w:ind w:left="220"/>
              <w:spacing w:after="0"/>
              <w:rPr>
                <w:sz w:val="20"/>
                <w:szCs w:val="20"/>
                <w:color w:val="auto"/>
              </w:rPr>
            </w:pPr>
            <w:r>
              <w:rPr>
                <w:rFonts w:ascii="Arial" w:cs="Arial" w:eastAsia="Arial" w:hAnsi="Arial"/>
                <w:sz w:val="18"/>
                <w:szCs w:val="18"/>
                <w:color w:val="auto"/>
              </w:rPr>
              <w:t>Pledge of Additional Stock and Evidence of Indebtedness</w:t>
            </w: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9.13</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Use of Proceeds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9.14</w:t>
            </w:r>
          </w:p>
        </w:tc>
        <w:tc>
          <w:tcPr>
            <w:tcW w:w="912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9.15</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Lines of Business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10</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Negative Covenants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Limitation on Indebtedness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10.2</w:t>
            </w:r>
          </w:p>
        </w:tc>
        <w:tc>
          <w:tcPr>
            <w:tcW w:w="9120" w:type="dxa"/>
            <w:vAlign w:val="bottom"/>
          </w:tcPr>
          <w:p>
            <w:pPr>
              <w:ind w:left="220"/>
              <w:spacing w:after="0"/>
              <w:rPr>
                <w:sz w:val="20"/>
                <w:szCs w:val="20"/>
                <w:color w:val="auto"/>
              </w:rPr>
            </w:pPr>
            <w:r>
              <w:rPr>
                <w:rFonts w:ascii="Arial" w:cs="Arial" w:eastAsia="Arial" w:hAnsi="Arial"/>
                <w:sz w:val="18"/>
                <w:szCs w:val="18"/>
                <w:color w:val="auto"/>
              </w:rPr>
              <w:t>Limitation on Liens</w:t>
            </w: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10.3</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Limitation on Fundamental Changes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10.4</w:t>
            </w:r>
          </w:p>
        </w:tc>
        <w:tc>
          <w:tcPr>
            <w:tcW w:w="9120" w:type="dxa"/>
            <w:vAlign w:val="bottom"/>
          </w:tcPr>
          <w:p>
            <w:pPr>
              <w:ind w:left="220"/>
              <w:spacing w:after="0"/>
              <w:rPr>
                <w:sz w:val="20"/>
                <w:szCs w:val="20"/>
                <w:color w:val="auto"/>
              </w:rPr>
            </w:pPr>
            <w:r>
              <w:rPr>
                <w:rFonts w:ascii="Arial" w:cs="Arial" w:eastAsia="Arial" w:hAnsi="Arial"/>
                <w:sz w:val="18"/>
                <w:szCs w:val="18"/>
                <w:color w:val="auto"/>
              </w:rPr>
              <w:t>Limitation on Sale of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10.5</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Limitation on Restricted Payments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10.6</w:t>
            </w:r>
          </w:p>
        </w:tc>
        <w:tc>
          <w:tcPr>
            <w:tcW w:w="9120" w:type="dxa"/>
            <w:vAlign w:val="bottom"/>
          </w:tcPr>
          <w:p>
            <w:pPr>
              <w:ind w:left="220"/>
              <w:spacing w:after="0"/>
              <w:rPr>
                <w:sz w:val="20"/>
                <w:szCs w:val="20"/>
                <w:color w:val="auto"/>
              </w:rPr>
            </w:pPr>
            <w:r>
              <w:rPr>
                <w:rFonts w:ascii="Arial" w:cs="Arial" w:eastAsia="Arial" w:hAnsi="Arial"/>
                <w:sz w:val="18"/>
                <w:szCs w:val="18"/>
                <w:color w:val="auto"/>
              </w:rPr>
              <w:t>Limitation on Subsidiary Distributions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10.7</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 Covenants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Events of Default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11.2</w:t>
            </w:r>
          </w:p>
        </w:tc>
        <w:tc>
          <w:tcPr>
            <w:tcW w:w="9120" w:type="dxa"/>
            <w:vAlign w:val="bottom"/>
          </w:tcPr>
          <w:p>
            <w:pPr>
              <w:ind w:left="220"/>
              <w:spacing w:after="0"/>
              <w:rPr>
                <w:sz w:val="20"/>
                <w:szCs w:val="20"/>
                <w:color w:val="auto"/>
              </w:rPr>
            </w:pPr>
            <w:r>
              <w:rPr>
                <w:rFonts w:ascii="Arial" w:cs="Arial" w:eastAsia="Arial" w:hAnsi="Arial"/>
                <w:sz w:val="18"/>
                <w:szCs w:val="18"/>
                <w:color w:val="auto"/>
              </w:rPr>
              <w:t>Representations, Etc</w:t>
            </w: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11.3</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Covenants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11.4</w:t>
            </w:r>
          </w:p>
        </w:tc>
        <w:tc>
          <w:tcPr>
            <w:tcW w:w="9120" w:type="dxa"/>
            <w:vAlign w:val="bottom"/>
          </w:tcPr>
          <w:p>
            <w:pPr>
              <w:ind w:left="220"/>
              <w:spacing w:after="0"/>
              <w:rPr>
                <w:sz w:val="20"/>
                <w:szCs w:val="20"/>
                <w:color w:val="auto"/>
              </w:rPr>
            </w:pPr>
            <w:r>
              <w:rPr>
                <w:rFonts w:ascii="Arial" w:cs="Arial" w:eastAsia="Arial" w:hAnsi="Arial"/>
                <w:sz w:val="18"/>
                <w:szCs w:val="18"/>
                <w:color w:val="auto"/>
              </w:rPr>
              <w:t>Default Under Other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11.5</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Bankruptcy, Etc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11.6</w:t>
            </w:r>
          </w:p>
        </w:tc>
        <w:tc>
          <w:tcPr>
            <w:tcW w:w="9120" w:type="dxa"/>
            <w:vAlign w:val="bottom"/>
          </w:tcPr>
          <w:p>
            <w:pPr>
              <w:ind w:left="220"/>
              <w:spacing w:after="0"/>
              <w:rPr>
                <w:sz w:val="20"/>
                <w:szCs w:val="20"/>
                <w:color w:val="auto"/>
              </w:rPr>
            </w:pPr>
            <w:r>
              <w:rPr>
                <w:rFonts w:ascii="Arial" w:cs="Arial" w:eastAsia="Arial" w:hAnsi="Arial"/>
                <w:sz w:val="18"/>
                <w:szCs w:val="18"/>
                <w:color w:val="auto"/>
              </w:rPr>
              <w:t>ERISA</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11.7</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Guarantee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11.8</w:t>
            </w:r>
          </w:p>
        </w:tc>
        <w:tc>
          <w:tcPr>
            <w:tcW w:w="9120" w:type="dxa"/>
            <w:vAlign w:val="bottom"/>
          </w:tcPr>
          <w:p>
            <w:pPr>
              <w:ind w:left="220"/>
              <w:spacing w:after="0"/>
              <w:rPr>
                <w:sz w:val="20"/>
                <w:szCs w:val="20"/>
                <w:color w:val="auto"/>
              </w:rPr>
            </w:pPr>
            <w:r>
              <w:rPr>
                <w:rFonts w:ascii="Arial" w:cs="Arial" w:eastAsia="Arial" w:hAnsi="Arial"/>
                <w:sz w:val="18"/>
                <w:szCs w:val="18"/>
                <w:color w:val="auto"/>
              </w:rPr>
              <w:t>Pledge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11.9</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Agreement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11.10</w:t>
            </w:r>
          </w:p>
        </w:tc>
        <w:tc>
          <w:tcPr>
            <w:tcW w:w="9120" w:type="dxa"/>
            <w:vAlign w:val="bottom"/>
          </w:tcPr>
          <w:p>
            <w:pPr>
              <w:ind w:left="220"/>
              <w:spacing w:after="0"/>
              <w:rPr>
                <w:sz w:val="20"/>
                <w:szCs w:val="20"/>
                <w:color w:val="auto"/>
              </w:rPr>
            </w:pPr>
            <w:r>
              <w:rPr>
                <w:rFonts w:ascii="Arial" w:cs="Arial" w:eastAsia="Arial" w:hAnsi="Arial"/>
                <w:sz w:val="18"/>
                <w:szCs w:val="18"/>
                <w:color w:val="auto"/>
              </w:rPr>
              <w:t>Judgments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11.11</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of Control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11.12</w:t>
            </w:r>
          </w:p>
        </w:tc>
        <w:tc>
          <w:tcPr>
            <w:tcW w:w="9120" w:type="dxa"/>
            <w:vAlign w:val="bottom"/>
          </w:tcPr>
          <w:p>
            <w:pPr>
              <w:ind w:left="220"/>
              <w:spacing w:after="0"/>
              <w:rPr>
                <w:sz w:val="20"/>
                <w:szCs w:val="20"/>
                <w:color w:val="auto"/>
              </w:rPr>
            </w:pPr>
            <w:r>
              <w:rPr>
                <w:rFonts w:ascii="Arial" w:cs="Arial" w:eastAsia="Arial" w:hAnsi="Arial"/>
                <w:sz w:val="18"/>
                <w:szCs w:val="18"/>
                <w:color w:val="auto"/>
              </w:rPr>
              <w:t>Remedies Upon Event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11.13</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Application of Proceeds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11.14</w:t>
            </w:r>
          </w:p>
        </w:tc>
        <w:tc>
          <w:tcPr>
            <w:tcW w:w="9120" w:type="dxa"/>
            <w:vAlign w:val="bottom"/>
          </w:tcPr>
          <w:p>
            <w:pPr>
              <w:ind w:left="220"/>
              <w:spacing w:after="0"/>
              <w:rPr>
                <w:sz w:val="20"/>
                <w:szCs w:val="20"/>
                <w:color w:val="auto"/>
              </w:rPr>
            </w:pPr>
            <w:r>
              <w:rPr>
                <w:rFonts w:ascii="Arial" w:cs="Arial" w:eastAsia="Arial" w:hAnsi="Arial"/>
                <w:sz w:val="18"/>
                <w:szCs w:val="18"/>
                <w:color w:val="auto"/>
              </w:rPr>
              <w:t>Equity Cure</w:t>
            </w: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12</w:t>
            </w:r>
          </w:p>
        </w:tc>
        <w:tc>
          <w:tcPr>
            <w:tcW w:w="9120" w:type="dxa"/>
            <w:vAlign w:val="bottom"/>
          </w:tcPr>
          <w:p>
            <w:pPr>
              <w:ind w:left="220"/>
              <w:spacing w:after="0"/>
              <w:rPr>
                <w:sz w:val="20"/>
                <w:szCs w:val="20"/>
                <w:color w:val="auto"/>
              </w:rPr>
            </w:pPr>
            <w:r>
              <w:rPr>
                <w:rFonts w:ascii="Arial" w:cs="Arial" w:eastAsia="Arial" w:hAnsi="Arial"/>
                <w:sz w:val="18"/>
                <w:szCs w:val="18"/>
                <w:color w:val="auto"/>
              </w:rPr>
              <w:t>The Agents</w:t>
            </w: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12.1</w:t>
            </w:r>
          </w:p>
        </w:tc>
        <w:tc>
          <w:tcPr>
            <w:tcW w:w="9120" w:type="dxa"/>
            <w:vAlign w:val="bottom"/>
          </w:tcPr>
          <w:p>
            <w:pPr>
              <w:ind w:left="220"/>
              <w:spacing w:after="0"/>
              <w:rPr>
                <w:sz w:val="20"/>
                <w:szCs w:val="20"/>
                <w:color w:val="auto"/>
              </w:rPr>
            </w:pPr>
            <w:r>
              <w:rPr>
                <w:rFonts w:ascii="Arial" w:cs="Arial" w:eastAsia="Arial" w:hAnsi="Arial"/>
                <w:sz w:val="18"/>
                <w:szCs w:val="18"/>
                <w:color w:val="auto"/>
              </w:rPr>
              <w:t>Appointment</w:t>
            </w: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12.2</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Delegation of Duties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12.3</w:t>
            </w:r>
          </w:p>
        </w:tc>
        <w:tc>
          <w:tcPr>
            <w:tcW w:w="9120" w:type="dxa"/>
            <w:vAlign w:val="bottom"/>
          </w:tcPr>
          <w:p>
            <w:pPr>
              <w:ind w:left="220"/>
              <w:spacing w:after="0"/>
              <w:rPr>
                <w:sz w:val="20"/>
                <w:szCs w:val="20"/>
                <w:color w:val="auto"/>
              </w:rPr>
            </w:pPr>
            <w:r>
              <w:rPr>
                <w:rFonts w:ascii="Arial" w:cs="Arial" w:eastAsia="Arial" w:hAnsi="Arial"/>
                <w:sz w:val="18"/>
                <w:szCs w:val="18"/>
                <w:color w:val="auto"/>
              </w:rPr>
              <w:t>Exculpatory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12.4</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Reliance by Agents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520"/>
              <w:spacing w:after="0"/>
              <w:rPr>
                <w:sz w:val="20"/>
                <w:szCs w:val="20"/>
                <w:color w:val="auto"/>
              </w:rPr>
            </w:pPr>
            <w:r>
              <w:rPr>
                <w:rFonts w:ascii="Arial" w:cs="Arial" w:eastAsia="Arial" w:hAnsi="Arial"/>
                <w:sz w:val="18"/>
                <w:szCs w:val="18"/>
                <w:color w:val="auto"/>
              </w:rPr>
              <w:t>12.5</w:t>
            </w:r>
          </w:p>
        </w:tc>
        <w:tc>
          <w:tcPr>
            <w:tcW w:w="9120" w:type="dxa"/>
            <w:vAlign w:val="bottom"/>
          </w:tcPr>
          <w:p>
            <w:pPr>
              <w:ind w:left="220"/>
              <w:spacing w:after="0"/>
              <w:rPr>
                <w:sz w:val="20"/>
                <w:szCs w:val="20"/>
                <w:color w:val="auto"/>
              </w:rPr>
            </w:pPr>
            <w:r>
              <w:rPr>
                <w:rFonts w:ascii="Arial" w:cs="Arial" w:eastAsia="Arial" w:hAnsi="Arial"/>
                <w:sz w:val="18"/>
                <w:szCs w:val="18"/>
                <w:color w:val="auto"/>
              </w:rPr>
              <w:t>Notice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12.6</w:t>
            </w:r>
          </w:p>
        </w:tc>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Non-Reliance on Administrative Agent, Collateral Agent, and Other Lenders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Indemnification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Agents in Their Individual Capacities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Successor Agents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12.10</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Withholding Tax</w:t>
            </w: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Agents Under Security Documents and Guarantee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Right to Realize on Collateral and Enforce Guarantee</w:t>
            </w: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Intercreditor Agreements Govern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12.14</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Certain ERISA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Section 13</w:t>
            </w:r>
          </w:p>
        </w:tc>
        <w:tc>
          <w:tcPr>
            <w:tcW w:w="902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Amendments, Waivers, and Releases</w:t>
            </w: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No Waiver; Cumulative Remedies</w:t>
            </w: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Survival of Representations and Warranties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Payment of Expenses; Indemnification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Successors and Assigns; Participations and Assignments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Replacements of Lenders Under Certain Circumstances</w:t>
            </w: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Set-off</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13.10</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Severability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13.11</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Integration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13.12</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GOVERNING LAW</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13.13</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Submission to Jurisdiction; Waivers</w:t>
            </w: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Acknowledgments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13.15</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WAIVERS OF JURY TRIAL</w:t>
            </w: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13.16</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Confidentiality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13.17</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Direct Website Communications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13.18</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USA PATRIOT Act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13.19</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13.20</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Set Aside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No Fiduciary Duty</w:t>
            </w: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13.22</w:t>
            </w:r>
          </w:p>
        </w:tc>
        <w:tc>
          <w:tcPr>
            <w:tcW w:w="220" w:type="dxa"/>
            <w:vAlign w:val="bottom"/>
            <w:shd w:val="clear" w:color="auto" w:fill="CCEEFF"/>
          </w:tcPr>
          <w:p>
            <w:pPr>
              <w:spacing w:after="0"/>
              <w:rPr>
                <w:sz w:val="18"/>
                <w:szCs w:val="18"/>
                <w:color w:val="auto"/>
              </w:rPr>
            </w:pPr>
          </w:p>
        </w:tc>
        <w:tc>
          <w:tcPr>
            <w:tcW w:w="9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20"/>
                <w:szCs w:val="20"/>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Acknowledgement Regarding Any Supported QFCs</w:t>
            </w: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260" w:type="dxa"/>
            <w:vAlign w:val="bottom"/>
            <w:gridSpan w:val="4"/>
          </w:tcPr>
          <w:p>
            <w:pPr>
              <w:spacing w:after="0"/>
              <w:rPr>
                <w:sz w:val="20"/>
                <w:szCs w:val="20"/>
                <w:color w:val="auto"/>
              </w:rPr>
            </w:pPr>
            <w:r>
              <w:rPr>
                <w:rFonts w:ascii="Arial" w:cs="Arial" w:eastAsia="Arial" w:hAnsi="Arial"/>
                <w:sz w:val="18"/>
                <w:szCs w:val="18"/>
                <w:color w:val="auto"/>
              </w:rPr>
              <w:t>SCHEDULES</w:t>
            </w:r>
          </w:p>
        </w:tc>
        <w:tc>
          <w:tcPr>
            <w:tcW w:w="9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260" w:type="dxa"/>
            <w:vAlign w:val="bottom"/>
            <w:gridSpan w:val="4"/>
          </w:tcPr>
          <w:p>
            <w:pPr>
              <w:spacing w:after="0"/>
              <w:rPr>
                <w:sz w:val="20"/>
                <w:szCs w:val="20"/>
                <w:color w:val="auto"/>
              </w:rPr>
            </w:pPr>
            <w:r>
              <w:rPr>
                <w:rFonts w:ascii="Arial" w:cs="Arial" w:eastAsia="Arial" w:hAnsi="Arial"/>
                <w:sz w:val="18"/>
                <w:szCs w:val="18"/>
                <w:color w:val="auto"/>
                <w:w w:val="97"/>
              </w:rPr>
              <w:t>Schedule 1.1(a)</w:t>
            </w:r>
          </w:p>
        </w:tc>
        <w:tc>
          <w:tcPr>
            <w:tcW w:w="9020" w:type="dxa"/>
            <w:vAlign w:val="bottom"/>
          </w:tcPr>
          <w:p>
            <w:pPr>
              <w:ind w:left="460"/>
              <w:spacing w:after="0"/>
              <w:rPr>
                <w:sz w:val="20"/>
                <w:szCs w:val="20"/>
                <w:color w:val="auto"/>
              </w:rPr>
            </w:pPr>
            <w:r>
              <w:rPr>
                <w:rFonts w:ascii="Arial" w:cs="Arial" w:eastAsia="Arial" w:hAnsi="Arial"/>
                <w:sz w:val="18"/>
                <w:szCs w:val="18"/>
                <w:color w:val="auto"/>
              </w:rPr>
              <w:t>Mortgaged Properties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w w:val="97"/>
              </w:rPr>
              <w:t>Schedule 1.1(b)</w:t>
            </w:r>
          </w:p>
        </w:tc>
        <w:tc>
          <w:tcPr>
            <w:tcW w:w="9020" w:type="dxa"/>
            <w:vAlign w:val="bottom"/>
          </w:tcPr>
          <w:p>
            <w:pPr>
              <w:ind w:left="460"/>
              <w:spacing w:after="0"/>
              <w:rPr>
                <w:sz w:val="20"/>
                <w:szCs w:val="20"/>
                <w:color w:val="auto"/>
              </w:rPr>
            </w:pPr>
            <w:r>
              <w:rPr>
                <w:rFonts w:ascii="Arial" w:cs="Arial" w:eastAsia="Arial" w:hAnsi="Arial"/>
                <w:sz w:val="18"/>
                <w:szCs w:val="18"/>
                <w:color w:val="auto"/>
              </w:rPr>
              <w:t>Commitments of Lenders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w w:val="98"/>
              </w:rPr>
              <w:t>Schedule 1.1(c)</w:t>
            </w:r>
          </w:p>
        </w:tc>
        <w:tc>
          <w:tcPr>
            <w:tcW w:w="9020" w:type="dxa"/>
            <w:vAlign w:val="bottom"/>
          </w:tcPr>
          <w:p>
            <w:pPr>
              <w:ind w:left="460"/>
              <w:spacing w:after="0"/>
              <w:rPr>
                <w:sz w:val="20"/>
                <w:szCs w:val="20"/>
                <w:color w:val="auto"/>
              </w:rPr>
            </w:pPr>
            <w:r>
              <w:rPr>
                <w:rFonts w:ascii="Arial" w:cs="Arial" w:eastAsia="Arial" w:hAnsi="Arial"/>
                <w:sz w:val="18"/>
                <w:szCs w:val="18"/>
                <w:color w:val="auto"/>
              </w:rPr>
              <w:t>Existing Letters of Credit</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Schedule 8.14</w:t>
            </w:r>
          </w:p>
        </w:tc>
        <w:tc>
          <w:tcPr>
            <w:tcW w:w="9020" w:type="dxa"/>
            <w:vAlign w:val="bottom"/>
          </w:tcPr>
          <w:p>
            <w:pPr>
              <w:ind w:left="460"/>
              <w:spacing w:after="0"/>
              <w:rPr>
                <w:sz w:val="20"/>
                <w:szCs w:val="20"/>
                <w:color w:val="auto"/>
              </w:rPr>
            </w:pPr>
            <w:r>
              <w:rPr>
                <w:rFonts w:ascii="Arial" w:cs="Arial" w:eastAsia="Arial" w:hAnsi="Arial"/>
                <w:sz w:val="18"/>
                <w:szCs w:val="18"/>
                <w:color w:val="auto"/>
              </w:rPr>
              <w:t>Subsidiaries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Schedule 8.16</w:t>
            </w:r>
          </w:p>
        </w:tc>
        <w:tc>
          <w:tcPr>
            <w:tcW w:w="9020" w:type="dxa"/>
            <w:vAlign w:val="bottom"/>
          </w:tcPr>
          <w:p>
            <w:pPr>
              <w:ind w:left="460"/>
              <w:spacing w:after="0"/>
              <w:rPr>
                <w:sz w:val="20"/>
                <w:szCs w:val="20"/>
                <w:color w:val="auto"/>
              </w:rPr>
            </w:pPr>
            <w:r>
              <w:rPr>
                <w:rFonts w:ascii="Arial" w:cs="Arial" w:eastAsia="Arial" w:hAnsi="Arial"/>
                <w:sz w:val="18"/>
                <w:szCs w:val="18"/>
                <w:color w:val="auto"/>
              </w:rPr>
              <w:t>Environmental</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[Schedule 9.14</w:t>
            </w:r>
          </w:p>
        </w:tc>
        <w:tc>
          <w:tcPr>
            <w:tcW w:w="9020" w:type="dxa"/>
            <w:vAlign w:val="bottom"/>
          </w:tcPr>
          <w:p>
            <w:pPr>
              <w:ind w:left="460"/>
              <w:spacing w:after="0"/>
              <w:rPr>
                <w:sz w:val="20"/>
                <w:szCs w:val="20"/>
                <w:color w:val="auto"/>
              </w:rPr>
            </w:pPr>
            <w:r>
              <w:rPr>
                <w:rFonts w:ascii="Arial" w:cs="Arial" w:eastAsia="Arial" w:hAnsi="Arial"/>
                <w:sz w:val="18"/>
                <w:szCs w:val="18"/>
                <w:color w:val="auto"/>
              </w:rPr>
              <w:t>Post-Closing Actions]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Schedule 10.1</w:t>
            </w:r>
          </w:p>
        </w:tc>
        <w:tc>
          <w:tcPr>
            <w:tcW w:w="9020" w:type="dxa"/>
            <w:vAlign w:val="bottom"/>
          </w:tcPr>
          <w:p>
            <w:pPr>
              <w:ind w:left="460"/>
              <w:spacing w:after="0"/>
              <w:rPr>
                <w:sz w:val="20"/>
                <w:szCs w:val="20"/>
                <w:color w:val="auto"/>
              </w:rPr>
            </w:pPr>
            <w:r>
              <w:rPr>
                <w:rFonts w:ascii="Arial" w:cs="Arial" w:eastAsia="Arial" w:hAnsi="Arial"/>
                <w:sz w:val="18"/>
                <w:szCs w:val="18"/>
                <w:color w:val="auto"/>
              </w:rPr>
              <w:t>Restatement Effective Date Indebtedness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Schedule 10.2</w:t>
            </w:r>
          </w:p>
        </w:tc>
        <w:tc>
          <w:tcPr>
            <w:tcW w:w="9020" w:type="dxa"/>
            <w:vAlign w:val="bottom"/>
          </w:tcPr>
          <w:p>
            <w:pPr>
              <w:ind w:left="460"/>
              <w:spacing w:after="0"/>
              <w:rPr>
                <w:sz w:val="20"/>
                <w:szCs w:val="20"/>
                <w:color w:val="auto"/>
              </w:rPr>
            </w:pPr>
            <w:r>
              <w:rPr>
                <w:rFonts w:ascii="Arial" w:cs="Arial" w:eastAsia="Arial" w:hAnsi="Arial"/>
                <w:sz w:val="18"/>
                <w:szCs w:val="18"/>
                <w:color w:val="auto"/>
              </w:rPr>
              <w:t>Restatement Effective Date Liens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Schedule 10.5</w:t>
            </w:r>
          </w:p>
        </w:tc>
        <w:tc>
          <w:tcPr>
            <w:tcW w:w="9020" w:type="dxa"/>
            <w:vAlign w:val="bottom"/>
          </w:tcPr>
          <w:p>
            <w:pPr>
              <w:ind w:left="460"/>
              <w:spacing w:after="0"/>
              <w:rPr>
                <w:sz w:val="20"/>
                <w:szCs w:val="20"/>
                <w:color w:val="auto"/>
              </w:rPr>
            </w:pPr>
            <w:r>
              <w:rPr>
                <w:rFonts w:ascii="Arial" w:cs="Arial" w:eastAsia="Arial" w:hAnsi="Arial"/>
                <w:sz w:val="18"/>
                <w:szCs w:val="18"/>
                <w:color w:val="auto"/>
              </w:rPr>
              <w:t>Restatement Effective Date Investments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gridSpan w:val="4"/>
          </w:tcPr>
          <w:p>
            <w:pPr>
              <w:spacing w:after="0"/>
              <w:rPr>
                <w:sz w:val="20"/>
                <w:szCs w:val="20"/>
                <w:color w:val="auto"/>
              </w:rPr>
            </w:pPr>
            <w:r>
              <w:rPr>
                <w:rFonts w:ascii="Arial" w:cs="Arial" w:eastAsia="Arial" w:hAnsi="Arial"/>
                <w:sz w:val="18"/>
                <w:szCs w:val="18"/>
                <w:color w:val="auto"/>
              </w:rPr>
              <w:t>Schedule 13.2</w:t>
            </w:r>
          </w:p>
        </w:tc>
        <w:tc>
          <w:tcPr>
            <w:tcW w:w="9020" w:type="dxa"/>
            <w:vAlign w:val="bottom"/>
          </w:tcPr>
          <w:p>
            <w:pPr>
              <w:ind w:left="460"/>
              <w:spacing w:after="0"/>
              <w:rPr>
                <w:sz w:val="20"/>
                <w:szCs w:val="20"/>
                <w:color w:val="auto"/>
              </w:rPr>
            </w:pPr>
            <w:r>
              <w:rPr>
                <w:rFonts w:ascii="Arial" w:cs="Arial" w:eastAsia="Arial" w:hAnsi="Arial"/>
                <w:sz w:val="18"/>
                <w:szCs w:val="18"/>
                <w:color w:val="auto"/>
              </w:rPr>
              <w:t>Notice Addresses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gridSpan w:val="4"/>
          </w:tcPr>
          <w:p>
            <w:pPr>
              <w:spacing w:after="0"/>
              <w:rPr>
                <w:sz w:val="20"/>
                <w:szCs w:val="20"/>
                <w:color w:val="auto"/>
              </w:rPr>
            </w:pPr>
            <w:r>
              <w:rPr>
                <w:rFonts w:ascii="Arial" w:cs="Arial" w:eastAsia="Arial" w:hAnsi="Arial"/>
                <w:sz w:val="18"/>
                <w:szCs w:val="18"/>
                <w:color w:val="auto"/>
              </w:rPr>
              <w:t>EXHIBITS</w:t>
            </w:r>
          </w:p>
        </w:tc>
        <w:tc>
          <w:tcPr>
            <w:tcW w:w="9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Exhibit A</w:t>
            </w:r>
          </w:p>
        </w:tc>
        <w:tc>
          <w:tcPr>
            <w:tcW w:w="440" w:type="dxa"/>
            <w:vAlign w:val="bottom"/>
            <w:gridSpan w:val="2"/>
          </w:tcPr>
          <w:p>
            <w:pPr>
              <w:spacing w:after="0"/>
              <w:rPr>
                <w:sz w:val="24"/>
                <w:szCs w:val="24"/>
                <w:color w:val="auto"/>
              </w:rPr>
            </w:pPr>
          </w:p>
        </w:tc>
        <w:tc>
          <w:tcPr>
            <w:tcW w:w="9020" w:type="dxa"/>
            <w:vAlign w:val="bottom"/>
          </w:tcPr>
          <w:p>
            <w:pPr>
              <w:ind w:left="460"/>
              <w:spacing w:after="0"/>
              <w:rPr>
                <w:sz w:val="20"/>
                <w:szCs w:val="20"/>
                <w:color w:val="auto"/>
              </w:rPr>
            </w:pPr>
            <w:r>
              <w:rPr>
                <w:rFonts w:ascii="Arial" w:cs="Arial" w:eastAsia="Arial" w:hAnsi="Arial"/>
                <w:sz w:val="18"/>
                <w:szCs w:val="18"/>
                <w:color w:val="auto"/>
              </w:rPr>
              <w:t>Form of Joinder Agreement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Exhibit B</w:t>
            </w:r>
          </w:p>
        </w:tc>
        <w:tc>
          <w:tcPr>
            <w:tcW w:w="9020" w:type="dxa"/>
            <w:vAlign w:val="bottom"/>
          </w:tcPr>
          <w:p>
            <w:pPr>
              <w:ind w:left="460"/>
              <w:spacing w:after="0"/>
              <w:rPr>
                <w:sz w:val="20"/>
                <w:szCs w:val="20"/>
                <w:color w:val="auto"/>
              </w:rPr>
            </w:pPr>
            <w:r>
              <w:rPr>
                <w:rFonts w:ascii="Arial" w:cs="Arial" w:eastAsia="Arial" w:hAnsi="Arial"/>
                <w:sz w:val="18"/>
                <w:szCs w:val="18"/>
                <w:color w:val="auto"/>
              </w:rPr>
              <w:t>[Reserved]</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Exhibit C</w:t>
            </w:r>
          </w:p>
        </w:tc>
        <w:tc>
          <w:tcPr>
            <w:tcW w:w="9020" w:type="dxa"/>
            <w:vAlign w:val="bottom"/>
          </w:tcPr>
          <w:p>
            <w:pPr>
              <w:ind w:left="460"/>
              <w:spacing w:after="0"/>
              <w:rPr>
                <w:sz w:val="20"/>
                <w:szCs w:val="20"/>
                <w:color w:val="auto"/>
              </w:rPr>
            </w:pPr>
            <w:r>
              <w:rPr>
                <w:rFonts w:ascii="Arial" w:cs="Arial" w:eastAsia="Arial" w:hAnsi="Arial"/>
                <w:sz w:val="18"/>
                <w:szCs w:val="18"/>
                <w:color w:val="auto"/>
              </w:rPr>
              <w:t>[Reserved]</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Exhibit D</w:t>
            </w:r>
          </w:p>
        </w:tc>
        <w:tc>
          <w:tcPr>
            <w:tcW w:w="9020" w:type="dxa"/>
            <w:vAlign w:val="bottom"/>
          </w:tcPr>
          <w:p>
            <w:pPr>
              <w:ind w:left="460"/>
              <w:spacing w:after="0"/>
              <w:rPr>
                <w:sz w:val="20"/>
                <w:szCs w:val="20"/>
                <w:color w:val="auto"/>
              </w:rPr>
            </w:pPr>
            <w:r>
              <w:rPr>
                <w:rFonts w:ascii="Arial" w:cs="Arial" w:eastAsia="Arial" w:hAnsi="Arial"/>
                <w:sz w:val="18"/>
                <w:szCs w:val="18"/>
                <w:color w:val="auto"/>
              </w:rPr>
              <w:t>[Reserved]</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gridSpan w:val="4"/>
          </w:tcPr>
          <w:p>
            <w:pPr>
              <w:spacing w:after="0"/>
              <w:rPr>
                <w:sz w:val="20"/>
                <w:szCs w:val="20"/>
                <w:color w:val="auto"/>
              </w:rPr>
            </w:pPr>
            <w:r>
              <w:rPr>
                <w:rFonts w:ascii="Arial" w:cs="Arial" w:eastAsia="Arial" w:hAnsi="Arial"/>
                <w:sz w:val="18"/>
                <w:szCs w:val="18"/>
                <w:color w:val="auto"/>
              </w:rPr>
              <w:t>Exhibit E</w:t>
            </w:r>
          </w:p>
        </w:tc>
        <w:tc>
          <w:tcPr>
            <w:tcW w:w="9020" w:type="dxa"/>
            <w:vAlign w:val="bottom"/>
          </w:tcPr>
          <w:p>
            <w:pPr>
              <w:ind w:left="460"/>
              <w:spacing w:after="0"/>
              <w:rPr>
                <w:sz w:val="20"/>
                <w:szCs w:val="20"/>
                <w:color w:val="auto"/>
              </w:rPr>
            </w:pPr>
            <w:r>
              <w:rPr>
                <w:rFonts w:ascii="Arial" w:cs="Arial" w:eastAsia="Arial" w:hAnsi="Arial"/>
                <w:sz w:val="18"/>
                <w:szCs w:val="18"/>
                <w:color w:val="auto"/>
              </w:rPr>
              <w:t>Form of Credit Party Restatement Effective Certificate</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F</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Assignment and Acceptance</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G-1</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Promissory Note (Term A Loans)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G-2</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Promissory Note (Revolving Credit Loans)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H</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First Lien Intercreditor Agreement</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I</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Second Lien Intercreditor Agreement</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J-1</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1300" w:type="dxa"/>
            <w:vAlign w:val="bottom"/>
          </w:tcPr>
          <w:p>
            <w:pPr>
              <w:spacing w:after="0"/>
              <w:rPr>
                <w:sz w:val="18"/>
                <w:szCs w:val="18"/>
                <w:color w:val="auto"/>
              </w:rPr>
            </w:pPr>
          </w:p>
        </w:tc>
        <w:tc>
          <w:tcPr>
            <w:tcW w:w="10120" w:type="dxa"/>
            <w:vAlign w:val="bottom"/>
          </w:tcPr>
          <w:p>
            <w:pPr>
              <w:ind w:left="420"/>
              <w:spacing w:after="0"/>
              <w:rPr>
                <w:sz w:val="20"/>
                <w:szCs w:val="20"/>
                <w:color w:val="auto"/>
              </w:rPr>
            </w:pPr>
            <w:r>
              <w:rPr>
                <w:rFonts w:ascii="Arial" w:cs="Arial" w:eastAsia="Arial" w:hAnsi="Arial"/>
                <w:sz w:val="18"/>
                <w:szCs w:val="18"/>
                <w:color w:val="auto"/>
              </w:rPr>
              <w:t>(For Non-U.S. Lenders That Are Not Partnerships For U.S. Federal Income Tax Purposes)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J-2</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1300" w:type="dxa"/>
            <w:vAlign w:val="bottom"/>
          </w:tcPr>
          <w:p>
            <w:pPr>
              <w:spacing w:after="0"/>
              <w:rPr>
                <w:sz w:val="18"/>
                <w:szCs w:val="18"/>
                <w:color w:val="auto"/>
              </w:rPr>
            </w:pPr>
          </w:p>
        </w:tc>
        <w:tc>
          <w:tcPr>
            <w:tcW w:w="10120" w:type="dxa"/>
            <w:vAlign w:val="bottom"/>
          </w:tcPr>
          <w:p>
            <w:pPr>
              <w:ind w:left="420"/>
              <w:spacing w:after="0"/>
              <w:rPr>
                <w:sz w:val="20"/>
                <w:szCs w:val="20"/>
                <w:color w:val="auto"/>
              </w:rPr>
            </w:pPr>
            <w:r>
              <w:rPr>
                <w:rFonts w:ascii="Arial" w:cs="Arial" w:eastAsia="Arial" w:hAnsi="Arial"/>
                <w:sz w:val="18"/>
                <w:szCs w:val="18"/>
                <w:color w:val="auto"/>
              </w:rPr>
              <w:t>(For Non-U.S. Lenders That Are Partnerships For U.S. Federal Income Tax Purposes)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J-3</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1300" w:type="dxa"/>
            <w:vAlign w:val="bottom"/>
          </w:tcPr>
          <w:p>
            <w:pPr>
              <w:spacing w:after="0"/>
              <w:rPr>
                <w:sz w:val="18"/>
                <w:szCs w:val="18"/>
                <w:color w:val="auto"/>
              </w:rPr>
            </w:pPr>
          </w:p>
        </w:tc>
        <w:tc>
          <w:tcPr>
            <w:tcW w:w="10120" w:type="dxa"/>
            <w:vAlign w:val="bottom"/>
          </w:tcPr>
          <w:p>
            <w:pPr>
              <w:ind w:left="420"/>
              <w:spacing w:after="0"/>
              <w:rPr>
                <w:sz w:val="20"/>
                <w:szCs w:val="20"/>
                <w:color w:val="auto"/>
              </w:rPr>
            </w:pPr>
            <w:r>
              <w:rPr>
                <w:rFonts w:ascii="Arial" w:cs="Arial" w:eastAsia="Arial" w:hAnsi="Arial"/>
                <w:sz w:val="18"/>
                <w:szCs w:val="18"/>
                <w:color w:val="auto"/>
              </w:rPr>
              <w:t>(For Non-U.S. Participants That Are Not Partnerships For U.S. Federal Income Tax Purposes)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J-4</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Non-Bank Tax Certificate</w:t>
            </w:r>
          </w:p>
        </w:tc>
      </w:tr>
      <w:tr>
        <w:trPr>
          <w:trHeight w:val="216"/>
        </w:trPr>
        <w:tc>
          <w:tcPr>
            <w:tcW w:w="1300" w:type="dxa"/>
            <w:vAlign w:val="bottom"/>
          </w:tcPr>
          <w:p>
            <w:pPr>
              <w:spacing w:after="0"/>
              <w:rPr>
                <w:sz w:val="18"/>
                <w:szCs w:val="18"/>
                <w:color w:val="auto"/>
              </w:rPr>
            </w:pPr>
          </w:p>
        </w:tc>
        <w:tc>
          <w:tcPr>
            <w:tcW w:w="10120" w:type="dxa"/>
            <w:vAlign w:val="bottom"/>
          </w:tcPr>
          <w:p>
            <w:pPr>
              <w:ind w:left="420"/>
              <w:spacing w:after="0"/>
              <w:rPr>
                <w:sz w:val="20"/>
                <w:szCs w:val="20"/>
                <w:color w:val="auto"/>
              </w:rPr>
            </w:pPr>
            <w:r>
              <w:rPr>
                <w:rFonts w:ascii="Arial" w:cs="Arial" w:eastAsia="Arial" w:hAnsi="Arial"/>
                <w:sz w:val="18"/>
                <w:szCs w:val="18"/>
                <w:color w:val="auto"/>
              </w:rPr>
              <w:t>(For Foreign Participants That Are Partnerships For U.S. Federal Income Tax Purposes)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K</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Notice of Borrowing or Continuation or Conversion</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L</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Letter of Credit Request</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Exhibit M</w:t>
            </w:r>
          </w:p>
        </w:tc>
        <w:tc>
          <w:tcPr>
            <w:tcW w:w="10120" w:type="dxa"/>
            <w:vAlign w:val="bottom"/>
          </w:tcPr>
          <w:p>
            <w:pPr>
              <w:ind w:left="420"/>
              <w:spacing w:after="0"/>
              <w:rPr>
                <w:sz w:val="20"/>
                <w:szCs w:val="20"/>
                <w:color w:val="auto"/>
              </w:rPr>
            </w:pPr>
            <w:r>
              <w:rPr>
                <w:rFonts w:ascii="Arial" w:cs="Arial" w:eastAsia="Arial" w:hAnsi="Arial"/>
                <w:sz w:val="18"/>
                <w:szCs w:val="18"/>
                <w:color w:val="auto"/>
              </w:rPr>
              <w:t>Form of Hedge Bank Designation</w:t>
            </w:r>
          </w:p>
        </w:tc>
      </w:tr>
      <w:tr>
        <w:trPr>
          <w:trHeight w:val="648"/>
        </w:trPr>
        <w:tc>
          <w:tcPr>
            <w:tcW w:w="130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ind w:left="432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1420"/>
          </w:cols>
          <w:pgMar w:left="240" w:top="908"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AMENDED AND RESTATED CREDIT AGREEMENT, dated as of July 18, 2019 (as amended, amended and restated, supplemented or otherwise modified from time to time), among NAUTILUS ACQUISITION HOLDINGS, INC., a Delaware corporation (“</w:t>
      </w:r>
      <w:r>
        <w:rPr>
          <w:rFonts w:ascii="Arial" w:cs="Arial" w:eastAsia="Arial" w:hAnsi="Arial"/>
          <w:sz w:val="17"/>
          <w:szCs w:val="17"/>
          <w:b w:val="1"/>
          <w:bCs w:val="1"/>
          <w:color w:val="auto"/>
        </w:rPr>
        <w:t>Holdings</w:t>
      </w:r>
      <w:r>
        <w:rPr>
          <w:rFonts w:ascii="Arial" w:cs="Arial" w:eastAsia="Arial" w:hAnsi="Arial"/>
          <w:sz w:val="17"/>
          <w:szCs w:val="17"/>
          <w:color w:val="auto"/>
        </w:rPr>
        <w:t>”), National Vision, Inc., a Georgia corporation (the “</w:t>
      </w:r>
      <w:r>
        <w:rPr>
          <w:rFonts w:ascii="Arial" w:cs="Arial" w:eastAsia="Arial" w:hAnsi="Arial"/>
          <w:sz w:val="17"/>
          <w:szCs w:val="17"/>
          <w:b w:val="1"/>
          <w:bCs w:val="1"/>
          <w:color w:val="auto"/>
        </w:rPr>
        <w:t>Borrower</w:t>
      </w:r>
      <w:r>
        <w:rPr>
          <w:rFonts w:ascii="Arial" w:cs="Arial" w:eastAsia="Arial" w:hAnsi="Arial"/>
          <w:sz w:val="17"/>
          <w:szCs w:val="17"/>
          <w:color w:val="auto"/>
        </w:rPr>
        <w:t>”), the lending institutions from time to time parties hereto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together with the Swingline Lender, the “</w:t>
      </w:r>
      <w:r>
        <w:rPr>
          <w:rFonts w:ascii="Arial" w:cs="Arial" w:eastAsia="Arial" w:hAnsi="Arial"/>
          <w:sz w:val="17"/>
          <w:szCs w:val="17"/>
          <w:b w:val="1"/>
          <w:bCs w:val="1"/>
          <w:color w:val="auto"/>
        </w:rPr>
        <w:t>Lenders</w:t>
      </w:r>
      <w:r>
        <w:rPr>
          <w:rFonts w:ascii="Arial" w:cs="Arial" w:eastAsia="Arial" w:hAnsi="Arial"/>
          <w:sz w:val="17"/>
          <w:szCs w:val="17"/>
          <w:color w:val="auto"/>
        </w:rPr>
        <w:t xml:space="preserve">”), BANK OF AMERICA, N.A., as the Swingline Lender, the Administrative Agent and the Collateral Agent (such terms and each other capitalized term used but not defined in this preamble having the meaning provided in </w:t>
      </w:r>
      <w:r>
        <w:rPr>
          <w:rFonts w:ascii="Arial" w:cs="Arial" w:eastAsia="Arial" w:hAnsi="Arial"/>
          <w:sz w:val="17"/>
          <w:szCs w:val="17"/>
          <w:u w:val="single" w:color="auto"/>
          <w:color w:val="auto"/>
        </w:rPr>
        <w:t>Section 1</w:t>
      </w:r>
      <w:r>
        <w:rPr>
          <w:rFonts w:ascii="Arial" w:cs="Arial" w:eastAsia="Arial" w:hAnsi="Arial"/>
          <w:sz w:val="17"/>
          <w:szCs w:val="17"/>
          <w:color w:val="auto"/>
        </w:rPr>
        <w:t>) and each Letter of Credit Issuer.</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WHEREAS, the Borrower, Holdings, certain lenders and Goldman Sachs Bank USA, in its capacity as administrative agent and collateral agent (in such capacities, the “</w:t>
      </w:r>
      <w:r>
        <w:rPr>
          <w:rFonts w:ascii="Arial" w:cs="Arial" w:eastAsia="Arial" w:hAnsi="Arial"/>
          <w:sz w:val="18"/>
          <w:szCs w:val="18"/>
          <w:b w:val="1"/>
          <w:bCs w:val="1"/>
          <w:color w:val="auto"/>
        </w:rPr>
        <w:t>Former Agent</w:t>
      </w:r>
      <w:r>
        <w:rPr>
          <w:rFonts w:ascii="Arial" w:cs="Arial" w:eastAsia="Arial" w:hAnsi="Arial"/>
          <w:sz w:val="18"/>
          <w:szCs w:val="18"/>
          <w:color w:val="auto"/>
        </w:rPr>
        <w:t>”), entered into that certain First Lien Credit Agreement dated as of March 13, 2014 (as amended, supplemented or otherwise modified prior to the Restatement Effective Date, the “</w:t>
      </w:r>
      <w:r>
        <w:rPr>
          <w:rFonts w:ascii="Arial" w:cs="Arial" w:eastAsia="Arial" w:hAnsi="Arial"/>
          <w:sz w:val="18"/>
          <w:szCs w:val="18"/>
          <w:b w:val="1"/>
          <w:bCs w:val="1"/>
          <w:color w:val="auto"/>
        </w:rPr>
        <w:t>Original Credit Agreement</w:t>
      </w:r>
      <w:r>
        <w:rPr>
          <w:rFonts w:ascii="Arial" w:cs="Arial" w:eastAsia="Arial" w:hAnsi="Arial"/>
          <w:sz w:val="18"/>
          <w:szCs w:val="18"/>
          <w:color w:val="auto"/>
        </w:rPr>
        <w:t>”);</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WHEREAS, pursuant to the Restatement Agreement (as defined below), the Borrower has requested that the Required Lenders amend and restate the Original Credit Agreement and that the Lenders provide new Term A Loans in an aggregate principal amount of up to $420,000,000 and a new Revolving Credit Facility in an aggregate principal amount of up to $300,000,000, the proceeds of which are to be used (i) to redeem, defease, refinance or repay certain existing indebtedness of the Borrower and its Subsidiaries, including all amounts outstanding (other than contingent obligations) under the Original Credit Agreement immediately prior to the Restatement Effective Date (the “</w:t>
      </w:r>
      <w:r>
        <w:rPr>
          <w:rFonts w:ascii="Arial" w:cs="Arial" w:eastAsia="Arial" w:hAnsi="Arial"/>
          <w:sz w:val="17"/>
          <w:szCs w:val="17"/>
          <w:b w:val="1"/>
          <w:bCs w:val="1"/>
          <w:color w:val="auto"/>
        </w:rPr>
        <w:t>Restatement Date Refinancing</w:t>
      </w:r>
      <w:r>
        <w:rPr>
          <w:rFonts w:ascii="Arial" w:cs="Arial" w:eastAsia="Arial" w:hAnsi="Arial"/>
          <w:sz w:val="17"/>
          <w:szCs w:val="17"/>
          <w:color w:val="auto"/>
        </w:rPr>
        <w:t>”), (ii) to pay fees and expenses incurred in connection with the Transactions (as defined below) and (iii) for general corporate purposes;</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WHEREAS, the Lenders and Letter of Credit Issuers are willing to make available to the Borrower such term loan and revolving credit and letter of credit facilities upon the terms and subject to the conditions set forth herein;</w:t>
      </w:r>
    </w:p>
    <w:p>
      <w:pPr>
        <w:spacing w:after="0" w:line="170"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WHEREAS, the Lenders party to the Restatement Agreement have consented to the amendment and restatement of the Original Credit Agreement and such Lenders are willing to provide the facilities described above, in each case, subject to terms and conditions set forth in the Restatement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it is the intent of the parties hereto that this Agreement amend and restate in its entirety the Original Credit Agreement; and</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NOW, THEREFORE, in consideration of the premises and the covenants and agreements contained herein, the parties hereto hereby agree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As used herein, the following terms shall have the meanings specified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unless the context otherwise requires (it being understood that defined terms in this Agreement shall include in the singular number the plural and in the plural the singular):</w:t>
      </w:r>
    </w:p>
    <w:p>
      <w:pPr>
        <w:spacing w:after="0" w:line="12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ABR</w:t>
      </w:r>
      <w:r>
        <w:rPr>
          <w:rFonts w:ascii="Arial" w:cs="Arial" w:eastAsia="Arial" w:hAnsi="Arial"/>
          <w:sz w:val="17"/>
          <w:szCs w:val="17"/>
          <w:color w:val="auto"/>
        </w:rPr>
        <w:t xml:space="preserve">” shall mean for any day a fluctuating rate per annum equal to the highest of (i) the Federal Funds Effective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1/2 of 1%, (ii) the rate of interest in effect for such day as announced from time to time by the Administrative Agent as its “prime rate” at its principal office in New York City and (iii) the rate per annum determined in the manner set forth in clause (ii) of the definition of “LIBOR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in no event shall the ABR at any time be less than 1.00% per annum.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ABR is being used as an alternate rate of interest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hereof, then the ABR shall, subject to the proviso in the first sentence of this definition, be the greater of clauses (i) and (ii) above and shall be determined without reference to clause (iii)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w:t>
      </w:r>
      <w:r>
        <w:rPr>
          <w:rFonts w:ascii="Arial" w:cs="Arial" w:eastAsia="Arial" w:hAnsi="Arial"/>
          <w:sz w:val="18"/>
          <w:szCs w:val="18"/>
          <w:color w:val="auto"/>
        </w:rPr>
        <w:t>” shall mean each Loan bearing interest based on the ABR.</w:t>
      </w:r>
    </w:p>
    <w:p>
      <w:pPr>
        <w:spacing w:after="0" w:line="22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EBITDA</w:t>
      </w:r>
      <w:r>
        <w:rPr>
          <w:rFonts w:ascii="Arial" w:cs="Arial" w:eastAsia="Arial" w:hAnsi="Arial"/>
          <w:sz w:val="18"/>
          <w:szCs w:val="18"/>
          <w:color w:val="auto"/>
        </w:rPr>
        <w:t>” shall mean, with respect to any Acquired Entity or Business or any Converted Restricted Subsidiary (any of the foregoing, a “</w:t>
      </w:r>
      <w:r>
        <w:rPr>
          <w:rFonts w:ascii="Arial" w:cs="Arial" w:eastAsia="Arial" w:hAnsi="Arial"/>
          <w:sz w:val="18"/>
          <w:szCs w:val="18"/>
          <w:b w:val="1"/>
          <w:bCs w:val="1"/>
          <w:color w:val="auto"/>
        </w:rPr>
        <w:t>Pro Forma Entity</w:t>
      </w:r>
      <w:r>
        <w:rPr>
          <w:rFonts w:ascii="Arial" w:cs="Arial" w:eastAsia="Arial" w:hAnsi="Arial"/>
          <w:sz w:val="18"/>
          <w:szCs w:val="18"/>
          <w:color w:val="auto"/>
        </w:rPr>
        <w:t>”) for any period, the amount for such period of Consolidated EBITDA of such Pro Forma Entity (determined using such definitions as if references to Holdings and the Restricted Subsidiaries therein were to such Pro Forma Entity and its Restricted Subsidiaries), all as determined on a consolidated basis for such Pro Forma Entity in accordance with GAAP.</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Entity or Business</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Indebtedness</w:t>
      </w:r>
      <w:r>
        <w:rPr>
          <w:rFonts w:ascii="Arial" w:cs="Arial" w:eastAsia="Arial" w:hAnsi="Arial"/>
          <w:sz w:val="18"/>
          <w:szCs w:val="18"/>
          <w:color w:val="auto"/>
        </w:rPr>
        <w:t>” shall mean, with respect to any specified Person, (i) Indebtedness of any other Person existing at the time such other Person is merged, consolidated, or amalgamated with or into or became a Restricted Subsidiary of such specified Person and (ii) Indebtedness secured by a Lien encumbering any asset acquired by such specified Person.</w:t>
      </w:r>
    </w:p>
    <w:p>
      <w:pPr>
        <w:spacing w:after="0" w:line="17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Revolving Credit Commitment</w:t>
      </w:r>
      <w:r>
        <w:rPr>
          <w:rFonts w:ascii="Arial" w:cs="Arial" w:eastAsia="Arial" w:hAnsi="Arial"/>
          <w:sz w:val="18"/>
          <w:szCs w:val="18"/>
          <w:color w:val="auto"/>
        </w:rPr>
        <w:t>” shall mean at any time the Total Revolving Credit Commitment less the aggregate Revolving Credit Commitments of all Defaulting Lenders.</w:t>
      </w:r>
    </w:p>
    <w:p>
      <w:pPr>
        <w:spacing w:after="0" w:line="1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Term A Loan Commitment</w:t>
      </w:r>
      <w:r>
        <w:rPr>
          <w:rFonts w:ascii="Arial" w:cs="Arial" w:eastAsia="Arial" w:hAnsi="Arial"/>
          <w:sz w:val="18"/>
          <w:szCs w:val="18"/>
          <w:color w:val="auto"/>
        </w:rPr>
        <w:t>” shall mean at any time the Total Term A Loan Commitment less the Term A Loan Commitments of all Defaulting Lenders.</w:t>
      </w:r>
    </w:p>
    <w:p>
      <w:pPr>
        <w:spacing w:after="0" w:line="16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Term Loan Commitment</w:t>
      </w:r>
      <w:r>
        <w:rPr>
          <w:rFonts w:ascii="Arial" w:cs="Arial" w:eastAsia="Arial" w:hAnsi="Arial"/>
          <w:sz w:val="18"/>
          <w:szCs w:val="18"/>
          <w:color w:val="auto"/>
        </w:rPr>
        <w:t>” shall mean at any time the Total Term Loan Commitment less the Term Loan Commitments of all Defaulting Lenders.</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shall mean Bank of America, N.A., as the administrative agent for the Lenders under this Agreement and the other Credit Documents, or any successor administrative agent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matters relating to the Original Credit Agreement or periods prior to the Restatement Effective Date, such term shall refer to the Former Agent.</w:t>
      </w:r>
    </w:p>
    <w:p>
      <w:pPr>
        <w:spacing w:after="0" w:line="17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xml:space="preserve">” shall mean the Administrative Agent’s address and, as appropriate, account as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or such other address or account as the Administrative Agent may from time to time notify the Borrower and the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13.6(b)(ii)(D)</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13.17(b)</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shall mean the Administrative Agent, the Collateral Agent and each Syndication Agent, Documentation Agent and Joint Lead Arranger and Bookrunner.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Credit Agreement.</w:t>
      </w:r>
    </w:p>
    <w:p>
      <w:pPr>
        <w:spacing w:after="0" w:line="225"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shall mean all laws, rules, and regulations of any jurisdiction applicable to the Borrower or any of its Subsidiaries from time to time concerning or relating to bribery, money laundering or corruption, including the United States Foreign Corrupt Practices Act of 1977, as amended, and the rules and regulations promulgated thereunder.</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 a percentage per annum equal to:</w:t>
      </w:r>
    </w:p>
    <w:p>
      <w:pPr>
        <w:spacing w:after="0" w:line="229" w:lineRule="exact"/>
        <w:rPr>
          <w:sz w:val="20"/>
          <w:szCs w:val="20"/>
          <w:color w:val="auto"/>
        </w:rPr>
      </w:pPr>
    </w:p>
    <w:p>
      <w:pPr>
        <w:jc w:val="both"/>
        <w:ind w:left="660" w:right="80" w:firstLine="645"/>
        <w:spacing w:after="0" w:line="264" w:lineRule="auto"/>
        <w:tabs>
          <w:tab w:leader="none" w:pos="18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until delivery of financial statements and a related Compliance Certificate for the period ending on September 30, 2019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(1) for LIBOR Loans, 1.50%, (2) for ABR Loans, 0.50%, (3) for Letter of Credit Fees, 1.50% per annum and (4) for Commitment Fees, 0.25% per annum and</w:t>
      </w:r>
    </w:p>
    <w:p>
      <w:pPr>
        <w:spacing w:after="0" w:line="181" w:lineRule="exact"/>
        <w:rPr>
          <w:rFonts w:ascii="Arial" w:cs="Arial" w:eastAsia="Arial" w:hAnsi="Arial"/>
          <w:sz w:val="18"/>
          <w:szCs w:val="18"/>
          <w:color w:val="auto"/>
        </w:rPr>
      </w:pPr>
    </w:p>
    <w:p>
      <w:pPr>
        <w:ind w:left="660" w:right="280" w:firstLine="645"/>
        <w:spacing w:after="0" w:line="342" w:lineRule="auto"/>
        <w:tabs>
          <w:tab w:leader="none" w:pos="18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thereafter, the percentages per annum set forth in the table below, based upon the Consolidated First Lien Secured Debt to Consolidated EBITDA Ratio as set forth in the most recent Compliance Certificate received by the Administrative Agent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Consolidated</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First Lien</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Secured Debt to</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Pricing</w:t>
            </w:r>
          </w:p>
        </w:tc>
        <w:tc>
          <w:tcPr>
            <w:tcW w:w="3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Consolidated</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Letter of</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ABR Rate Credit</w:t>
            </w: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LIBOR Rate Credit</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9"/>
              </w:rPr>
              <w:t>EBITDA Ratio</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Credit Fees</w:t>
            </w:r>
          </w:p>
        </w:tc>
        <w:tc>
          <w:tcPr>
            <w:tcW w:w="2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Loans</w:t>
            </w:r>
          </w:p>
        </w:tc>
        <w:tc>
          <w:tcPr>
            <w:tcW w:w="2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Loans</w:t>
            </w:r>
          </w:p>
        </w:tc>
        <w:tc>
          <w:tcPr>
            <w:tcW w:w="26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Commitment Fee Rate</w:t>
            </w: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I</w:t>
            </w:r>
          </w:p>
        </w:tc>
        <w:tc>
          <w:tcPr>
            <w:tcW w:w="120" w:type="dxa"/>
            <w:vAlign w:val="bottom"/>
            <w:vMerge w:val="continue"/>
            <w:shd w:val="clear" w:color="auto" w:fill="CCEEFF"/>
          </w:tcPr>
          <w:p>
            <w:pPr>
              <w:spacing w:after="0"/>
              <w:rPr>
                <w:sz w:val="18"/>
                <w:szCs w:val="18"/>
                <w:color w:val="auto"/>
              </w:rPr>
            </w:pPr>
          </w:p>
        </w:tc>
        <w:tc>
          <w:tcPr>
            <w:tcW w:w="2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&gt;3.75:1.00</w:t>
            </w:r>
          </w:p>
        </w:tc>
        <w:tc>
          <w:tcPr>
            <w:tcW w:w="10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jc w:val="center"/>
              <w:spacing w:after="0" w:line="201" w:lineRule="exact"/>
              <w:rPr>
                <w:sz w:val="20"/>
                <w:szCs w:val="20"/>
                <w:color w:val="auto"/>
              </w:rPr>
            </w:pPr>
            <w:r>
              <w:rPr>
                <w:rFonts w:ascii="Arial" w:cs="Arial" w:eastAsia="Arial" w:hAnsi="Arial"/>
                <w:sz w:val="18"/>
                <w:szCs w:val="18"/>
                <w:color w:val="auto"/>
                <w:w w:val="92"/>
              </w:rPr>
              <w:t>&lt; 3.75:1.00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but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gridSpan w:val="2"/>
          </w:tcPr>
          <w:p>
            <w:pPr>
              <w:jc w:val="center"/>
              <w:ind w:right="20"/>
              <w:spacing w:after="0"/>
              <w:rPr>
                <w:sz w:val="20"/>
                <w:szCs w:val="20"/>
                <w:color w:val="auto"/>
              </w:rPr>
            </w:pPr>
            <w:r>
              <w:rPr>
                <w:rFonts w:ascii="Arial" w:cs="Arial" w:eastAsia="Arial" w:hAnsi="Arial"/>
                <w:sz w:val="18"/>
                <w:szCs w:val="18"/>
                <w:color w:val="auto"/>
              </w:rPr>
              <w:t>II</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&gt; 2.75:1.00</w:t>
            </w:r>
          </w:p>
        </w:tc>
        <w:tc>
          <w:tcPr>
            <w:tcW w:w="1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&lt; 2.75:1.00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5"/>
              </w:rPr>
              <w:t>but</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&gt; 1.75:1.00</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Pr>
          <w:p>
            <w:pPr>
              <w:jc w:val="center"/>
              <w:spacing w:after="0" w:line="201" w:lineRule="exact"/>
              <w:rPr>
                <w:sz w:val="20"/>
                <w:szCs w:val="20"/>
                <w:color w:val="auto"/>
              </w:rPr>
            </w:pPr>
            <w:r>
              <w:rPr>
                <w:rFonts w:ascii="Arial" w:cs="Arial" w:eastAsia="Arial" w:hAnsi="Arial"/>
                <w:sz w:val="18"/>
                <w:szCs w:val="18"/>
                <w:color w:val="auto"/>
                <w:w w:val="92"/>
              </w:rPr>
              <w:t>&lt; 1.75:1.00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but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gridSpan w:val="2"/>
          </w:tcPr>
          <w:p>
            <w:pPr>
              <w:jc w:val="center"/>
              <w:spacing w:after="0"/>
              <w:rPr>
                <w:sz w:val="20"/>
                <w:szCs w:val="20"/>
                <w:color w:val="auto"/>
              </w:rPr>
            </w:pPr>
            <w:r>
              <w:rPr>
                <w:rFonts w:ascii="Arial" w:cs="Arial" w:eastAsia="Arial" w:hAnsi="Arial"/>
                <w:sz w:val="18"/>
                <w:szCs w:val="18"/>
                <w:color w:val="auto"/>
              </w:rPr>
              <w:t>IV</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&gt; 0.75:1.00</w:t>
            </w:r>
          </w:p>
        </w:tc>
        <w:tc>
          <w:tcPr>
            <w:tcW w:w="1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V</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&lt; 0.75:1.00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Any increase or decrease in the Applicable Margin resulting from a change in the Consolidated First Lien Secured Debt to Consolidated EBITDA Ratio shall become effective as of the first Business Day immediately following the date a Compliance Certificate is delivered pursuant to </w:t>
      </w:r>
      <w:r>
        <w:rPr>
          <w:rFonts w:ascii="Arial" w:cs="Arial" w:eastAsia="Arial" w:hAnsi="Arial"/>
          <w:sz w:val="16"/>
          <w:szCs w:val="16"/>
          <w:u w:val="single" w:color="auto"/>
          <w:color w:val="auto"/>
        </w:rPr>
        <w:t>Section 9.1(d)</w:t>
      </w:r>
      <w:r>
        <w:rPr>
          <w:rFonts w:ascii="Arial" w:cs="Arial" w:eastAsia="Arial" w:hAnsi="Arial"/>
          <w:sz w:val="16"/>
          <w:szCs w:val="16"/>
          <w:color w:val="auto"/>
        </w:rPr>
        <w:t>.</w:t>
      </w:r>
    </w:p>
    <w:p>
      <w:pPr>
        <w:spacing w:after="0" w:line="12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Notwithstanding the foregoing, (a) the Applicable Margin in respect of any Class of Extended Revolving Credit Commitments or any Extended Term Loans or Revolving Credit Loans made pursuant to any Extended Revolving Credit Commitments shall be the applicable percentages per annum set forth in the relevant Extension Amendment, (b) the Applicable Margin in respect of any Class of Incremental Loans, shall be the applicable percentages per annum set forth in the relevant Joinder Agreement and (c) the Applicable Margin in respect of any Class of Replacement Term Loans shall be the applicable percentages per annum set forth in the relevant agreement.</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Notwithstanding anything to the contrary contained above in this definition or elsewhere in this Agreement, if it is subsequently determined that any Consolidated First Lien Secured Debt to Consolidated EBITDA Ratio set forth in any Compliance Certificate delivered to the Administrative Agent is inaccurate for any reason and the result thereof is that the Lenders received interest or fees for any period based on an Applicable Margin that is less than that which would have been applicable had such Consolidated First Lien Secured Debt to Consolidated EBITDA Ratio been accurately determined, then, for all purposes of this Agreement, the Applicable Margin for any day occurring within the period covered by such Compliance Certificate shall retroactively be deemed to be the relevant percentage as based upon the accurately determined Consolidated First Lien Secured Debt to Consolidated EBITDA Ratio for such period, and any shortfall in the interest or fees theretofore paid by the Borrower for the relevant period as a result of the miscalculation of such Consolidated First Lien Secured Debt to Consolidated EBITDA Ratio shall be deemed to be (and shall be) due and payable, at the time the interest or fees for such period were required to be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so long as an Event of Default described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has not occurred with respect to the Borrower, such shortfall shall be due and payable within five Business Days following the written demand thereof by the Administrative Agent and no Default shall be deemed to have occurred as a result of such non-payment until the expiration of such five Business Day period. In addition, at the option of the Required Lenders, at any time during which the Borrower shall have failed to deliver any of the Section 9.1 Financials by the applicable date required under </w:t>
      </w:r>
      <w:r>
        <w:rPr>
          <w:rFonts w:ascii="Arial" w:cs="Arial" w:eastAsia="Arial" w:hAnsi="Arial"/>
          <w:sz w:val="16"/>
          <w:szCs w:val="16"/>
          <w:u w:val="single" w:color="auto"/>
          <w:color w:val="auto"/>
        </w:rPr>
        <w:t>Section 9.1</w:t>
      </w:r>
      <w:r>
        <w:rPr>
          <w:rFonts w:ascii="Arial" w:cs="Arial" w:eastAsia="Arial" w:hAnsi="Arial"/>
          <w:sz w:val="16"/>
          <w:szCs w:val="16"/>
          <w:color w:val="auto"/>
        </w:rPr>
        <w:t>, then the Consolidated First Lien Secured Debt to Consolidated EBITDA Ratio shall be deemed to be in pricing level I for the purposes of determining the Applicable Margin (but only for so long as such failure continues, after which such ratio and pricing level shall be determined based on the then existing Consolidated First Lien Secured Debt to Consolidated EBITDA Ratio</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shall mean any Fund that is administered or managed by (i) a Lender, (ii) an Affiliate of a Lender, or (iii) an entity or an Affiliate of an entity that administers, advises or manages a Lender.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shall mean:</w:t>
      </w:r>
    </w:p>
    <w:p>
      <w:pPr>
        <w:spacing w:after="0" w:line="229" w:lineRule="exact"/>
        <w:rPr>
          <w:sz w:val="20"/>
          <w:szCs w:val="20"/>
          <w:color w:val="auto"/>
        </w:rPr>
      </w:pPr>
    </w:p>
    <w:p>
      <w:pPr>
        <w:ind w:left="660" w:right="100" w:firstLine="645"/>
        <w:spacing w:after="0" w:line="277" w:lineRule="auto"/>
        <w:tabs>
          <w:tab w:leader="none" w:pos="19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conveyance, transfer, or other disposition, whether in a single transaction or a series of related transactions, of property or assets (including by way of a Sale Leaseback) (each a “</w:t>
      </w:r>
      <w:r>
        <w:rPr>
          <w:rFonts w:ascii="Arial" w:cs="Arial" w:eastAsia="Arial" w:hAnsi="Arial"/>
          <w:sz w:val="18"/>
          <w:szCs w:val="18"/>
          <w:b w:val="1"/>
          <w:bCs w:val="1"/>
          <w:color w:val="auto"/>
        </w:rPr>
        <w:t>disposition</w:t>
      </w:r>
      <w:r>
        <w:rPr>
          <w:rFonts w:ascii="Arial" w:cs="Arial" w:eastAsia="Arial" w:hAnsi="Arial"/>
          <w:sz w:val="18"/>
          <w:szCs w:val="18"/>
          <w:color w:val="auto"/>
        </w:rPr>
        <w:t>”) of Holdings or any Restricted Subsidiary, or</w:t>
      </w:r>
    </w:p>
    <w:p>
      <w:pPr>
        <w:spacing w:after="0" w:line="170" w:lineRule="exact"/>
        <w:rPr>
          <w:rFonts w:ascii="Arial" w:cs="Arial" w:eastAsia="Arial" w:hAnsi="Arial"/>
          <w:sz w:val="18"/>
          <w:szCs w:val="18"/>
          <w:color w:val="auto"/>
        </w:rPr>
      </w:pPr>
    </w:p>
    <w:p>
      <w:pPr>
        <w:ind w:left="660" w:right="100" w:firstLine="645"/>
        <w:spacing w:after="0" w:line="308" w:lineRule="auto"/>
        <w:tabs>
          <w:tab w:leader="none" w:pos="1933"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issuance or sale of Equity Interests of any Restricted Subsidiary (other than preferred stock of Restricted Subsidiaries issued in compliance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whether in a single transaction or a series of related transactions, in each case, other than:</w:t>
      </w:r>
    </w:p>
    <w:p>
      <w:pPr>
        <w:spacing w:after="0" w:line="146" w:lineRule="exact"/>
        <w:rPr>
          <w:rFonts w:ascii="Arial" w:cs="Arial" w:eastAsia="Arial" w:hAnsi="Arial"/>
          <w:sz w:val="17"/>
          <w:szCs w:val="17"/>
          <w:color w:val="auto"/>
        </w:rPr>
      </w:pPr>
    </w:p>
    <w:p>
      <w:pPr>
        <w:ind w:left="1300" w:right="140" w:firstLine="653"/>
        <w:spacing w:after="0" w:line="279" w:lineRule="auto"/>
        <w:tabs>
          <w:tab w:leader="none" w:pos="2463"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 (including the disposition of optical goods to FirstSight);</w:t>
      </w:r>
    </w:p>
    <w:p>
      <w:pPr>
        <w:spacing w:after="0" w:line="171" w:lineRule="exact"/>
        <w:rPr>
          <w:rFonts w:ascii="Arial" w:cs="Arial" w:eastAsia="Arial" w:hAnsi="Arial"/>
          <w:sz w:val="17"/>
          <w:szCs w:val="17"/>
          <w:color w:val="auto"/>
        </w:rPr>
      </w:pPr>
    </w:p>
    <w:p>
      <w:pPr>
        <w:ind w:left="2480" w:hanging="527"/>
        <w:spacing w:after="0"/>
        <w:tabs>
          <w:tab w:leader="none" w:pos="2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the disposition of all or substantially all of the assets of Holdings or the Borrower in a manner permitted pursuant to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u w:val="single" w:color="auto"/>
          <w:color w:val="auto"/>
        </w:rPr>
        <w:t>10.3</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300" w:right="140" w:firstLine="653"/>
        <w:spacing w:after="0" w:line="264" w:lineRule="auto"/>
        <w:tabs>
          <w:tab w:leader="none" w:pos="24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the incurrence of Liens that are permitted to be incurred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the making of any Restricted Payment or Permitted Investment (other than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thereof) that is permitted to be made, and is made, pursuant to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00" w:right="180" w:firstLine="653"/>
        <w:spacing w:after="0" w:line="277" w:lineRule="auto"/>
        <w:tabs>
          <w:tab w:leader="none" w:pos="247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disposition of assets or issuance or sale of Equity Interests of any Restricted Subsidiary in any transaction or series of transactions with an aggregate Fair Market Value of less than $10,000,000;</w:t>
      </w:r>
    </w:p>
    <w:p>
      <w:pPr>
        <w:spacing w:after="0" w:line="170" w:lineRule="exact"/>
        <w:rPr>
          <w:rFonts w:ascii="Arial" w:cs="Arial" w:eastAsia="Arial" w:hAnsi="Arial"/>
          <w:sz w:val="18"/>
          <w:szCs w:val="18"/>
          <w:color w:val="auto"/>
        </w:rPr>
      </w:pPr>
    </w:p>
    <w:p>
      <w:pPr>
        <w:ind w:left="1300" w:right="120" w:firstLine="653"/>
        <w:spacing w:after="0" w:line="277" w:lineRule="auto"/>
        <w:tabs>
          <w:tab w:leader="none" w:pos="24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disposition of property or assets or issuance of securities by (1) a Restricted Subsidiary to Holdings or (2) by Holdings or a Restricted Subsidiary to another Restricted Subsidiary;</w:t>
      </w:r>
    </w:p>
    <w:p>
      <w:pPr>
        <w:spacing w:after="0" w:line="170" w:lineRule="exact"/>
        <w:rPr>
          <w:rFonts w:ascii="Arial" w:cs="Arial" w:eastAsia="Arial" w:hAnsi="Arial"/>
          <w:sz w:val="18"/>
          <w:szCs w:val="18"/>
          <w:color w:val="auto"/>
        </w:rPr>
      </w:pPr>
    </w:p>
    <w:p>
      <w:pPr>
        <w:ind w:left="1300" w:right="300" w:firstLine="653"/>
        <w:spacing w:after="0" w:line="277" w:lineRule="auto"/>
        <w:tabs>
          <w:tab w:leader="none" w:pos="24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or any comparable or successor provision, any exchange of like property (excluding any boot thereon) for use in a Similar Business;</w:t>
      </w:r>
    </w:p>
    <w:p>
      <w:pPr>
        <w:spacing w:after="0" w:line="170" w:lineRule="exact"/>
        <w:rPr>
          <w:rFonts w:ascii="Arial" w:cs="Arial" w:eastAsia="Arial" w:hAnsi="Arial"/>
          <w:sz w:val="18"/>
          <w:szCs w:val="18"/>
          <w:color w:val="auto"/>
        </w:rPr>
      </w:pPr>
    </w:p>
    <w:p>
      <w:pPr>
        <w:ind w:left="2480" w:hanging="527"/>
        <w:spacing w:after="0"/>
        <w:tabs>
          <w:tab w:leader="none" w:pos="24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issuance, sale or pledge of Equity Interests in, or Indebtedness, or other securities of, an Unrestricted Subsidiary;</w:t>
      </w:r>
    </w:p>
    <w:p>
      <w:pPr>
        <w:spacing w:after="0" w:line="236" w:lineRule="exact"/>
        <w:rPr>
          <w:rFonts w:ascii="Arial" w:cs="Arial" w:eastAsia="Arial" w:hAnsi="Arial"/>
          <w:sz w:val="17"/>
          <w:szCs w:val="17"/>
          <w:color w:val="auto"/>
        </w:rPr>
      </w:pPr>
    </w:p>
    <w:p>
      <w:pPr>
        <w:ind w:left="2480" w:hanging="527"/>
        <w:spacing w:after="0"/>
        <w:tabs>
          <w:tab w:leader="none" w:pos="24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foreclosures, condemnation, casualty or any similar action on assets (including dispositions in connection therewith);</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1240" w:hanging="487"/>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sales of accounts receivable, or participations therein, and related assets in connection with any Receivables Facility;</w:t>
      </w:r>
    </w:p>
    <w:p>
      <w:pPr>
        <w:spacing w:after="0" w:line="236" w:lineRule="exact"/>
        <w:rPr>
          <w:rFonts w:ascii="Arial" w:cs="Arial" w:eastAsia="Arial" w:hAnsi="Arial"/>
          <w:sz w:val="17"/>
          <w:szCs w:val="17"/>
          <w:color w:val="auto"/>
        </w:rPr>
      </w:pPr>
    </w:p>
    <w:p>
      <w:pPr>
        <w:ind w:left="100" w:right="500" w:firstLine="653"/>
        <w:spacing w:after="0" w:line="308" w:lineRule="auto"/>
        <w:tabs>
          <w:tab w:leader="none" w:pos="1233"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financing transaction with respect to property built or acquired by Holdings or any Restricted Subsidiary after the Restatement Effective Date, including Sale Leasebacks and asset securitizations permitted by this Agreement;</w:t>
      </w:r>
    </w:p>
    <w:p>
      <w:pPr>
        <w:spacing w:after="0" w:line="146" w:lineRule="exact"/>
        <w:rPr>
          <w:rFonts w:ascii="Arial" w:cs="Arial" w:eastAsia="Arial" w:hAnsi="Arial"/>
          <w:sz w:val="17"/>
          <w:szCs w:val="17"/>
          <w:color w:val="auto"/>
        </w:rPr>
      </w:pPr>
    </w:p>
    <w:p>
      <w:pPr>
        <w:ind w:left="100" w:right="20" w:firstLine="653"/>
        <w:spacing w:after="0" w:line="257" w:lineRule="auto"/>
        <w:tabs>
          <w:tab w:leader="none" w:pos="12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(1) any surrender or waiver of contractual rights or the settlement, release, or surrender of contractual rights or other litigation claims, (2) the termination or collapse of cost sharing agreements with Holdings or any Subsidiary and the settlement of any crossing payments in connection therewith, or (3) the settlement, discount, write off, forgiveness, or cancellation of any Indebtedness owing by any present or former consultants, directors, officers, or employees of Holdings (or any direct or indirect parent company of Holdings) or any Subsidiary or any of their successors or assigns;</w:t>
      </w:r>
    </w:p>
    <w:p>
      <w:pPr>
        <w:spacing w:after="0" w:line="188" w:lineRule="exact"/>
        <w:rPr>
          <w:rFonts w:ascii="Arial" w:cs="Arial" w:eastAsia="Arial" w:hAnsi="Arial"/>
          <w:sz w:val="18"/>
          <w:szCs w:val="18"/>
          <w:color w:val="auto"/>
        </w:rPr>
      </w:pPr>
    </w:p>
    <w:p>
      <w:pPr>
        <w:ind w:left="100" w:right="240" w:firstLine="653"/>
        <w:spacing w:after="0" w:line="277" w:lineRule="auto"/>
        <w:tabs>
          <w:tab w:leader="none" w:pos="12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disposition or discount of inventory, accounts receivable, or notes receivable in the ordinary course of business or the conversion of accounts receivable to notes receivable;</w:t>
      </w:r>
    </w:p>
    <w:p>
      <w:pPr>
        <w:spacing w:after="0" w:line="170" w:lineRule="exact"/>
        <w:rPr>
          <w:rFonts w:ascii="Arial" w:cs="Arial" w:eastAsia="Arial" w:hAnsi="Arial"/>
          <w:sz w:val="18"/>
          <w:szCs w:val="18"/>
          <w:color w:val="auto"/>
        </w:rPr>
      </w:pPr>
    </w:p>
    <w:p>
      <w:pPr>
        <w:ind w:left="100" w:right="840" w:firstLine="653"/>
        <w:spacing w:after="0" w:line="277" w:lineRule="auto"/>
        <w:tabs>
          <w:tab w:leader="none" w:pos="12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other general intangibles (whether pursuant to franchise agreements or otherwise) in the ordinary course of business;</w:t>
      </w:r>
    </w:p>
    <w:p>
      <w:pPr>
        <w:spacing w:after="0" w:line="170" w:lineRule="exact"/>
        <w:rPr>
          <w:rFonts w:ascii="Arial" w:cs="Arial" w:eastAsia="Arial" w:hAnsi="Arial"/>
          <w:sz w:val="18"/>
          <w:szCs w:val="18"/>
          <w:color w:val="auto"/>
        </w:rPr>
      </w:pPr>
    </w:p>
    <w:p>
      <w:pPr>
        <w:ind w:left="1280" w:hanging="527"/>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unwinding of any Hedging Obligations or obligations in respect of Cash Management Services;</w:t>
      </w:r>
    </w:p>
    <w:p>
      <w:pPr>
        <w:spacing w:after="0" w:line="225" w:lineRule="exact"/>
        <w:rPr>
          <w:rFonts w:ascii="Arial" w:cs="Arial" w:eastAsia="Arial" w:hAnsi="Arial"/>
          <w:sz w:val="18"/>
          <w:szCs w:val="18"/>
          <w:color w:val="auto"/>
        </w:rPr>
      </w:pPr>
    </w:p>
    <w:p>
      <w:pPr>
        <w:ind w:left="100" w:right="40" w:firstLine="653"/>
        <w:spacing w:after="0" w:line="342" w:lineRule="auto"/>
        <w:tabs>
          <w:tab w:leader="none" w:pos="1273"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23" w:lineRule="exact"/>
        <w:rPr>
          <w:rFonts w:ascii="Arial" w:cs="Arial" w:eastAsia="Arial" w:hAnsi="Arial"/>
          <w:sz w:val="16"/>
          <w:szCs w:val="16"/>
          <w:color w:val="auto"/>
        </w:rPr>
      </w:pPr>
    </w:p>
    <w:p>
      <w:pPr>
        <w:ind w:left="100" w:firstLine="653"/>
        <w:spacing w:after="0" w:line="342" w:lineRule="auto"/>
        <w:tabs>
          <w:tab w:leader="none" w:pos="127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lapse or abandonment of Intellectual Property rights in the ordinary course of business, which in the reasonable business judgment of the Borrower are not material to the conduct of the business of Holdings and the Restricted Subsidiaries taken as a whole;</w:t>
      </w:r>
    </w:p>
    <w:p>
      <w:pPr>
        <w:spacing w:after="0" w:line="123" w:lineRule="exact"/>
        <w:rPr>
          <w:rFonts w:ascii="Arial" w:cs="Arial" w:eastAsia="Arial" w:hAnsi="Arial"/>
          <w:sz w:val="16"/>
          <w:szCs w:val="16"/>
          <w:color w:val="auto"/>
        </w:rPr>
      </w:pPr>
    </w:p>
    <w:p>
      <w:pPr>
        <w:ind w:left="1280" w:hanging="527"/>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directors’ qualifying shares and shares issued to foreign nationals as required by applicable law;</w:t>
      </w:r>
    </w:p>
    <w:p>
      <w:pPr>
        <w:spacing w:after="0" w:line="225" w:lineRule="exact"/>
        <w:rPr>
          <w:rFonts w:ascii="Arial" w:cs="Arial" w:eastAsia="Arial" w:hAnsi="Arial"/>
          <w:sz w:val="18"/>
          <w:szCs w:val="18"/>
          <w:color w:val="auto"/>
        </w:rPr>
      </w:pPr>
    </w:p>
    <w:p>
      <w:pPr>
        <w:ind w:left="100" w:right="200" w:firstLine="653"/>
        <w:spacing w:after="0" w:line="264" w:lineRule="auto"/>
        <w:tabs>
          <w:tab w:leader="none" w:pos="12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dispositions of property to the extent that (1) such property is exchanged for credit against the purchase price of similar replacement property that is promptly purchased or (2) the proceeds of such Asset Sale are promptly applied to the purchase price of such replacement property (which replacement property is actually promptly purchased);</w:t>
      </w:r>
    </w:p>
    <w:p>
      <w:pPr>
        <w:spacing w:after="0" w:line="181" w:lineRule="exact"/>
        <w:rPr>
          <w:rFonts w:ascii="Arial" w:cs="Arial" w:eastAsia="Arial" w:hAnsi="Arial"/>
          <w:sz w:val="18"/>
          <w:szCs w:val="18"/>
          <w:color w:val="auto"/>
        </w:rPr>
      </w:pPr>
    </w:p>
    <w:p>
      <w:pPr>
        <w:ind w:left="100" w:right="300" w:firstLine="653"/>
        <w:spacing w:after="0" w:line="277" w:lineRule="auto"/>
        <w:tabs>
          <w:tab w:leader="none" w:pos="12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leases, assignments, subleases, licenses, or sublicenses, in each case in the ordinary course of business and which do not materially interfere with the business of Holdings and the Restricted Subsidiaries, taken as a whole;</w:t>
      </w:r>
    </w:p>
    <w:p>
      <w:pPr>
        <w:spacing w:after="0" w:line="170" w:lineRule="exact"/>
        <w:rPr>
          <w:rFonts w:ascii="Arial" w:cs="Arial" w:eastAsia="Arial" w:hAnsi="Arial"/>
          <w:sz w:val="18"/>
          <w:szCs w:val="18"/>
          <w:color w:val="auto"/>
        </w:rPr>
      </w:pPr>
    </w:p>
    <w:p>
      <w:pPr>
        <w:ind w:left="1240" w:hanging="487"/>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dispositions of non-core assets acquired in connection with any Permitted Acquisition or Investment permitted hereunder;</w:t>
      </w:r>
    </w:p>
    <w:p>
      <w:pPr>
        <w:spacing w:after="0" w:line="248" w:lineRule="exact"/>
        <w:rPr>
          <w:rFonts w:ascii="Arial" w:cs="Arial" w:eastAsia="Arial" w:hAnsi="Arial"/>
          <w:sz w:val="16"/>
          <w:szCs w:val="16"/>
          <w:color w:val="auto"/>
        </w:rPr>
      </w:pPr>
    </w:p>
    <w:p>
      <w:pPr>
        <w:ind w:left="100" w:right="380" w:firstLine="653"/>
        <w:spacing w:after="0" w:line="264" w:lineRule="auto"/>
        <w:tabs>
          <w:tab w:leader="none" w:pos="12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necessary or reasonably considered advisable by the Borrower to comply with requirements of law at such time, dispositions of (A) any retail location or any eye facility located in California and/or (B) FirstSight or any other Managed Care Subsidiary;</w:t>
      </w:r>
    </w:p>
    <w:p>
      <w:pPr>
        <w:spacing w:after="0" w:line="181" w:lineRule="exact"/>
        <w:rPr>
          <w:rFonts w:ascii="Arial" w:cs="Arial" w:eastAsia="Arial" w:hAnsi="Arial"/>
          <w:sz w:val="18"/>
          <w:szCs w:val="18"/>
          <w:color w:val="auto"/>
        </w:rPr>
      </w:pPr>
    </w:p>
    <w:p>
      <w:pPr>
        <w:ind w:left="1240" w:hanging="487"/>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dispositions pursuant to the Wal-Mart Agreements; and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9" w:name="page40"/>
    <w:bookmarkEnd w:id="39"/>
    <w:p>
      <w:pPr>
        <w:ind w:left="1300" w:right="180" w:firstLine="653"/>
        <w:spacing w:after="0" w:line="277" w:lineRule="auto"/>
        <w:tabs>
          <w:tab w:leader="none" w:pos="25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lease or sublease of real property and related office equipment and personal property to health care professionals (or their Affiliates) or a Managed Care Subsidiary in the ordinary course of business.</w:t>
      </w:r>
    </w:p>
    <w:p>
      <w:pPr>
        <w:spacing w:after="0" w:line="16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 Prepayment Event</w:t>
      </w:r>
      <w:r>
        <w:rPr>
          <w:rFonts w:ascii="Arial" w:cs="Arial" w:eastAsia="Arial" w:hAnsi="Arial"/>
          <w:sz w:val="18"/>
          <w:szCs w:val="18"/>
          <w:color w:val="auto"/>
        </w:rPr>
        <w:t xml:space="preserve">” shall mean any Asset Sale subject to the Reinvestment Period allowed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with respect to any Asset Sale Prepayment Event, the Borrower shall not be obligated to make any prepayment otherwise required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unless and until the aggregate amount of Net Cash Proceeds from all such Asset Sale Prepayment Events, after giving effect to the reinvestment rights set forth herein, exceeds $10,000,000 (the “</w:t>
      </w:r>
      <w:r>
        <w:rPr>
          <w:rFonts w:ascii="Arial" w:cs="Arial" w:eastAsia="Arial" w:hAnsi="Arial"/>
          <w:sz w:val="18"/>
          <w:szCs w:val="18"/>
          <w:b w:val="1"/>
          <w:bCs w:val="1"/>
          <w:color w:val="auto"/>
        </w:rPr>
        <w:t>Prepayment Trigger</w:t>
      </w:r>
      <w:r>
        <w:rPr>
          <w:rFonts w:ascii="Arial" w:cs="Arial" w:eastAsia="Arial" w:hAnsi="Arial"/>
          <w:sz w:val="18"/>
          <w:szCs w:val="18"/>
          <w:color w:val="auto"/>
        </w:rPr>
        <w:t>”) in any fiscal year of Holdings, but then from all such Net Cash Proceeds (excluding amounts below the Prepayment Trigger).</w:t>
      </w:r>
    </w:p>
    <w:p>
      <w:pPr>
        <w:spacing w:after="0" w:line="184"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xml:space="preserve">” shall mean an assignment and acceptance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or such other form as may be approved by the Administrative Agent.</w:t>
      </w:r>
    </w:p>
    <w:p>
      <w:pPr>
        <w:spacing w:after="0" w:line="16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shall mean, with respect to any Person, any individual holding the position of chairman of the board (if an officer), the Chief Executive Officer, President, the Chief Financial Officer, the Treasurer, the Controller, the Vice President-Finance, a Senior Vice President, a Director, a Manager, or any other senior officer or agent with express authority to act on behalf of such Person designated as such by the board of directors or other managing authority of such Person.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shall mean an amount equal to the excess, if any, of (i) the amount of the Total Revolving Credit Commitment over (ii) the sum of the aggregate principal amount of (a) all Revolving Credit Loans (but not Swingline Loans) then outstanding and (b) the aggregate Letters of Credit Outstanding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Average New Store Consolidated EBITDA</w:t>
      </w:r>
      <w:r>
        <w:rPr>
          <w:rFonts w:ascii="Arial" w:cs="Arial" w:eastAsia="Arial" w:hAnsi="Arial"/>
          <w:sz w:val="16"/>
          <w:szCs w:val="16"/>
          <w:color w:val="auto"/>
        </w:rPr>
        <w:t>” shall mean, with respect to any Test Period, the numeric average of the amount of Consolidated</w:t>
      </w:r>
    </w:p>
    <w:p>
      <w:pPr>
        <w:spacing w:after="0" w:line="50" w:lineRule="exact"/>
        <w:rPr>
          <w:sz w:val="20"/>
          <w:szCs w:val="20"/>
          <w:color w:val="auto"/>
        </w:rPr>
      </w:pPr>
    </w:p>
    <w:p>
      <w:pPr>
        <w:ind w:right="860"/>
        <w:spacing w:after="0" w:line="205" w:lineRule="auto"/>
        <w:rPr>
          <w:sz w:val="20"/>
          <w:szCs w:val="20"/>
          <w:color w:val="auto"/>
        </w:rPr>
      </w:pPr>
      <w:r>
        <w:rPr>
          <w:rFonts w:ascii="Arial" w:cs="Arial" w:eastAsia="Arial" w:hAnsi="Arial"/>
          <w:sz w:val="18"/>
          <w:szCs w:val="18"/>
          <w:color w:val="auto"/>
        </w:rPr>
        <w:t>EBITDA of Stores (excluding New Stores) in their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through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fiscal quarters after opening of such Stores (e.g., the sum of each such Store’s Consolidated EBITDA for such four quarter period, divided by the number of applicable Stores).</w:t>
      </w:r>
    </w:p>
    <w:p>
      <w:pPr>
        <w:spacing w:after="0" w:line="199"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shall mean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225"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shall mean a certification regarding beneficial ownership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shall mean 31 C.F.R. § 1010.230.</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Benefited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Governors of the Federal Reserve System of the United States (or any successor).</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(i) Loans of the same Class and Type, made, converted, or continued on the same date and, in the case of LIBOR Loans, as to which a single Interest Period is in effect, or (ii) a Swingline Loan.</w:t>
      </w:r>
    </w:p>
    <w:p>
      <w:pPr>
        <w:spacing w:after="0" w:line="162"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excluding Saturday, Sunday, and any other day on which banking institutions in New York City are authorized by law or other governmental actions to close, and, if such day relates to any interest rate settings as to a LIBOR Loan, any fundings, disbursements, settlements, and payments in respect of any such LIBOR Loan, or any other dealings in Dollars to be carried out pursuant to this Agreement in respect of any such LIBOR Loan, such day shall be a day on which dealings in deposits in Dollars are conducted by and between banks in the applicable London interbank market.</w:t>
      </w:r>
    </w:p>
    <w:p>
      <w:pPr>
        <w:spacing w:after="0" w:line="184"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w:t>
      </w:r>
      <w:r>
        <w:rPr>
          <w:rFonts w:ascii="Arial" w:cs="Arial" w:eastAsia="Arial" w:hAnsi="Arial"/>
          <w:sz w:val="17"/>
          <w:szCs w:val="17"/>
          <w:color w:val="auto"/>
        </w:rPr>
        <w:t xml:space="preserve">” shall mean, as applied to any Person, any lease of any property (whether real, personal, or mixed) by that Person as lessee that, in conformity with GAAP, is, or is required to be, accounted for as a capital lease on the balance sheet of that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all leases of any Person that are or would be characterized as operating leases in accordance with GAAP immediately prior to December 31, 2013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 and (ii) all leases for Stores shall be accounted for as operating leases for purposes of this Agreement.</w:t>
      </w:r>
    </w:p>
    <w:p>
      <w:pPr>
        <w:spacing w:after="0" w:line="174"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spacing w:after="0" w:line="154"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Lease Obligation</w:t>
      </w:r>
      <w:r>
        <w:rPr>
          <w:rFonts w:ascii="Arial" w:cs="Arial" w:eastAsia="Arial" w:hAnsi="Arial"/>
          <w:sz w:val="17"/>
          <w:szCs w:val="17"/>
          <w:color w:val="auto"/>
        </w:rPr>
        <w:t xml:space="preserve">” 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obligations of any Person that are or would be characterized as operating lease obligations in accordance with GAAP immediately prior to December 31, 2013 (whether or not such operating lease obligations were in effect on such date) shall continue to be accounted for as operating lease obligations (and not as Capitalized Lease Obligations) for purposes of this Agreement regardless of any change in GAAP following the date that would otherwise require such obligations to be recharacterized as Capitalized Lease Obligations.</w:t>
      </w:r>
    </w:p>
    <w:p>
      <w:pPr>
        <w:spacing w:after="0" w:line="174" w:lineRule="exact"/>
        <w:rPr>
          <w:sz w:val="20"/>
          <w:szCs w:val="20"/>
          <w:color w:val="auto"/>
        </w:rPr>
      </w:pPr>
    </w:p>
    <w:p>
      <w:pPr>
        <w:ind w:right="2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Collateralize</w:t>
      </w:r>
      <w:r>
        <w:rPr>
          <w:rFonts w:ascii="Arial" w:cs="Arial" w:eastAsia="Arial" w:hAnsi="Arial"/>
          <w:sz w:val="16"/>
          <w:szCs w:val="16"/>
          <w:color w:val="auto"/>
        </w:rPr>
        <w:t>” shall mean to pledge and deposit with or deliver to the Administrative Agent, for the benefit of one or more of the Letter of Credit Issuer or the Lenders, as collateral for L/C Obligations or obligations of the Lenders to fund participations in respect of L/C Obligations, cash or deposit account balances or, if the Administrative Agent and the Letter of Credit Issuer shall agree in their sole discretion, other credit support. “</w:t>
      </w:r>
      <w:r>
        <w:rPr>
          <w:rFonts w:ascii="Arial" w:cs="Arial" w:eastAsia="Arial" w:hAnsi="Arial"/>
          <w:sz w:val="16"/>
          <w:szCs w:val="16"/>
          <w:b w:val="1"/>
          <w:bCs w:val="1"/>
          <w:color w:val="auto"/>
        </w:rPr>
        <w:t>Cash</w:t>
      </w:r>
      <w:r>
        <w:rPr>
          <w:rFonts w:ascii="Arial" w:cs="Arial" w:eastAsia="Arial" w:hAnsi="Arial"/>
          <w:sz w:val="16"/>
          <w:szCs w:val="16"/>
          <w:color w:val="auto"/>
        </w:rPr>
        <w:t xml:space="preserve"> </w:t>
      </w:r>
      <w:r>
        <w:rPr>
          <w:rFonts w:ascii="Arial" w:cs="Arial" w:eastAsia="Arial" w:hAnsi="Arial"/>
          <w:sz w:val="16"/>
          <w:szCs w:val="16"/>
          <w:b w:val="1"/>
          <w:bCs w:val="1"/>
          <w:color w:val="auto"/>
        </w:rPr>
        <w:t>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shall mean:</w:t>
      </w:r>
    </w:p>
    <w:p>
      <w:pPr>
        <w:spacing w:after="0" w:line="229" w:lineRule="exact"/>
        <w:rPr>
          <w:sz w:val="20"/>
          <w:szCs w:val="20"/>
          <w:color w:val="auto"/>
        </w:rPr>
      </w:pPr>
    </w:p>
    <w:p>
      <w:pPr>
        <w:ind w:left="1920" w:hanging="615"/>
        <w:spacing w:after="0"/>
        <w:tabs>
          <w:tab w:leader="none" w:pos="1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Dollars,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Euro, Pounds Sterling, Canadian Dollars, or any national currency of any Participating Member State in the European Union or</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currencies held from time to time in the ordinary course of business,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1" w:name="page42"/>
    <w:bookmarkEnd w:id="41"/>
    <w:p>
      <w:pPr>
        <w:ind w:left="-540" w:firstLine="645"/>
        <w:spacing w:after="0" w:line="286" w:lineRule="auto"/>
        <w:tabs>
          <w:tab w:leader="none" w:pos="738"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24 months or less from the date of acquisition,</w:t>
      </w:r>
    </w:p>
    <w:p>
      <w:pPr>
        <w:spacing w:after="0" w:line="165" w:lineRule="exact"/>
        <w:rPr>
          <w:rFonts w:ascii="Arial" w:cs="Arial" w:eastAsia="Arial" w:hAnsi="Arial"/>
          <w:sz w:val="17"/>
          <w:szCs w:val="17"/>
          <w:color w:val="auto"/>
        </w:rPr>
      </w:pPr>
    </w:p>
    <w:p>
      <w:pPr>
        <w:ind w:left="-540" w:firstLine="645"/>
        <w:spacing w:after="0" w:line="259" w:lineRule="auto"/>
        <w:tabs>
          <w:tab w:leader="none" w:pos="7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of not less than $250,000,000 in the case of U.S. banks and $100,000,000 (or the Dollar Equivalent as of the date of determination) in the case of foreign banks,</w:t>
      </w:r>
    </w:p>
    <w:p>
      <w:pPr>
        <w:spacing w:after="0" w:line="186" w:lineRule="exact"/>
        <w:rPr>
          <w:rFonts w:ascii="Arial" w:cs="Arial" w:eastAsia="Arial" w:hAnsi="Arial"/>
          <w:sz w:val="18"/>
          <w:szCs w:val="18"/>
          <w:color w:val="auto"/>
        </w:rPr>
      </w:pPr>
    </w:p>
    <w:p>
      <w:pPr>
        <w:ind w:left="-540" w:right="140" w:firstLine="645"/>
        <w:spacing w:after="0" w:line="277" w:lineRule="auto"/>
        <w:tabs>
          <w:tab w:leader="none" w:pos="7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repurchase obligations for underlying securities of the types described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entered into with any financial institution meeting the qualifications specified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ind w:left="-540" w:right="160" w:firstLine="645"/>
        <w:spacing w:after="0" w:line="277" w:lineRule="auto"/>
        <w:tabs>
          <w:tab w:leader="none" w:pos="7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paper rated at least P-2 by Moody’s or at least A-2 by S&amp;P and in each case maturing within 24 months after the date of creation thereof,</w:t>
      </w:r>
    </w:p>
    <w:p>
      <w:pPr>
        <w:spacing w:after="0" w:line="170" w:lineRule="exact"/>
        <w:rPr>
          <w:rFonts w:ascii="Arial" w:cs="Arial" w:eastAsia="Arial" w:hAnsi="Arial"/>
          <w:sz w:val="18"/>
          <w:szCs w:val="18"/>
          <w:color w:val="auto"/>
        </w:rPr>
      </w:pPr>
    </w:p>
    <w:p>
      <w:pPr>
        <w:ind w:left="-540" w:right="320" w:firstLine="645"/>
        <w:spacing w:after="0" w:line="286" w:lineRule="auto"/>
        <w:tabs>
          <w:tab w:leader="none" w:pos="733"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marketable short-term money market and similar securities having a rating of at least P-2 or A-2 from either Moody’s or S&amp;P, respectively (or, if at any time neither Moody’s nor S&amp;P shall be rating such obligations, an equivalent rating from another nationally recognized ratings agency) and in each case maturing within 24 months after the date of creation or acquisition thereof,</w:t>
      </w:r>
    </w:p>
    <w:p>
      <w:pPr>
        <w:spacing w:after="0" w:line="165" w:lineRule="exact"/>
        <w:rPr>
          <w:rFonts w:ascii="Arial" w:cs="Arial" w:eastAsia="Arial" w:hAnsi="Arial"/>
          <w:sz w:val="17"/>
          <w:szCs w:val="17"/>
          <w:color w:val="auto"/>
        </w:rPr>
      </w:pPr>
    </w:p>
    <w:p>
      <w:pPr>
        <w:ind w:left="-540" w:right="120" w:firstLine="645"/>
        <w:spacing w:after="0" w:line="264" w:lineRule="auto"/>
        <w:tabs>
          <w:tab w:leader="none" w:pos="7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commonwealth, or territory of the United States or any political subdivision or taxing authority thereof having one of the two highest rating categories obtainable from either Moody’s or S&amp;P with maturities of 24 months or less from the date of acquisition,</w:t>
      </w:r>
    </w:p>
    <w:p>
      <w:pPr>
        <w:spacing w:after="0" w:line="181" w:lineRule="exact"/>
        <w:rPr>
          <w:rFonts w:ascii="Arial" w:cs="Arial" w:eastAsia="Arial" w:hAnsi="Arial"/>
          <w:sz w:val="18"/>
          <w:szCs w:val="18"/>
          <w:color w:val="auto"/>
        </w:rPr>
      </w:pPr>
    </w:p>
    <w:p>
      <w:pPr>
        <w:ind w:left="-540" w:right="180" w:firstLine="645"/>
        <w:spacing w:after="0" w:line="277" w:lineRule="auto"/>
        <w:tabs>
          <w:tab w:leader="none" w:pos="7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 or higher from S&amp;P or “A2” or higher from Moody’s with maturities of 24 months or less from the date of acquisition,</w:t>
      </w:r>
    </w:p>
    <w:p>
      <w:pPr>
        <w:spacing w:after="0" w:line="170" w:lineRule="exact"/>
        <w:rPr>
          <w:rFonts w:ascii="Arial" w:cs="Arial" w:eastAsia="Arial" w:hAnsi="Arial"/>
          <w:sz w:val="18"/>
          <w:szCs w:val="18"/>
          <w:color w:val="auto"/>
        </w:rPr>
      </w:pPr>
    </w:p>
    <w:p>
      <w:pPr>
        <w:ind w:left="-540" w:right="40" w:firstLine="645"/>
        <w:spacing w:after="0" w:line="288" w:lineRule="auto"/>
        <w:tabs>
          <w:tab w:leader="none" w:pos="7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solely with respect to any Foreign Subsidiary: (a) obligations of the national government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in each case maturing within one year after the date of investment therein, (b)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6"/>
          <w:szCs w:val="16"/>
          <w:b w:val="1"/>
          <w:bCs w:val="1"/>
          <w:color w:val="auto"/>
        </w:rPr>
        <w:t>Approved Foreign Bank</w:t>
      </w:r>
      <w:r>
        <w:rPr>
          <w:rFonts w:ascii="Arial" w:cs="Arial" w:eastAsia="Arial" w:hAnsi="Arial"/>
          <w:sz w:val="16"/>
          <w:szCs w:val="16"/>
          <w:color w:val="auto"/>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spacing w:after="0" w:line="169" w:lineRule="exact"/>
        <w:rPr>
          <w:rFonts w:ascii="Arial" w:cs="Arial" w:eastAsia="Arial" w:hAnsi="Arial"/>
          <w:sz w:val="16"/>
          <w:szCs w:val="16"/>
          <w:color w:val="auto"/>
        </w:rPr>
      </w:pPr>
    </w:p>
    <w:p>
      <w:pPr>
        <w:ind w:left="-540" w:right="20" w:firstLine="645"/>
        <w:spacing w:after="0" w:line="264" w:lineRule="auto"/>
        <w:tabs>
          <w:tab w:leader="none" w:pos="7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 the case of investments by any Foreign Subsidiary or investments made in a country outside the United States, Cash Equivalents shall also include investments of the type and maturity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above of foreign obligors, which investments have ratings, described in such clauses or equivalent ratings from comparable foreign rating agencies, and</w:t>
      </w:r>
    </w:p>
    <w:p>
      <w:pPr>
        <w:spacing w:after="0" w:line="181" w:lineRule="exact"/>
        <w:rPr>
          <w:rFonts w:ascii="Arial" w:cs="Arial" w:eastAsia="Arial" w:hAnsi="Arial"/>
          <w:sz w:val="18"/>
          <w:szCs w:val="18"/>
          <w:color w:val="auto"/>
        </w:rPr>
      </w:pPr>
    </w:p>
    <w:p>
      <w:pPr>
        <w:ind w:left="780" w:hanging="675"/>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investment funds investing 90% of their assets in securities of the types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2" w:name="page43"/>
    <w:bookmarkEnd w:id="42"/>
    <w:p>
      <w:pPr>
        <w:ind w:right="260" w:firstLine="648"/>
        <w:spacing w:after="0" w:line="264" w:lineRule="auto"/>
        <w:rPr>
          <w:sz w:val="20"/>
          <w:szCs w:val="20"/>
          <w:color w:val="auto"/>
        </w:rPr>
      </w:pPr>
      <w:r>
        <w:rPr>
          <w:rFonts w:ascii="Arial" w:cs="Arial" w:eastAsia="Arial" w:hAnsi="Arial"/>
          <w:sz w:val="18"/>
          <w:szCs w:val="18"/>
          <w:color w:val="auto"/>
        </w:rPr>
        <w:t xml:space="preserve">Notwithstanding the foregoing, Cash Equivalents shall include amounts denominated in currencies other than those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are converted into any currency listed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as promptly as practicable and in any event within ten Business Days following the receipt of such amounts.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or arrangement to provide Cash Management Services.</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shall mean (i) any Person that, at the time it enters into a Cash Management Agreement, is an Agent or a Lender or an Affiliate of an Agent or a Lender or (ii) with respect to any Cash Management Agreement entered into prior to the Restatement Effective Date, any Person that is a Lender or an Affiliate of a Lender on the Restatement Effective Date.</w:t>
      </w:r>
    </w:p>
    <w:p>
      <w:pPr>
        <w:spacing w:after="0" w:line="176"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Management Services</w:t>
      </w:r>
      <w:r>
        <w:rPr>
          <w:rFonts w:ascii="Arial" w:cs="Arial" w:eastAsia="Arial" w:hAnsi="Arial"/>
          <w:sz w:val="16"/>
          <w:szCs w:val="16"/>
          <w:color w:val="auto"/>
        </w:rPr>
        <w:t>” shall mean any one or more of the following types of services or facilities: (i) commercial credit cards, merchant card services, purchase or debit cards, including non-card e-payables services, or electronic funds transfer services, (ii) treasury management services (including controlled disbursement, overdraft automatic clearing house fund transfer services, return items, and interstate depository network services) and</w:t>
      </w:r>
    </w:p>
    <w:p>
      <w:pPr>
        <w:spacing w:after="0" w:line="2" w:lineRule="exact"/>
        <w:rPr>
          <w:sz w:val="20"/>
          <w:szCs w:val="20"/>
          <w:color w:val="auto"/>
        </w:rPr>
      </w:pPr>
    </w:p>
    <w:p>
      <w:pPr>
        <w:ind w:right="860" w:firstLine="8"/>
        <w:spacing w:after="0" w:line="261"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demand deposit or operating account relationships or other cash management services, including pursuant to any Cash Management Agreements.</w:t>
      </w:r>
    </w:p>
    <w:p>
      <w:pPr>
        <w:spacing w:after="0" w:line="180"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xml:space="preserve">” shall mean, with respect to any property of any Person, any loss of or damage to, or any condemnation or other taking by a Governmental Authority of, such property for which such Person or any of its Restricted Subsidiaries receives insurance proceeds or proceeds of a condemnation award in respect of any equipment, fixed assets, or real property (including any improvements thereon) to replace or repair such equipment, fixed assets, or real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 respect to any Casualty Event, the Borrower shall not be obligated to make any prepayment otherwise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unless and until the aggregate amount of Net Cash Proceeds from all such Casualty Events, after giving effect to the reinvestment rights set forth herein, exceeds $10,000,000 (the “</w:t>
      </w:r>
      <w:r>
        <w:rPr>
          <w:rFonts w:ascii="Arial" w:cs="Arial" w:eastAsia="Arial" w:hAnsi="Arial"/>
          <w:sz w:val="17"/>
          <w:szCs w:val="17"/>
          <w:b w:val="1"/>
          <w:bCs w:val="1"/>
          <w:color w:val="auto"/>
        </w:rPr>
        <w:t>Casualty Prepayment Trigger</w:t>
      </w:r>
      <w:r>
        <w:rPr>
          <w:rFonts w:ascii="Arial" w:cs="Arial" w:eastAsia="Arial" w:hAnsi="Arial"/>
          <w:sz w:val="17"/>
          <w:szCs w:val="17"/>
          <w:color w:val="auto"/>
        </w:rPr>
        <w:t>”) in any fiscal year of Holdings, but then from all such Net Cash Proceeds (excluding amounts below the Casualty Prepayment Trigger).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shall mean a Subsidiary of the Borrower that is a “controlled foreign corporation” within the meaning of Section 957 of the Code.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Holding Company</w:t>
      </w:r>
      <w:r>
        <w:rPr>
          <w:rFonts w:ascii="Arial" w:cs="Arial" w:eastAsia="Arial" w:hAnsi="Arial"/>
          <w:sz w:val="18"/>
          <w:szCs w:val="18"/>
          <w:color w:val="auto"/>
        </w:rPr>
        <w:t>” shall mean a Domestic Subsidiary of the Borrower substantially all of the assets of which consist of equity or debt of one or more Foreign Subsidiaries that are CFCs.</w:t>
      </w:r>
    </w:p>
    <w:p>
      <w:pPr>
        <w:spacing w:after="0" w:line="16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Law</w:t>
      </w:r>
      <w:r>
        <w:rPr>
          <w:rFonts w:ascii="Arial" w:cs="Arial" w:eastAsia="Arial" w:hAnsi="Arial"/>
          <w:sz w:val="17"/>
          <w:szCs w:val="17"/>
          <w:color w:val="auto"/>
        </w:rPr>
        <w:t>” shall mean (i) the adoption of any law, treaty, order, policy, rule, or regulation after the Restatement Effective Date, (ii) any change in any law, treaty, order, policy, rule, or regulation or in the administration, implementation, interpretation or application thereof by any Governmental Authority after the Restatement Effective Date or (iii) compliance by any Lender with any guideline, request, directive, or order issued or made after the Restatement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w:t>
      </w:r>
    </w:p>
    <w:p>
      <w:pPr>
        <w:spacing w:after="0" w:line="172"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and be deemed to have occurred if any Person, entity, or “group” (within the meaning of Section 13(d) or 14(d) of the Securities Exchange Act of 1934, as amended), other than the Permitted Holders, shall at any time have acquired direct or indirect beneficial ownership of a percentage of the voting power of the outstanding Voting Stock of Holdings that exceeds 35% thereof, unless the Permitted Holders have, at such time, the right or the ability by voting power, contract, or otherwise to elect or designate for election at least a majority of the board of directors of Holdings.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3" w:name="page44"/>
    <w:bookmarkEnd w:id="43"/>
    <w:p>
      <w:pPr>
        <w:ind w:right="1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(i) when used in reference to any Loan or Borrowing, shall refer to whether such Loan, or the Loans comprising such Borrowing, are Revolving Credit Loans, Term A Loans, New Term Loans (of each Series), Extended Term Loans (of the same Extension Series), Replacement Term Loans (of the same Series), Extended Revolving Credit Loans (of the same Extension Series), or Swingline Loans and (ii) when used in reference to any Commitment, refers to whether such Commitment is a Revolving Credit Commitment, an Extended Revolving Credit Commitment (of the same Extension Series), a Term A Loan Commitment or a New Term Loan Commitment.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March 13,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property pledged or mortgaged or purported to be pledged or mortgaged pursuant to the Security Documents, excluding in all events Excluded Property.</w:t>
      </w:r>
    </w:p>
    <w:p>
      <w:pPr>
        <w:spacing w:after="0" w:line="162" w:lineRule="exact"/>
        <w:rPr>
          <w:sz w:val="20"/>
          <w:szCs w:val="20"/>
          <w:color w:val="auto"/>
        </w:rPr>
      </w:pPr>
    </w:p>
    <w:p>
      <w:pPr>
        <w:ind w:right="8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shall mean Bank of America, N.A., as collateral agent under the Security Documents, or any successor collateral agent pursuant to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and any Affiliate or designee of Bank of America, N.A. may act as the Collateral Agent under any Credit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matters relating to the Original Credit Agreement or periods prior to the Restatement Effective Date, such term shall refer to the Former Agent.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 Rate</w:t>
      </w:r>
      <w:r>
        <w:rPr>
          <w:rFonts w:ascii="Arial" w:cs="Arial" w:eastAsia="Arial" w:hAnsi="Arial"/>
          <w:sz w:val="18"/>
          <w:szCs w:val="18"/>
          <w:color w:val="auto"/>
        </w:rPr>
        <w:t>” shall mean the rate per annum for Commitment Fees determined in accordance with the definition of “Applicable Margin”.</w:t>
      </w:r>
    </w:p>
    <w:p>
      <w:pPr>
        <w:spacing w:after="0" w:line="162" w:lineRule="exact"/>
        <w:rPr>
          <w:sz w:val="20"/>
          <w:szCs w:val="20"/>
          <w:color w:val="auto"/>
        </w:rPr>
      </w:pPr>
    </w:p>
    <w:p>
      <w:pPr>
        <w:ind w:right="6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Commitments</w:t>
      </w:r>
      <w:r>
        <w:rPr>
          <w:rFonts w:ascii="Arial" w:cs="Arial" w:eastAsia="Arial" w:hAnsi="Arial"/>
          <w:sz w:val="17"/>
          <w:szCs w:val="17"/>
          <w:color w:val="auto"/>
        </w:rPr>
        <w:t>” shall mean, with respect to each Lender (to the extent applicable), such Lender’s Revolving Credit Commitment, Extended Revolving Credit Commitment, New Revolving Credit Commitment, Term A Loan Commitment or New Term Loan Commitment.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shall mean a certificate of a responsible financial or accounting officer of Holdings or the Borrower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for the applicable Test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13.16</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Depreciation and Amortization Expense</w:t>
      </w:r>
      <w:r>
        <w:rPr>
          <w:rFonts w:ascii="Arial" w:cs="Arial" w:eastAsia="Arial" w:hAnsi="Arial"/>
          <w:sz w:val="18"/>
          <w:szCs w:val="18"/>
          <w:color w:val="auto"/>
        </w:rPr>
        <w:t>” shall mean with respect to any Person for any period, the total amount of depreciation and amortization expense, including the amortization of deferred financing fees or costs, debt issuance costs, commissions, fees, and expenses, capitalized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shall mean, with respect to any Person for any period, the Consolidated Net Income of such Person for such period:</w:t>
      </w:r>
    </w:p>
    <w:p>
      <w:pPr>
        <w:spacing w:after="0" w:line="241" w:lineRule="exact"/>
        <w:rPr>
          <w:sz w:val="20"/>
          <w:szCs w:val="20"/>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(without duplication) by:</w:t>
      </w:r>
    </w:p>
    <w:p>
      <w:pPr>
        <w:spacing w:after="0" w:line="225" w:lineRule="exact"/>
        <w:rPr>
          <w:rFonts w:ascii="Arial" w:cs="Arial" w:eastAsia="Arial" w:hAnsi="Arial"/>
          <w:sz w:val="18"/>
          <w:szCs w:val="18"/>
          <w:color w:val="auto"/>
        </w:rPr>
      </w:pPr>
    </w:p>
    <w:p>
      <w:pPr>
        <w:ind w:left="1300" w:right="60" w:firstLine="653"/>
        <w:spacing w:after="0" w:line="259" w:lineRule="auto"/>
        <w:tabs>
          <w:tab w:leader="none" w:pos="2463"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capital, including, without limitation, U.S. federal, state, non-U.S., franchise, excise, value added, and similar taxes and foreign withholding taxes of such Person paid or accrued during such period deducted, including any penalties and interest related to such taxes or arising from any tax examinations (and not added back) in computing Consolidated Net Income,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ind w:left="100" w:right="20" w:firstLine="653"/>
        <w:spacing w:after="0" w:line="257" w:lineRule="auto"/>
        <w:tabs>
          <w:tab w:leader="none" w:pos="12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non-cash interest expense, to the extent the same were deducted (and not added back) in calculating such Consolidated Net Income, </w:t>
      </w:r>
      <w:r>
        <w:rPr>
          <w:rFonts w:ascii="Arial" w:cs="Arial" w:eastAsia="Arial" w:hAnsi="Arial"/>
          <w:sz w:val="18"/>
          <w:szCs w:val="18"/>
          <w:i w:val="1"/>
          <w:iCs w:val="1"/>
          <w:color w:val="auto"/>
        </w:rPr>
        <w:t>plus</w:t>
      </w:r>
    </w:p>
    <w:p>
      <w:pPr>
        <w:spacing w:after="0" w:line="188" w:lineRule="exact"/>
        <w:rPr>
          <w:rFonts w:ascii="Arial" w:cs="Arial" w:eastAsia="Arial" w:hAnsi="Arial"/>
          <w:sz w:val="18"/>
          <w:szCs w:val="18"/>
          <w:color w:val="auto"/>
        </w:rPr>
      </w:pPr>
    </w:p>
    <w:p>
      <w:pPr>
        <w:ind w:left="100" w:right="120" w:firstLine="653"/>
        <w:spacing w:after="0" w:line="277" w:lineRule="auto"/>
        <w:tabs>
          <w:tab w:leader="none" w:pos="12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to the extent the same were deducted in computing Consolidated Net Income,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00" w:right="120" w:firstLine="653"/>
        <w:spacing w:after="0" w:line="272" w:lineRule="auto"/>
        <w:tabs>
          <w:tab w:leader="none" w:pos="1273"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Restatement Effective Date), including (1) such fees, expenses, or charges related to the incurrence of the Loans hereunder and all Transaction Expenses, (2) such fees, expenses, or charges related to the offering of the Credit Documents and any other credit facilities, and (3) any amendment or other modification of Loans hereunder, or other Indebtedness, and, in each case, deducted (and not added back) in computing Consolidated Net Income, </w:t>
      </w:r>
      <w:r>
        <w:rPr>
          <w:rFonts w:ascii="Arial" w:cs="Arial" w:eastAsia="Arial" w:hAnsi="Arial"/>
          <w:sz w:val="17"/>
          <w:szCs w:val="17"/>
          <w:i w:val="1"/>
          <w:iCs w:val="1"/>
          <w:color w:val="auto"/>
        </w:rPr>
        <w:t>plus</w:t>
      </w:r>
    </w:p>
    <w:p>
      <w:pPr>
        <w:spacing w:after="0" w:line="177" w:lineRule="exact"/>
        <w:rPr>
          <w:rFonts w:ascii="Arial" w:cs="Arial" w:eastAsia="Arial" w:hAnsi="Arial"/>
          <w:sz w:val="17"/>
          <w:szCs w:val="17"/>
          <w:color w:val="auto"/>
        </w:rPr>
      </w:pPr>
    </w:p>
    <w:p>
      <w:pPr>
        <w:ind w:left="100" w:right="160" w:firstLine="653"/>
        <w:spacing w:after="0" w:line="302" w:lineRule="auto"/>
        <w:tabs>
          <w:tab w:leader="none" w:pos="12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other non-cash charges, including any write offs, write downs, expenses, losses, or items to the extent the same were deducted (and not added back) in computing Consolidated Net Income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non-cash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Arial" w:cs="Arial" w:eastAsia="Arial" w:hAnsi="Arial"/>
          <w:sz w:val="16"/>
          <w:szCs w:val="16"/>
          <w:i w:val="1"/>
          <w:iCs w:val="1"/>
          <w:color w:val="auto"/>
        </w:rPr>
        <w:t>plus</w:t>
      </w:r>
    </w:p>
    <w:p>
      <w:pPr>
        <w:spacing w:after="0" w:line="154" w:lineRule="exact"/>
        <w:rPr>
          <w:rFonts w:ascii="Arial" w:cs="Arial" w:eastAsia="Arial" w:hAnsi="Arial"/>
          <w:sz w:val="16"/>
          <w:szCs w:val="16"/>
          <w:color w:val="auto"/>
        </w:rPr>
      </w:pPr>
    </w:p>
    <w:p>
      <w:pPr>
        <w:ind w:left="100" w:firstLine="653"/>
        <w:spacing w:after="0" w:line="342" w:lineRule="auto"/>
        <w:tabs>
          <w:tab w:leader="none" w:pos="12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amount of any minority interest expense consisting of Subsidiary income attributable to minority equity interests of third parties in any non-Wholly Owned Subsidiary deducted (and not added back) in such period in calculating Consolidated Net Income, </w:t>
      </w:r>
      <w:r>
        <w:rPr>
          <w:rFonts w:ascii="Arial" w:cs="Arial" w:eastAsia="Arial" w:hAnsi="Arial"/>
          <w:sz w:val="16"/>
          <w:szCs w:val="16"/>
          <w:i w:val="1"/>
          <w:iCs w:val="1"/>
          <w:color w:val="auto"/>
        </w:rPr>
        <w:t>plus</w:t>
      </w:r>
    </w:p>
    <w:p>
      <w:pPr>
        <w:spacing w:after="0" w:line="123" w:lineRule="exact"/>
        <w:rPr>
          <w:rFonts w:ascii="Arial" w:cs="Arial" w:eastAsia="Arial" w:hAnsi="Arial"/>
          <w:sz w:val="16"/>
          <w:szCs w:val="16"/>
          <w:color w:val="auto"/>
        </w:rPr>
      </w:pPr>
    </w:p>
    <w:p>
      <w:pPr>
        <w:ind w:left="100" w:right="120" w:firstLine="653"/>
        <w:spacing w:after="0" w:line="277" w:lineRule="auto"/>
        <w:tabs>
          <w:tab w:leader="none" w:pos="12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amount of management, monitoring, consulting, and advisory fees (including termination fees) and related indemnities and expenses paid or accrued in such period to the Initial Investors or any of their respective Affiliates,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280" w:hanging="527"/>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costs of surety bonds incurred in such period in connection with financing activities,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00" w:firstLine="653"/>
        <w:spacing w:after="0" w:line="254" w:lineRule="auto"/>
        <w:tabs>
          <w:tab w:leader="none" w:pos="12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amount of reasonably identifiable and factually supportable “run-rate” cost savings, operating expense reductions, and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operating expense reductions, and synergies shall be calculated on a Pro Forma Basis as though such cost savings, operating expense reductions, or synergies had been realized on the first day of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increase to Consolidated EBITDA for any period pursuant to this clause (i), clause (q) below, clause (r) below and the definition of “Pro Forma Adjustment” shall not exceed 25% of Consolidated EBITDA for such period (after giving effect to any increase in Consolidated EBITDA pursuant to the definition of “Acquired EBITDA”),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5" w:name="page46"/>
    <w:bookmarkEnd w:id="45"/>
    <w:p>
      <w:pPr>
        <w:ind w:left="100" w:right="200" w:firstLine="653"/>
        <w:spacing w:after="0" w:line="277" w:lineRule="auto"/>
        <w:tabs>
          <w:tab w:leader="none" w:pos="12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amount of loss or discount on sale of receivables and related assets to the Receivables Subsidiary in connection with a Receivables Facility,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00" w:firstLine="653"/>
        <w:spacing w:after="0" w:line="255" w:lineRule="auto"/>
        <w:tabs>
          <w:tab w:leader="none" w:pos="12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any costs or expense incurred by Holdings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Holdings or net cash proceeds of an issuance of Equity Interests of Holdings (other than Disqualified Stock) solely to the extent that such net cash proceeds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and have not been relied on for purposes of any incurrence of Indebtedness pursuant to </w:t>
      </w:r>
      <w:r>
        <w:rPr>
          <w:rFonts w:ascii="Arial" w:cs="Arial" w:eastAsia="Arial" w:hAnsi="Arial"/>
          <w:sz w:val="18"/>
          <w:szCs w:val="18"/>
          <w:u w:val="single" w:color="auto"/>
          <w:color w:val="auto"/>
        </w:rPr>
        <w:t>clause (l)(i)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p>
    <w:p>
      <w:pPr>
        <w:spacing w:after="0" w:line="193" w:lineRule="exact"/>
        <w:rPr>
          <w:rFonts w:ascii="Arial" w:cs="Arial" w:eastAsia="Arial" w:hAnsi="Arial"/>
          <w:sz w:val="18"/>
          <w:szCs w:val="18"/>
          <w:color w:val="auto"/>
        </w:rPr>
      </w:pPr>
    </w:p>
    <w:p>
      <w:pPr>
        <w:ind w:left="100" w:right="20" w:firstLine="653"/>
        <w:spacing w:after="0" w:line="302" w:lineRule="auto"/>
        <w:tabs>
          <w:tab w:leader="none" w:pos="1233"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amount of expenses relating to payments made to option holders of any direct or indirect parent company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under this Agreement, </w:t>
      </w:r>
      <w:r>
        <w:rPr>
          <w:rFonts w:ascii="Arial" w:cs="Arial" w:eastAsia="Arial" w:hAnsi="Arial"/>
          <w:sz w:val="16"/>
          <w:szCs w:val="16"/>
          <w:i w:val="1"/>
          <w:iCs w:val="1"/>
          <w:color w:val="auto"/>
        </w:rPr>
        <w:t>plus</w:t>
      </w:r>
    </w:p>
    <w:p>
      <w:pPr>
        <w:spacing w:after="0" w:line="154" w:lineRule="exact"/>
        <w:rPr>
          <w:rFonts w:ascii="Arial" w:cs="Arial" w:eastAsia="Arial" w:hAnsi="Arial"/>
          <w:sz w:val="16"/>
          <w:szCs w:val="16"/>
          <w:color w:val="auto"/>
        </w:rPr>
      </w:pPr>
    </w:p>
    <w:p>
      <w:pPr>
        <w:ind w:left="100" w:firstLine="653"/>
        <w:spacing w:after="0" w:line="312" w:lineRule="auto"/>
        <w:tabs>
          <w:tab w:leader="none" w:pos="1323"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with respect to any joint venture that is not a Restricted Subsidiary, an amount equal to the proportion of those items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relating to such joint venture corresponding to Holdings’ and the Restricted Subsidiaries’ proportionate share of such joint venture’s Consolidated Net Income (determined as if such joint venture were a Restricted Subsidiary), </w:t>
      </w:r>
      <w:r>
        <w:rPr>
          <w:rFonts w:ascii="Arial" w:cs="Arial" w:eastAsia="Arial" w:hAnsi="Arial"/>
          <w:sz w:val="16"/>
          <w:szCs w:val="16"/>
          <w:i w:val="1"/>
          <w:iCs w:val="1"/>
          <w:color w:val="auto"/>
        </w:rPr>
        <w:t>plus</w:t>
      </w:r>
    </w:p>
    <w:p>
      <w:pPr>
        <w:spacing w:after="0" w:line="146" w:lineRule="exact"/>
        <w:rPr>
          <w:rFonts w:ascii="Arial" w:cs="Arial" w:eastAsia="Arial" w:hAnsi="Arial"/>
          <w:sz w:val="16"/>
          <w:szCs w:val="16"/>
          <w:color w:val="auto"/>
        </w:rPr>
      </w:pPr>
    </w:p>
    <w:p>
      <w:pPr>
        <w:ind w:left="100" w:right="60" w:firstLine="653"/>
        <w:spacing w:after="0" w:line="308" w:lineRule="auto"/>
        <w:tabs>
          <w:tab w:leader="none" w:pos="1273"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costs associated with, or in anticipation of, or preparation for, compliance with the requirements of the Sarbanes-Oxley Act of 2002 and the rules and regulations promulgated in connection therewith and Public Company Costs, </w:t>
      </w:r>
      <w:r>
        <w:rPr>
          <w:rFonts w:ascii="Arial" w:cs="Arial" w:eastAsia="Arial" w:hAnsi="Arial"/>
          <w:sz w:val="17"/>
          <w:szCs w:val="17"/>
          <w:i w:val="1"/>
          <w:iCs w:val="1"/>
          <w:color w:val="auto"/>
        </w:rPr>
        <w:t>plus</w:t>
      </w:r>
    </w:p>
    <w:p>
      <w:pPr>
        <w:spacing w:after="0" w:line="146" w:lineRule="exact"/>
        <w:rPr>
          <w:rFonts w:ascii="Arial" w:cs="Arial" w:eastAsia="Arial" w:hAnsi="Arial"/>
          <w:sz w:val="17"/>
          <w:szCs w:val="17"/>
          <w:color w:val="auto"/>
        </w:rPr>
      </w:pPr>
    </w:p>
    <w:p>
      <w:pPr>
        <w:ind w:left="100" w:right="280" w:firstLine="653"/>
        <w:spacing w:after="0" w:line="286" w:lineRule="auto"/>
        <w:tabs>
          <w:tab w:leader="none" w:pos="1273"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cash receipts (or any netting arrangements resulting in reduced cash expenses) not included in Consolidated EBITDA in any period solely to the extent that the corresponding non-cash gains relating to such receipts were deducted in the calculation of Consolidated EBITDA pursuant to paragraph (2) below for any previous period and not added back, </w:t>
      </w:r>
      <w:r>
        <w:rPr>
          <w:rFonts w:ascii="Arial" w:cs="Arial" w:eastAsia="Arial" w:hAnsi="Arial"/>
          <w:sz w:val="17"/>
          <w:szCs w:val="17"/>
          <w:i w:val="1"/>
          <w:iCs w:val="1"/>
          <w:color w:val="auto"/>
        </w:rPr>
        <w:t>plus</w:t>
      </w:r>
    </w:p>
    <w:p>
      <w:pPr>
        <w:spacing w:after="0" w:line="165" w:lineRule="exact"/>
        <w:rPr>
          <w:rFonts w:ascii="Arial" w:cs="Arial" w:eastAsia="Arial" w:hAnsi="Arial"/>
          <w:sz w:val="17"/>
          <w:szCs w:val="17"/>
          <w:color w:val="auto"/>
        </w:rPr>
      </w:pPr>
    </w:p>
    <w:p>
      <w:pPr>
        <w:ind w:left="100" w:right="40" w:firstLine="653"/>
        <w:spacing w:after="0" w:line="272" w:lineRule="auto"/>
        <w:tabs>
          <w:tab w:leader="none" w:pos="1273"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Borrower that there exists such evidence (with a deduction for any amount so added back to the extent not so reimbursed within such 365 days), expenses with respect to liability or casualty events or business interruption, </w:t>
      </w:r>
      <w:r>
        <w:rPr>
          <w:rFonts w:ascii="Arial" w:cs="Arial" w:eastAsia="Arial" w:hAnsi="Arial"/>
          <w:sz w:val="17"/>
          <w:szCs w:val="17"/>
          <w:i w:val="1"/>
          <w:iCs w:val="1"/>
          <w:color w:val="auto"/>
        </w:rPr>
        <w:t>plus</w:t>
      </w:r>
    </w:p>
    <w:p>
      <w:pPr>
        <w:spacing w:after="0" w:line="177" w:lineRule="exact"/>
        <w:rPr>
          <w:rFonts w:ascii="Arial" w:cs="Arial" w:eastAsia="Arial" w:hAnsi="Arial"/>
          <w:sz w:val="17"/>
          <w:szCs w:val="17"/>
          <w:color w:val="auto"/>
        </w:rPr>
      </w:pPr>
    </w:p>
    <w:p>
      <w:pPr>
        <w:ind w:left="100" w:firstLine="653"/>
        <w:spacing w:after="0" w:line="271" w:lineRule="auto"/>
        <w:tabs>
          <w:tab w:leader="none" w:pos="1273"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for any Test Period, the aggregate amount of “run-rate” Consolidated Net Income projected by the Borrower in good faith to be attributable to New Contracts entered into during such Test Period (or following such Test Period but prior to the date for the delivery of the financial statements for such Test Period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(which amount shall be calculated on a Pro Forma Basis as though the full annual amount of such Consolidated Net Income attributable to such New Contracts had been realized during such Test Period (without duplication of any amounts attributable to such New Contracts already received in such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increase to Consolidated EBITDA for any period pursuant to this clause (q), clause (i) above, clause (r) below and the definition of “Pro Forma Adjustment” shall not exceed 25% of Consolidated EBITDA for such period (after giving effect to any increase in Consolidated EBITDA pursuant to such provision), </w:t>
      </w:r>
      <w:r>
        <w:rPr>
          <w:rFonts w:ascii="Arial" w:cs="Arial" w:eastAsia="Arial" w:hAnsi="Arial"/>
          <w:sz w:val="17"/>
          <w:szCs w:val="17"/>
          <w:i w:val="1"/>
          <w:iCs w:val="1"/>
          <w:color w:val="auto"/>
        </w:rPr>
        <w:t>plus</w:t>
      </w:r>
    </w:p>
    <w:p>
      <w:pPr>
        <w:spacing w:after="0" w:line="39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46" w:name="page47"/>
    <w:bookmarkEnd w:id="46"/>
    <w:p>
      <w:pPr>
        <w:ind w:left="640" w:right="100" w:firstLine="653"/>
        <w:spacing w:after="0" w:line="312" w:lineRule="auto"/>
        <w:tabs>
          <w:tab w:leader="none" w:pos="1783"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New Store Consolidated EBITDA Adjustments;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increase to Consolidated EBITDA for any period pursuant to this clause (r), clause (i) above, clause (q) above and the definition of “Pro Forma Adjustment” shall not exceed 25% of Consolidated EBITDA for such period (after giving effect to any increase in Consolidated EBITDA pursuant to any such provision), </w:t>
      </w:r>
      <w:r>
        <w:rPr>
          <w:rFonts w:ascii="Arial" w:cs="Arial" w:eastAsia="Arial" w:hAnsi="Arial"/>
          <w:sz w:val="16"/>
          <w:szCs w:val="16"/>
          <w:i w:val="1"/>
          <w:iCs w:val="1"/>
          <w:color w:val="auto"/>
        </w:rPr>
        <w:t>plus</w:t>
      </w:r>
    </w:p>
    <w:p>
      <w:pPr>
        <w:spacing w:after="0" w:line="146" w:lineRule="exact"/>
        <w:rPr>
          <w:rFonts w:ascii="Arial" w:cs="Arial" w:eastAsia="Arial" w:hAnsi="Arial"/>
          <w:sz w:val="16"/>
          <w:szCs w:val="16"/>
          <w:color w:val="auto"/>
        </w:rPr>
      </w:pPr>
    </w:p>
    <w:p>
      <w:pPr>
        <w:ind w:left="1800" w:hanging="507"/>
        <w:spacing w:after="0"/>
        <w:tabs>
          <w:tab w:leader="none" w:pos="18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pre-opening costs and expenses incurred during the Test Period for Stores or facilities opened during or after the Test</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 xml:space="preserve">Period, </w:t>
      </w:r>
      <w:r>
        <w:rPr>
          <w:rFonts w:ascii="Arial" w:cs="Arial" w:eastAsia="Arial" w:hAnsi="Arial"/>
          <w:sz w:val="18"/>
          <w:szCs w:val="18"/>
          <w:i w:val="1"/>
          <w:iCs w:val="1"/>
          <w:color w:val="auto"/>
        </w:rPr>
        <w:t>plus</w:t>
      </w:r>
    </w:p>
    <w:p>
      <w:pPr>
        <w:spacing w:after="0" w:line="210" w:lineRule="exact"/>
        <w:rPr>
          <w:rFonts w:ascii="Arial" w:cs="Arial" w:eastAsia="Arial" w:hAnsi="Arial"/>
          <w:sz w:val="17"/>
          <w:szCs w:val="17"/>
          <w:color w:val="auto"/>
        </w:rPr>
      </w:pPr>
    </w:p>
    <w:p>
      <w:pPr>
        <w:ind w:left="1780" w:hanging="487"/>
        <w:spacing w:after="0"/>
        <w:tabs>
          <w:tab w:leader="none" w:pos="1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charges, expenses, and other items described in the Lender Presentation,</w:t>
      </w:r>
    </w:p>
    <w:p>
      <w:pPr>
        <w:spacing w:after="0" w:line="225" w:lineRule="exact"/>
        <w:rPr>
          <w:rFonts w:ascii="Arial" w:cs="Arial" w:eastAsia="Arial" w:hAnsi="Arial"/>
          <w:sz w:val="18"/>
          <w:szCs w:val="18"/>
          <w:color w:val="auto"/>
        </w:rPr>
      </w:pPr>
    </w:p>
    <w:p>
      <w:pPr>
        <w:ind w:left="1260" w:hanging="61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by (without duplication):</w:t>
      </w:r>
    </w:p>
    <w:p>
      <w:pPr>
        <w:spacing w:after="0" w:line="225" w:lineRule="exact"/>
        <w:rPr>
          <w:rFonts w:ascii="Arial" w:cs="Arial" w:eastAsia="Arial" w:hAnsi="Arial"/>
          <w:sz w:val="18"/>
          <w:szCs w:val="18"/>
          <w:color w:val="auto"/>
        </w:rPr>
      </w:pPr>
    </w:p>
    <w:p>
      <w:pPr>
        <w:ind w:left="640" w:firstLine="653"/>
        <w:spacing w:after="0" w:line="272" w:lineRule="auto"/>
        <w:tabs>
          <w:tab w:leader="none" w:pos="1803" w:val="left"/>
        </w:tabs>
        <w:numPr>
          <w:ilvl w:val="1"/>
          <w:numId w:val="23"/>
        </w:numPr>
        <w:rPr>
          <w:rFonts w:ascii="Arial" w:cs="Arial" w:eastAsia="Arial" w:hAnsi="Arial"/>
          <w:sz w:val="17"/>
          <w:szCs w:val="17"/>
          <w:color w:val="auto"/>
        </w:rPr>
      </w:pPr>
      <w:r>
        <w:rPr>
          <w:rFonts w:ascii="Arial" w:cs="Arial" w:eastAsia="Arial" w:hAnsi="Arial"/>
          <w:sz w:val="17"/>
          <w:szCs w:val="17"/>
          <w:color w:val="auto"/>
        </w:rPr>
        <w:t xml:space="preserve">non-cash gains increasing Consolidated Net Income of such Person for such period, excluding any non-cash gains which represent the reversal of any accrual of, or cash reserve for, anticipated cash charges that reduced Consolidated EBITDA in any prior period other than non-cash gains relating to the application of Financial Accounting Standards Codification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(formerly Financial Accounting Standards Board Statement No. 13);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non cash gains are deducted pursuant to this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u w:val="single" w:color="auto"/>
          <w:color w:val="auto"/>
        </w:rPr>
        <w:t>(ii)(a)</w:t>
      </w:r>
      <w:r>
        <w:rPr>
          <w:rFonts w:ascii="Arial" w:cs="Arial" w:eastAsia="Arial" w:hAnsi="Arial"/>
          <w:sz w:val="17"/>
          <w:szCs w:val="17"/>
          <w:color w:val="auto"/>
        </w:rPr>
        <w:t xml:space="preserve"> for any previous period and not otherwise added back to Consolidated EBITDA, Consolidated EBITDA shall be increased by the amount of any cash receipts (or any netting arrangements resulting in reduced cash expenses) in respect of such non cash gains received in subsequent periods to the extent not already included therein, </w:t>
      </w:r>
      <w:r>
        <w:rPr>
          <w:rFonts w:ascii="Arial" w:cs="Arial" w:eastAsia="Arial" w:hAnsi="Arial"/>
          <w:sz w:val="17"/>
          <w:szCs w:val="17"/>
          <w:i w:val="1"/>
          <w:iCs w:val="1"/>
          <w:color w:val="auto"/>
        </w:rPr>
        <w:t>plus</w:t>
      </w:r>
    </w:p>
    <w:p>
      <w:pPr>
        <w:spacing w:after="0" w:line="177" w:lineRule="exact"/>
        <w:rPr>
          <w:rFonts w:ascii="Arial" w:cs="Arial" w:eastAsia="Arial" w:hAnsi="Arial"/>
          <w:sz w:val="17"/>
          <w:szCs w:val="17"/>
          <w:color w:val="auto"/>
        </w:rPr>
      </w:pPr>
    </w:p>
    <w:p>
      <w:pPr>
        <w:ind w:left="640" w:right="20" w:firstLine="653"/>
        <w:spacing w:after="0" w:line="302" w:lineRule="auto"/>
        <w:tabs>
          <w:tab w:leader="none" w:pos="1813"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for any Test Period, the aggregate amount of “run-rate” Consolidated Net Income attributable to Terminated Contracts that have terminated or expired during such Test Period (or following such Test Period but prior to the date for delivery of the financial statements for such Test Period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(which amount shall be calculated on a Pro Forma Basis so as to eliminate the full annual amount of such Consolidated Net Income attributable to such Terminated Contracts during such Test Period), </w:t>
      </w:r>
      <w:r>
        <w:rPr>
          <w:rFonts w:ascii="Arial" w:cs="Arial" w:eastAsia="Arial" w:hAnsi="Arial"/>
          <w:sz w:val="16"/>
          <w:szCs w:val="16"/>
          <w:i w:val="1"/>
          <w:iCs w:val="1"/>
          <w:color w:val="auto"/>
        </w:rPr>
        <w:t>plus</w:t>
      </w:r>
    </w:p>
    <w:p>
      <w:pPr>
        <w:spacing w:after="0" w:line="154" w:lineRule="exact"/>
        <w:rPr>
          <w:sz w:val="20"/>
          <w:szCs w:val="20"/>
          <w:color w:val="auto"/>
        </w:rPr>
      </w:pPr>
    </w:p>
    <w:p>
      <w:pPr>
        <w:ind w:left="1280" w:hanging="635"/>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or decreased by (without duplication):</w:t>
      </w:r>
    </w:p>
    <w:p>
      <w:pPr>
        <w:spacing w:after="0" w:line="225" w:lineRule="exact"/>
        <w:rPr>
          <w:rFonts w:ascii="Arial" w:cs="Arial" w:eastAsia="Arial" w:hAnsi="Arial"/>
          <w:sz w:val="18"/>
          <w:szCs w:val="18"/>
          <w:color w:val="auto"/>
        </w:rPr>
      </w:pPr>
    </w:p>
    <w:p>
      <w:pPr>
        <w:ind w:left="640" w:right="120" w:firstLine="653"/>
        <w:spacing w:after="0" w:line="277" w:lineRule="auto"/>
        <w:tabs>
          <w:tab w:leader="none" w:pos="18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currency gains or losses related to Indebtedness, intercompany balances, and other balance sheet items, plus or minus, as the case may be, and</w:t>
      </w:r>
    </w:p>
    <w:p>
      <w:pPr>
        <w:spacing w:after="0" w:line="170" w:lineRule="exact"/>
        <w:rPr>
          <w:rFonts w:ascii="Arial" w:cs="Arial" w:eastAsia="Arial" w:hAnsi="Arial"/>
          <w:sz w:val="18"/>
          <w:szCs w:val="18"/>
          <w:color w:val="auto"/>
        </w:rPr>
      </w:pPr>
    </w:p>
    <w:p>
      <w:pPr>
        <w:ind w:left="640" w:right="140" w:firstLine="653"/>
        <w:spacing w:after="0" w:line="259" w:lineRule="auto"/>
        <w:tabs>
          <w:tab w:leader="none" w:pos="181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w:t>
      </w:r>
    </w:p>
    <w:p>
      <w:pPr>
        <w:spacing w:after="0" w:line="225" w:lineRule="exact"/>
        <w:rPr>
          <w:sz w:val="20"/>
          <w:szCs w:val="20"/>
          <w:color w:val="auto"/>
        </w:rPr>
      </w:pPr>
    </w:p>
    <w:p>
      <w:pPr>
        <w:ind w:firstLine="645"/>
        <w:spacing w:after="0" w:line="264" w:lineRule="auto"/>
        <w:tabs>
          <w:tab w:leader="none" w:pos="12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900" w:top="909" w:right="279" w:bottom="1440" w:gutter="0" w:footer="0" w:header="0"/>
        </w:sectPr>
      </w:pPr>
    </w:p>
    <w:bookmarkStart w:id="47" w:name="page48"/>
    <w:bookmarkEnd w:id="47"/>
    <w:p>
      <w:pPr>
        <w:ind w:left="660" w:firstLine="645"/>
        <w:spacing w:after="0" w:line="270" w:lineRule="auto"/>
        <w:tabs>
          <w:tab w:leader="none" w:pos="197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there shall be included in determining Consolidated EBITDA for any period, without duplication, (1) the Acquired EBITDA of any Person or business, or attributable to any property or asset acquired by Holdings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Holdings or such Restricted Subsidiary during such period (each such Person, business, property, or asset acquired and not subsequently so disposed of, an “</w:t>
      </w:r>
      <w:r>
        <w:rPr>
          <w:rFonts w:ascii="Arial" w:cs="Arial" w:eastAsia="Arial" w:hAnsi="Arial"/>
          <w:sz w:val="17"/>
          <w:szCs w:val="17"/>
          <w:b w:val="1"/>
          <w:bCs w:val="1"/>
          <w:color w:val="auto"/>
        </w:rPr>
        <w:t>Acquired Entity or Business</w:t>
      </w:r>
      <w:r>
        <w:rPr>
          <w:rFonts w:ascii="Arial" w:cs="Arial" w:eastAsia="Arial" w:hAnsi="Arial"/>
          <w:sz w:val="17"/>
          <w:szCs w:val="17"/>
          <w:color w:val="auto"/>
        </w:rPr>
        <w:t>”) and the Acquired EBITDA of any Unrestricted Subsidiary that is converted into a Restricted Subsidiary during such period (each, a “</w:t>
      </w:r>
      <w:r>
        <w:rPr>
          <w:rFonts w:ascii="Arial" w:cs="Arial" w:eastAsia="Arial" w:hAnsi="Arial"/>
          <w:sz w:val="17"/>
          <w:szCs w:val="17"/>
          <w:b w:val="1"/>
          <w:bCs w:val="1"/>
          <w:color w:val="auto"/>
        </w:rPr>
        <w:t>Converted Restricted</w:t>
      </w:r>
      <w:r>
        <w:rPr>
          <w:rFonts w:ascii="Arial" w:cs="Arial" w:eastAsia="Arial" w:hAnsi="Arial"/>
          <w:sz w:val="17"/>
          <w:szCs w:val="17"/>
          <w:color w:val="auto"/>
        </w:rPr>
        <w:t xml:space="preserve"> </w:t>
      </w:r>
      <w:r>
        <w:rPr>
          <w:rFonts w:ascii="Arial" w:cs="Arial" w:eastAsia="Arial" w:hAnsi="Arial"/>
          <w:sz w:val="17"/>
          <w:szCs w:val="17"/>
          <w:b w:val="1"/>
          <w:bCs w:val="1"/>
          <w:color w:val="auto"/>
        </w:rPr>
        <w:t>Subsidiary</w:t>
      </w:r>
      <w:r>
        <w:rPr>
          <w:rFonts w:ascii="Arial" w:cs="Arial" w:eastAsia="Arial" w:hAnsi="Arial"/>
          <w:sz w:val="17"/>
          <w:szCs w:val="17"/>
          <w:color w:val="auto"/>
        </w:rPr>
        <w:t>”), based on the actual Acquired EBITDA of such Acquired Entity or Business or Converted Restricted Subsidiary for such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w:t>
      </w:r>
    </w:p>
    <w:p>
      <w:pPr>
        <w:spacing w:after="0" w:line="177" w:lineRule="exact"/>
        <w:rPr>
          <w:rFonts w:ascii="Arial" w:cs="Arial" w:eastAsia="Arial" w:hAnsi="Arial"/>
          <w:sz w:val="17"/>
          <w:szCs w:val="17"/>
          <w:color w:val="auto"/>
        </w:rPr>
      </w:pPr>
    </w:p>
    <w:p>
      <w:pPr>
        <w:ind w:left="660" w:firstLine="645"/>
        <w:spacing w:after="0" w:line="289" w:lineRule="auto"/>
        <w:tabs>
          <w:tab w:leader="none" w:pos="20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Holdings or any Restricted Subsidiary during such period (each such Person, property, business, or asset so sold or disposed of, a “</w:t>
      </w:r>
      <w:r>
        <w:rPr>
          <w:rFonts w:ascii="Arial" w:cs="Arial" w:eastAsia="Arial" w:hAnsi="Arial"/>
          <w:sz w:val="16"/>
          <w:szCs w:val="16"/>
          <w:b w:val="1"/>
          <w:bCs w:val="1"/>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b w:val="1"/>
          <w:bCs w:val="1"/>
          <w:color w:val="auto"/>
        </w:rPr>
        <w:t>Converted Unrestricted Subsidiary</w:t>
      </w:r>
      <w:r>
        <w:rPr>
          <w:rFonts w:ascii="Arial" w:cs="Arial" w:eastAsia="Arial" w:hAnsi="Arial"/>
          <w:sz w:val="16"/>
          <w:szCs w:val="16"/>
          <w:color w:val="auto"/>
        </w:rPr>
        <w:t xml:space="preserve">”) based on the actual Disposed EBITDA of such Sold Entity or Business or Converted Unrestricted Subsidiary for such period (including the portion thereof occurring prior to such sale, transfer, or disposition or conversion);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spacing w:after="0" w:line="163"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Secured Debt</w:t>
      </w:r>
      <w:r>
        <w:rPr>
          <w:rFonts w:ascii="Arial" w:cs="Arial" w:eastAsia="Arial" w:hAnsi="Arial"/>
          <w:sz w:val="18"/>
          <w:szCs w:val="18"/>
          <w:color w:val="auto"/>
        </w:rPr>
        <w:t>” shall mean Consolidated Total Debt as of such date consisting of the Obligations and Indebtedness secured by a Lien on the Collateral on an equal priority basis (but without regard to the control of remedies) with liens on any of the Collateral securing the Obligations, pursuant to a First Lien Intercreditor Agreement.</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Secured Debt to Consolidated EBITDA Ratio</w:t>
      </w:r>
      <w:r>
        <w:rPr>
          <w:rFonts w:ascii="Arial" w:cs="Arial" w:eastAsia="Arial" w:hAnsi="Arial"/>
          <w:sz w:val="18"/>
          <w:szCs w:val="18"/>
          <w:color w:val="auto"/>
        </w:rPr>
        <w:t xml:space="preserve">” shall mean, as of any date of determination, the ratio of (i) Consolidated First Lien Secured Debt as of such date of determination,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cash and cash equivalents (in each case, free and clear of all Liens other than Permitted Liens and with “cash and cash equivalents” determined in accordance with GAAP) of Holdings and the Restricted Subsidiaries (other than the proceeds of any Indebtedness being incurred and giving rise to the need to calculate the Consolidated First Lien Secured Debt to Consolidated EBITDA Ratio) to (ii) Consolidated EBITDA of Holdings for the Test Period then last ended, in each case with such pro forma adjustments to Consolidated First Lien Secured Debt and Consolidated EBITDA as are appropriate and consistent with the pro forma adjustment provisions set forth in the definition of “Fixed Charge Coverage Ratio”.</w:t>
      </w:r>
    </w:p>
    <w:p>
      <w:pPr>
        <w:spacing w:after="0" w:line="18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Coverage Ratio</w:t>
      </w:r>
      <w:r>
        <w:rPr>
          <w:rFonts w:ascii="Arial" w:cs="Arial" w:eastAsia="Arial" w:hAnsi="Arial"/>
          <w:sz w:val="18"/>
          <w:szCs w:val="18"/>
          <w:color w:val="auto"/>
        </w:rPr>
        <w:t>” shall mean, as of any date of determination, the ratio of (i) Consolidated EBITDA of Holdings for the Test Period then last ended to (ii) Consolidated Interest Expense of Holdings for such Test Period, in each case with such pro forma adjustments to Consolidated EBITDA and Consolidated Interest Expense as are appropriate and consistent with the pro forma adjustment provisions set forth in the definition of “Fixed Charge Coverage Ratio”.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shall mean, with respect to any Person for any period, the sum, without duplication, of:</w:t>
      </w:r>
    </w:p>
    <w:p>
      <w:pPr>
        <w:spacing w:after="0" w:line="229" w:lineRule="exact"/>
        <w:rPr>
          <w:sz w:val="20"/>
          <w:szCs w:val="20"/>
          <w:color w:val="auto"/>
        </w:rPr>
      </w:pPr>
    </w:p>
    <w:p>
      <w:pPr>
        <w:ind w:left="660" w:right="140" w:firstLine="645"/>
        <w:spacing w:after="0" w:line="288" w:lineRule="auto"/>
        <w:tabs>
          <w:tab w:leader="none" w:pos="19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consolidated cash interest expense of such Person and its Restricted Subsidiaries for such period, to the extent such expense was deducted (and not added back) in computing Consolidated Net Income (including (a) all commissions, discounts, and other fees and charges owed with respect to letters of credit or bankers acceptances, (b) capitalized interest to the extent paid in cash, and (c) net payments, if any, pursuant to interest rate Hedging Obligations with respect to Indebtedness, and excluding (1) any one-time cash costs associated with breakage in respect of hedging agreements for interest rates, (2) all non-recurring cash interest expense consisting of liquidated damages for failure to timely comply with registration rights obligations, all as calculated on a consolidated basis in accordance with GAAP, (3) any “additional interest” owing pursuant to a registration rights agreement, (4) non-cash interest expense attributable to a parent entity resulting from push-down accounting, but solely to the extent not reducing consolidated cash interest expense in any prior period, (5) any non-cash expensing of bridge, commitment, and other financing fees that have been previously paid in cash, but solely to the extent not reducing consolidated cash interest expense in any prior period, and (6) commissions, discounts, yield, and other fees and charges (including any interest expense) related to any Receivables Facility); less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8" w:name="page49"/>
    <w:bookmarkEnd w:id="48"/>
    <w:p>
      <w:pPr>
        <w:ind w:left="1920" w:hanging="615"/>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interest income for such period.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66" w:lineRule="exact"/>
        <w:rPr>
          <w:sz w:val="20"/>
          <w:szCs w:val="20"/>
          <w:color w:val="auto"/>
        </w:rPr>
      </w:pPr>
    </w:p>
    <w:p>
      <w:pPr>
        <w:ind w:right="3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shall mean, with respect to any Person for any period, the aggregate of the Net Income, of such Person and its Restricted Subsidiaries for such period, on a consolidated basis, and otherwise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duplication,</w:t>
      </w:r>
    </w:p>
    <w:p>
      <w:pPr>
        <w:spacing w:after="0" w:line="120" w:lineRule="exact"/>
        <w:rPr>
          <w:sz w:val="20"/>
          <w:szCs w:val="20"/>
          <w:color w:val="auto"/>
        </w:rPr>
      </w:pPr>
    </w:p>
    <w:p>
      <w:pPr>
        <w:ind w:left="660" w:right="20" w:firstLine="645"/>
        <w:spacing w:after="0" w:line="257" w:lineRule="auto"/>
        <w:tabs>
          <w:tab w:leader="none" w:pos="19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after-tax effect of extraordinary, non-recurring, or unusual gains or losses (less all fees and expenses relating thereto) or expenses (including relating to the Transactions), severance, relocation costs, curtailments, or modifications to pension and post-retirement employee benefits plans, start-up, transition, integration, and other restructuring and business optimization costs, charges, reserves, or expenses (including related to acquisitions after the Restatement Effective Date and to the start-up, closure, and/or consolidation of facilities), new product introductions, and one-time compensation charges shall be excluded,</w:t>
      </w:r>
    </w:p>
    <w:p>
      <w:pPr>
        <w:spacing w:after="0" w:line="188" w:lineRule="exact"/>
        <w:rPr>
          <w:rFonts w:ascii="Arial" w:cs="Arial" w:eastAsia="Arial" w:hAnsi="Arial"/>
          <w:sz w:val="18"/>
          <w:szCs w:val="18"/>
          <w:color w:val="auto"/>
        </w:rPr>
      </w:pPr>
    </w:p>
    <w:p>
      <w:pPr>
        <w:ind w:left="660" w:right="100" w:firstLine="645"/>
        <w:spacing w:after="0" w:line="277" w:lineRule="auto"/>
        <w:tabs>
          <w:tab w:leader="none" w:pos="19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Net Income for such period shall not include the cumulative effect of a change in accounting principles and changes as a result of the adoption or modification of accounting policies during such period,</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net after-tax gains or losses on disposal of disposed, abandoned, transferred, closed, or discontinued operations or Stores shall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 excluded,</w:t>
      </w:r>
    </w:p>
    <w:p>
      <w:pPr>
        <w:spacing w:after="0" w:line="210" w:lineRule="exact"/>
        <w:rPr>
          <w:rFonts w:ascii="Arial" w:cs="Arial" w:eastAsia="Arial" w:hAnsi="Arial"/>
          <w:sz w:val="16"/>
          <w:szCs w:val="16"/>
          <w:color w:val="auto"/>
        </w:rPr>
      </w:pPr>
    </w:p>
    <w:p>
      <w:pPr>
        <w:ind w:left="660" w:right="80" w:firstLine="645"/>
        <w:spacing w:after="0" w:line="342" w:lineRule="auto"/>
        <w:tabs>
          <w:tab w:leader="none" w:pos="192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after-tax effect of gains or losses (less all fees and expenses relating thereto) attributable to asset dispositions or abandonments other than in the ordinary course of business, as determined in good faith by the board of directors of Holdings, shall be excluded,</w:t>
      </w:r>
    </w:p>
    <w:p>
      <w:pPr>
        <w:spacing w:after="0" w:line="123" w:lineRule="exact"/>
        <w:rPr>
          <w:rFonts w:ascii="Arial" w:cs="Arial" w:eastAsia="Arial" w:hAnsi="Arial"/>
          <w:sz w:val="16"/>
          <w:szCs w:val="16"/>
          <w:color w:val="auto"/>
        </w:rPr>
      </w:pPr>
    </w:p>
    <w:p>
      <w:pPr>
        <w:ind w:left="660" w:right="200" w:firstLine="645"/>
        <w:spacing w:after="0" w:line="259" w:lineRule="auto"/>
        <w:tabs>
          <w:tab w:leader="none" w:pos="19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Net Income for such period of any Person that is not a Subsidiary, or is an Unrestricted Subsidiary, or that is accounted for by the equity method of accounting,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of Holdings shall be increased by the amount of dividends or distributions or other payments that are actually paid in cash (or to the extent converted into cash or Cash Equivalents) to the referent Person or a Restricted Subsidiary thereof in respect of such period,</w:t>
      </w:r>
    </w:p>
    <w:p>
      <w:pPr>
        <w:spacing w:after="0" w:line="186" w:lineRule="exact"/>
        <w:rPr>
          <w:rFonts w:ascii="Arial" w:cs="Arial" w:eastAsia="Arial" w:hAnsi="Arial"/>
          <w:sz w:val="18"/>
          <w:szCs w:val="18"/>
          <w:color w:val="auto"/>
        </w:rPr>
      </w:pPr>
    </w:p>
    <w:p>
      <w:pPr>
        <w:ind w:left="660" w:right="60" w:firstLine="645"/>
        <w:spacing w:after="0" w:line="269" w:lineRule="auto"/>
        <w:tabs>
          <w:tab w:leader="none" w:pos="19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solely for the purpose of determining the amount available for Restricted Payments under </w:t>
      </w:r>
      <w:r>
        <w:rPr>
          <w:rFonts w:ascii="Arial" w:cs="Arial" w:eastAsia="Arial" w:hAnsi="Arial"/>
          <w:sz w:val="17"/>
          <w:szCs w:val="17"/>
          <w:u w:val="single" w:color="auto"/>
          <w:color w:val="auto"/>
        </w:rPr>
        <w:t>clause (iii)(A)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(a) has been legally waived, or otherwise released, (b) is imposed pursuant to this Agreement and other Credit Documents, Incremental Loans, or Permitted Other Indebtedness, or (c) arises pursuant to an agreement or instrument if the encumbrances and restrictions contained in any such agreement or instrument taken as a whole are not materially less favorable to the Secured Parties than the encumbrances and restrictions contained in the Credit Documents (as determined by the Borrower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Net Income of the referent Person will be increased by the amount of dividends or other distributions or other payments actually paid in cash (or to the extent converted into cash) or Cash Equivalents to such Person or a Restricted Subsidiary in respect of such period, to the extent not already included therein,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540" w:right="40" w:firstLine="645"/>
        <w:spacing w:after="0" w:line="255" w:lineRule="auto"/>
        <w:tabs>
          <w:tab w:leader="none" w:pos="7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effects of adjustments (including the effects of such adjustments pushed down to Holdings and the Restricted Subsidiaries) in any line item in such Person’s consolidated financial statements required or permitted by Financial Accounting Standards Codification Topic 805 – Business Combinations and Topic 350 – Intangibles-Goodwill and Other (ASC 805 and ASC 350) (formerly Financial Accounting Standards Board Statement Nos. 141 and 142, respectively) resulting from the application of purchase accounting, including in relation to the Original Transactions and any acquisition that is consummated after the Closing Date or the amortization or write-off of any amounts thereof, net of taxes, shall be excluded,</w:t>
      </w:r>
    </w:p>
    <w:p>
      <w:pPr>
        <w:spacing w:after="0" w:line="193" w:lineRule="exact"/>
        <w:rPr>
          <w:rFonts w:ascii="Arial" w:cs="Arial" w:eastAsia="Arial" w:hAnsi="Arial"/>
          <w:sz w:val="18"/>
          <w:szCs w:val="18"/>
          <w:color w:val="auto"/>
        </w:rPr>
      </w:pPr>
    </w:p>
    <w:p>
      <w:pPr>
        <w:ind w:left="-540" w:right="20" w:firstLine="645"/>
        <w:spacing w:after="0" w:line="257" w:lineRule="auto"/>
        <w:tabs>
          <w:tab w:leader="none" w:pos="6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any after-tax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provision), and (c) any non-cash expense, income, or loss attributable to the movement in mark to market valuation of foreign currencies, Indebtedness, or derivative instruments pursuant to GAAP, shall be excluded,</w:t>
      </w:r>
    </w:p>
    <w:p>
      <w:pPr>
        <w:spacing w:after="0" w:line="188" w:lineRule="exact"/>
        <w:rPr>
          <w:rFonts w:ascii="Arial" w:cs="Arial" w:eastAsia="Arial" w:hAnsi="Arial"/>
          <w:sz w:val="18"/>
          <w:szCs w:val="18"/>
          <w:color w:val="auto"/>
        </w:rPr>
      </w:pPr>
    </w:p>
    <w:p>
      <w:pPr>
        <w:ind w:left="-540" w:right="200" w:firstLine="645"/>
        <w:spacing w:after="0" w:line="264" w:lineRule="auto"/>
        <w:tabs>
          <w:tab w:leader="none" w:pos="7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impairment charge, asset write-off, or write-down pursuant to ASC 350 and Financial Accounting Standards Codification Topic 360 – Impairment and Disposal of Long-Lived Assets (ASC 360) (formerly Financial Accounting Standards Board Statement Nos. 142 and 144, respectively) and the amortization of intangibles arising pursuant to ASC 805 shall be excluded,</w:t>
      </w:r>
    </w:p>
    <w:p>
      <w:pPr>
        <w:spacing w:after="0" w:line="181" w:lineRule="exact"/>
        <w:rPr>
          <w:rFonts w:ascii="Arial" w:cs="Arial" w:eastAsia="Arial" w:hAnsi="Arial"/>
          <w:sz w:val="18"/>
          <w:szCs w:val="18"/>
          <w:color w:val="auto"/>
        </w:rPr>
      </w:pPr>
    </w:p>
    <w:p>
      <w:pPr>
        <w:ind w:left="-540" w:right="20" w:firstLine="645"/>
        <w:spacing w:after="0" w:line="264" w:lineRule="auto"/>
        <w:tabs>
          <w:tab w:leader="none" w:pos="7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any non-cash compensation expense recorded from grants of stock appreciation or similar rights, phantom equity, stock options units, restricted stock, or other rights to officers, directors, managers, or employees and (b) non-cash income (loss) attributable to deferred compensation plans or trusts, shall be excluded,</w:t>
      </w:r>
    </w:p>
    <w:p>
      <w:pPr>
        <w:spacing w:after="0" w:line="181" w:lineRule="exact"/>
        <w:rPr>
          <w:rFonts w:ascii="Arial" w:cs="Arial" w:eastAsia="Arial" w:hAnsi="Arial"/>
          <w:sz w:val="18"/>
          <w:szCs w:val="18"/>
          <w:color w:val="auto"/>
        </w:rPr>
      </w:pPr>
    </w:p>
    <w:p>
      <w:pPr>
        <w:ind w:left="-540" w:firstLine="645"/>
        <w:spacing w:after="0" w:line="257" w:lineRule="auto"/>
        <w:tabs>
          <w:tab w:leader="none" w:pos="7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shall be excluded,</w:t>
      </w:r>
    </w:p>
    <w:p>
      <w:pPr>
        <w:spacing w:after="0" w:line="188" w:lineRule="exact"/>
        <w:rPr>
          <w:rFonts w:ascii="Arial" w:cs="Arial" w:eastAsia="Arial" w:hAnsi="Arial"/>
          <w:sz w:val="18"/>
          <w:szCs w:val="18"/>
          <w:color w:val="auto"/>
        </w:rPr>
      </w:pPr>
    </w:p>
    <w:p>
      <w:pPr>
        <w:ind w:left="-540" w:right="120" w:firstLine="645"/>
        <w:spacing w:after="0" w:line="264" w:lineRule="auto"/>
        <w:tabs>
          <w:tab w:leader="none" w:pos="7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accruals and reserves (including contingent liabilities) that were established or adjusted within twelve months after the Closing Date that were so required to be established as a result of the Original Transactions in accordance with GAAP, or changes as a result of adoption or modification of accounting policies, shall be excluded,</w:t>
      </w:r>
    </w:p>
    <w:p>
      <w:pPr>
        <w:spacing w:after="0" w:line="181" w:lineRule="exact"/>
        <w:rPr>
          <w:rFonts w:ascii="Arial" w:cs="Arial" w:eastAsia="Arial" w:hAnsi="Arial"/>
          <w:sz w:val="18"/>
          <w:szCs w:val="18"/>
          <w:color w:val="auto"/>
        </w:rPr>
      </w:pPr>
    </w:p>
    <w:p>
      <w:pPr>
        <w:ind w:left="-540" w:firstLine="645"/>
        <w:spacing w:after="0" w:line="297" w:lineRule="auto"/>
        <w:tabs>
          <w:tab w:leader="none" w:pos="73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the determination by Borrower that there exists such evidence (with a deduction for any amount so added back to the extent not so reimbursed within 365 days), losses and expenses with respect to liability or casualty events or business interruption shall be excluded,</w:t>
      </w:r>
    </w:p>
    <w:p>
      <w:pPr>
        <w:spacing w:after="0" w:line="37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60"/>
          </w:cols>
          <w:pgMar w:left="1440" w:top="908" w:right="299" w:bottom="1440" w:gutter="0" w:footer="0" w:header="0"/>
        </w:sectPr>
      </w:pPr>
    </w:p>
    <w:bookmarkStart w:id="50" w:name="page51"/>
    <w:bookmarkEnd w:id="50"/>
    <w:p>
      <w:pPr>
        <w:ind w:left="660" w:right="40" w:firstLine="645"/>
        <w:spacing w:after="0" w:line="277" w:lineRule="auto"/>
        <w:tabs>
          <w:tab w:leader="none" w:pos="19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 related to such items, shall be excluded,</w:t>
      </w:r>
    </w:p>
    <w:p>
      <w:pPr>
        <w:spacing w:after="0" w:line="170" w:lineRule="exact"/>
        <w:rPr>
          <w:rFonts w:ascii="Arial" w:cs="Arial" w:eastAsia="Arial" w:hAnsi="Arial"/>
          <w:sz w:val="18"/>
          <w:szCs w:val="18"/>
          <w:color w:val="auto"/>
        </w:rPr>
      </w:pPr>
    </w:p>
    <w:p>
      <w:pPr>
        <w:ind w:left="660" w:right="180" w:firstLine="645"/>
        <w:spacing w:after="0" w:line="277" w:lineRule="auto"/>
        <w:tabs>
          <w:tab w:leader="none" w:pos="19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costs or expenses incurred during such period relating to environmental remediation, litigation, or other disputes in respect of events and exposures that occurred prior to the Closing Date shall be excluded, and</w:t>
      </w:r>
    </w:p>
    <w:p>
      <w:pPr>
        <w:spacing w:after="0" w:line="170" w:lineRule="exact"/>
        <w:rPr>
          <w:sz w:val="20"/>
          <w:szCs w:val="20"/>
          <w:color w:val="auto"/>
        </w:rPr>
      </w:pPr>
    </w:p>
    <w:p>
      <w:pPr>
        <w:ind w:left="660" w:right="380" w:firstLine="645"/>
        <w:spacing w:after="0" w:line="277" w:lineRule="auto"/>
        <w:tabs>
          <w:tab w:leader="none" w:pos="193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net increase or decrease in deferred revenue from the sale of Eye Care Club memberships, product warranty programs and other programs providing deferred revenue shall be excluded.</w:t>
      </w:r>
    </w:p>
    <w:p>
      <w:pPr>
        <w:spacing w:after="0" w:line="166"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Assets</w:t>
      </w:r>
      <w:r>
        <w:rPr>
          <w:rFonts w:ascii="Arial" w:cs="Arial" w:eastAsia="Arial" w:hAnsi="Arial"/>
          <w:sz w:val="16"/>
          <w:szCs w:val="16"/>
          <w:color w:val="auto"/>
        </w:rPr>
        <w:t>” shall mean, as of any date of determination, the amount that would, in conformity with GAAP, be set forth opposite the caption “total assets” (or any like caption) on the most recent consolidated balance sheet of Holdings and the Restricted Subsidiaries at such date.</w:t>
      </w:r>
    </w:p>
    <w:p>
      <w:pPr>
        <w:spacing w:after="0" w:line="116" w:lineRule="exact"/>
        <w:rPr>
          <w:sz w:val="20"/>
          <w:szCs w:val="20"/>
          <w:color w:val="auto"/>
        </w:rPr>
      </w:pPr>
    </w:p>
    <w:p>
      <w:pPr>
        <w:ind w:right="4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Debt</w:t>
      </w:r>
      <w:r>
        <w:rPr>
          <w:rFonts w:ascii="Arial" w:cs="Arial" w:eastAsia="Arial" w:hAnsi="Arial"/>
          <w:sz w:val="16"/>
          <w:szCs w:val="16"/>
          <w:color w:val="auto"/>
        </w:rPr>
        <w:t xml:space="preserve">” shall mean, as at any date of determination, an amount equal to the sum of the aggregate amount of all outstanding Indebtedness of Holdings and the Restricted Subsidiaries on a consolidated basis consisting of third-party Indebtedness for borrowed money, Capitalized Lease Obligations and debt obligations evidenced by promissory notes and similar instruments (and excluding, for the avoidance of doubt, Hedging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Total Debt shall not include Letters of Credit, except to the extent of Unpaid Drawings thereunder.</w:t>
      </w:r>
    </w:p>
    <w:p>
      <w:pPr>
        <w:spacing w:after="0" w:line="151"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Debt to Consolidated EBITDA Ratio</w:t>
      </w:r>
      <w:r>
        <w:rPr>
          <w:rFonts w:ascii="Arial" w:cs="Arial" w:eastAsia="Arial" w:hAnsi="Arial"/>
          <w:sz w:val="17"/>
          <w:szCs w:val="17"/>
          <w:color w:val="auto"/>
        </w:rPr>
        <w:t xml:space="preserve">” shall mean, as of any date of determination, the ratio of (i) Consolidated Total Debt as of such date of determination,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cash and cash equivalents (in each case, free and clear of all Liens other than Permitted Liens and with “cash and cash equivalents” determined in accordance with GAAP) of Holdings and the Restricted Subsidiaries (other than the proceeds of any Indebtedness being incurred and giving rise to the need to calculate the Consolidated Total Debt to Consolidated EBITDA Ratio) to (ii) Consolidated EBITDA of Holdings for the Test Period then last ended, in each case with such pro forma adjustments to Consolidated Total Debt and Consolidated EBITDA as are appropriate and consistent with the pro forma adjustment provisions set forth in the definition of “Fixed Charge Coverage Ratio”.</w:t>
      </w:r>
    </w:p>
    <w:p>
      <w:pPr>
        <w:spacing w:after="0" w:line="17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Obligations</w:t>
      </w:r>
      <w:r>
        <w:rPr>
          <w:rFonts w:ascii="Arial" w:cs="Arial" w:eastAsia="Arial" w:hAnsi="Arial"/>
          <w:sz w:val="18"/>
          <w:szCs w:val="18"/>
          <w:color w:val="auto"/>
        </w:rPr>
        <w:t>” shall mean, with respect to any Person, any obligation of such Person guaranteeing any leases, dividends, or other obligations that do not constitute Indebtedness (“</w:t>
      </w:r>
      <w:r>
        <w:rPr>
          <w:rFonts w:ascii="Arial" w:cs="Arial" w:eastAsia="Arial" w:hAnsi="Arial"/>
          <w:sz w:val="18"/>
          <w:szCs w:val="18"/>
          <w:b w:val="1"/>
          <w:bCs w:val="1"/>
          <w:color w:val="auto"/>
        </w:rPr>
        <w:t>primary obligations</w:t>
      </w:r>
      <w:r>
        <w:rPr>
          <w:rFonts w:ascii="Arial" w:cs="Arial" w:eastAsia="Arial" w:hAnsi="Arial"/>
          <w:sz w:val="18"/>
          <w:szCs w:val="18"/>
          <w:color w:val="auto"/>
        </w:rPr>
        <w:t>”) of any 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Requirement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Restricted Subsidiary</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Unrestricted Subsidiary</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Counterparty</w:t>
      </w:r>
      <w:r>
        <w:rPr>
          <w:rFonts w:ascii="Arial" w:cs="Arial" w:eastAsia="Arial" w:hAnsi="Arial"/>
          <w:sz w:val="18"/>
          <w:szCs w:val="18"/>
          <w:color w:val="auto"/>
        </w:rPr>
        <w:t>” shall mean a Person other than a retail customer.</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this Agreement, the Restatement Agreement, each Joinder Agreement, the Guarantees, the Security Documents, and any promissory notes issued by the Borrower pursuant hereto.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Event</w:t>
      </w:r>
      <w:r>
        <w:rPr>
          <w:rFonts w:ascii="Arial" w:cs="Arial" w:eastAsia="Arial" w:hAnsi="Arial"/>
          <w:sz w:val="17"/>
          <w:szCs w:val="17"/>
          <w:color w:val="auto"/>
        </w:rPr>
        <w:t>” shall mean and include the making (but not the conversion or continuation) of a Loan and the issuance of a Letter of Credit.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Facilities</w:t>
      </w:r>
      <w:r>
        <w:rPr>
          <w:rFonts w:ascii="Arial" w:cs="Arial" w:eastAsia="Arial" w:hAnsi="Arial"/>
          <w:sz w:val="18"/>
          <w:szCs w:val="18"/>
          <w:color w:val="auto"/>
        </w:rPr>
        <w:t>” shall mean, collectively, each category of Commitments and each extension of credit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shall mean a category of Commitments and extensions of credit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shall mean Holdings, the Borrower, and the other Guarantors.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Right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Incurrence Prepayment Event</w:t>
      </w:r>
      <w:r>
        <w:rPr>
          <w:rFonts w:ascii="Arial" w:cs="Arial" w:eastAsia="Arial" w:hAnsi="Arial"/>
          <w:sz w:val="18"/>
          <w:szCs w:val="18"/>
          <w:color w:val="auto"/>
        </w:rPr>
        <w:t xml:space="preserve">” shall mean any issuance or incurrence by Holdings or any of the Restricted Subsidiaries of any Indebtedness (excluding any Indebtedness permitted to be issued or incurred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10.1(w)(i))</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Proceeds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act, or condition that with notice or lapse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any Lender whose acts or failure to act, whether directly or indirectly, cause it to meet any part of the definition of “Lender Default”.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Net Cash Proceeds</w:t>
      </w:r>
      <w:r>
        <w:rPr>
          <w:rFonts w:ascii="Arial" w:cs="Arial" w:eastAsia="Arial" w:hAnsi="Arial"/>
          <w:sz w:val="18"/>
          <w:szCs w:val="18"/>
          <w:color w:val="auto"/>
        </w:rPr>
        <w:t>” shall have the meaning provided such term in the definition of “Net Cash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Net Cash Proceeds Payment Date</w:t>
      </w:r>
      <w:r>
        <w:rPr>
          <w:rFonts w:ascii="Arial" w:cs="Arial" w:eastAsia="Arial" w:hAnsi="Arial"/>
          <w:sz w:val="18"/>
          <w:szCs w:val="18"/>
          <w:color w:val="auto"/>
        </w:rPr>
        <w:t>” shall have the meaning provided such term in the definition of “Net Cash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Jurisdiction</w:t>
      </w:r>
      <w:r>
        <w:rPr>
          <w:rFonts w:ascii="Arial" w:cs="Arial" w:eastAsia="Arial" w:hAnsi="Arial"/>
          <w:sz w:val="16"/>
          <w:szCs w:val="16"/>
          <w:color w:val="auto"/>
        </w:rPr>
        <w:t>” shall mean any country, region or territory to the extent that such country or territory itself is the subject of any Sanction.</w:t>
      </w:r>
    </w:p>
    <w:p>
      <w:pPr>
        <w:spacing w:after="0" w:line="248"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Non-Cash Consideration</w:t>
      </w:r>
      <w:r>
        <w:rPr>
          <w:rFonts w:ascii="Arial" w:cs="Arial" w:eastAsia="Arial" w:hAnsi="Arial"/>
          <w:sz w:val="17"/>
          <w:szCs w:val="17"/>
          <w:color w:val="auto"/>
        </w:rPr>
        <w:t xml:space="preserve">” shall mean the Fair Market Value of non-cash consideration received by Holdings or a Restricted Subsidiary in connection with an Asset Sale that is so designated as Designated Non-Cash Consideration pursuant to a certificate of an Authorized Officer of Holdings or the Borrower, setting forth the basis of such valuation, executed by either a senior vice president or the principal financial officer of Holdings or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174"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Preferred Stock</w:t>
      </w:r>
      <w:r>
        <w:rPr>
          <w:rFonts w:ascii="Arial" w:cs="Arial" w:eastAsia="Arial" w:hAnsi="Arial"/>
          <w:sz w:val="18"/>
          <w:szCs w:val="18"/>
          <w:color w:val="auto"/>
        </w:rPr>
        <w:t xml:space="preserve">” shall mean preferred stock of Holdings or any direct or indirect parent company of Holdings (in each case other than Disqualified Stock) that is issued for cash (other than to a Restricted Subsidiary or an employee stock ownership plan or trust established by Holdings or any of its Subsidiaries) and is so designated as Designated Preferred Stock, pursuant to an officer’s certificate executed by the principal financial officer of Holdings or the parent company thereof, as the case may be, on the issuance date thereof, the cash proceeds of which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Disposed EBITDA</w:t>
      </w:r>
      <w:r>
        <w:rPr>
          <w:rFonts w:ascii="Arial" w:cs="Arial" w:eastAsia="Arial" w:hAnsi="Arial"/>
          <w:sz w:val="18"/>
          <w:szCs w:val="18"/>
          <w:color w:val="auto"/>
        </w:rPr>
        <w:t>” shall mean, with respect to any Sold Entity or Business or any Converted Unrestricted Subsidiary for any period, the amount for such period of Consolidated EBITDA of such Sold Entity or Business or Converted Unrestricted Subsidiary (determined as if references to Holdings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xml:space="preserve">” shall have the meaning assigned such term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of “Asset Sale”.</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Lenders</w:t>
      </w:r>
      <w:r>
        <w:rPr>
          <w:rFonts w:ascii="Arial" w:cs="Arial" w:eastAsia="Arial" w:hAnsi="Arial"/>
          <w:sz w:val="17"/>
          <w:szCs w:val="17"/>
          <w:color w:val="auto"/>
        </w:rPr>
        <w:t xml:space="preserve">” shall mean such Persons (i) that have been specified in writing to the Administrative Agent and the Joint Lead Arrangers and Bookrunners prior to the commencement of “primary syndication” as being Disqualified Lenders, (ii) who are competitors of Holdings and its Subsidiaries that are separately identified in writing by the Borrower to the Administrative Agent from time to time, and (iii)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to the Administrative Agent from time to time or (b) clearly identifiable on the basis of such Affiliate’s name. The Administrative Agent shall have the right, and the Borrower hereby expressly authorizes the Administrative Agent, to (A) post the list of Disqualified Lenders provided by the Borrower and any updates thereto from time to time (collectively, the “</w:t>
      </w:r>
      <w:r>
        <w:rPr>
          <w:rFonts w:ascii="Arial" w:cs="Arial" w:eastAsia="Arial" w:hAnsi="Arial"/>
          <w:sz w:val="17"/>
          <w:szCs w:val="17"/>
          <w:b w:val="1"/>
          <w:bCs w:val="1"/>
          <w:color w:val="auto"/>
        </w:rPr>
        <w:t>DQ List</w:t>
      </w:r>
      <w:r>
        <w:rPr>
          <w:rFonts w:ascii="Arial" w:cs="Arial" w:eastAsia="Arial" w:hAnsi="Arial"/>
          <w:sz w:val="17"/>
          <w:szCs w:val="17"/>
          <w:color w:val="auto"/>
        </w:rPr>
        <w:t xml:space="preserve">”) on the Platform, including that portion of the Platform that is designated for “public side” Lenders or (B) provide the DQ List to each Lender requesting the same, it being understood that the DQ List may be disclosed to any assignee or Participant or prospective assignee or Participant, subject to Section </w:t>
      </w:r>
      <w:r>
        <w:rPr>
          <w:rFonts w:ascii="Arial" w:cs="Arial" w:eastAsia="Arial" w:hAnsi="Arial"/>
          <w:sz w:val="17"/>
          <w:szCs w:val="17"/>
          <w:u w:val="single" w:color="auto"/>
          <w:color w:val="auto"/>
        </w:rPr>
        <w:t>13.16</w:t>
      </w:r>
      <w:r>
        <w:rPr>
          <w:rFonts w:ascii="Arial" w:cs="Arial" w:eastAsia="Arial" w:hAnsi="Arial"/>
          <w:sz w:val="17"/>
          <w:szCs w:val="17"/>
          <w:color w:val="auto"/>
        </w:rPr>
        <w:t>.</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Stock</w:t>
      </w:r>
      <w:r>
        <w:rPr>
          <w:rFonts w:ascii="Arial" w:cs="Arial" w:eastAsia="Arial" w:hAnsi="Arial"/>
          <w:sz w:val="17"/>
          <w:szCs w:val="17"/>
          <w:color w:val="auto"/>
        </w:rPr>
        <w:t xml:space="preserve">” 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than as a result of a change of control, asset sale, or similar event, pursuant to a sinking fund obligation or otherwise, or is redeemable at the option of the holder thereof (other than solely for Qualified Stock), other than as a result of a change of control, asset sale, or similar event, in whole or in part, in each case, prior to the date that is 91 days after the Latest Term Loan Maturity Date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Capital Stock is issued to any plan for the benefit of employees of Holdings or its Subsidiaries or by any such plan to such employees, such Capital Stock shall not constitute Disqualified Stock solely because it may be required to be repurchased by Holdings or its Subsidiaries in order to satisfy applicable statutory or regulatory obligations or as a result of such employee’s termination, death, or disability.</w:t>
      </w:r>
    </w:p>
    <w:p>
      <w:pPr>
        <w:spacing w:after="0" w:line="17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Agents</w:t>
      </w:r>
      <w:r>
        <w:rPr>
          <w:rFonts w:ascii="Arial" w:cs="Arial" w:eastAsia="Arial" w:hAnsi="Arial"/>
          <w:sz w:val="18"/>
          <w:szCs w:val="18"/>
          <w:color w:val="auto"/>
        </w:rPr>
        <w:t>” shall mean Fifth Third Bank and SunTrust Bank, as documentation agents for the Lenders under this Agreement and the other Credit Documents.</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w:t>
      </w:r>
      <w:r>
        <w:rPr>
          <w:rFonts w:ascii="Arial" w:cs="Arial" w:eastAsia="Arial" w:hAnsi="Arial"/>
          <w:sz w:val="18"/>
          <w:szCs w:val="18"/>
          <w:color w:val="auto"/>
        </w:rPr>
        <w:t>” shall mean, at any time, (i) with respect to any amount denominated in Dollars, such amount, and (ii) with respect to any amount denominated in any currency other than Dollars, the equivalent amount thereof in Dollars, as determined by the Administrative Agent on the basis of the Spot Rate (determined on the most recent date of determination) for the purchase of Dollars with such currency.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dollars in lawful currency of the United States.</w:t>
      </w:r>
    </w:p>
    <w:p>
      <w:pPr>
        <w:spacing w:after="0" w:line="225"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each Subsidiary of Holdings that is organized under the laws of the United States, any state thereof, or the District of Columbia.</w:t>
      </w:r>
    </w:p>
    <w:p>
      <w:pPr>
        <w:spacing w:after="0" w:line="16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Claims</w:t>
      </w:r>
      <w:r>
        <w:rPr>
          <w:rFonts w:ascii="Arial" w:cs="Arial" w:eastAsia="Arial" w:hAnsi="Arial"/>
          <w:sz w:val="18"/>
          <w:szCs w:val="18"/>
          <w:color w:val="auto"/>
        </w:rPr>
        <w:t>” 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Arial" w:cs="Arial" w:eastAsia="Arial" w:hAnsi="Arial"/>
          <w:sz w:val="18"/>
          <w:szCs w:val="18"/>
          <w:b w:val="1"/>
          <w:bCs w:val="1"/>
          <w:color w:val="auto"/>
        </w:rPr>
        <w:t>Claims</w:t>
      </w:r>
      <w:r>
        <w:rPr>
          <w:rFonts w:ascii="Arial" w:cs="Arial" w:eastAsia="Arial" w:hAnsi="Arial"/>
          <w:sz w:val="18"/>
          <w:szCs w:val="18"/>
          <w:color w:val="auto"/>
        </w:rPr>
        <w:t>”), including, without limitation, (i) any and all Claims by governmental or regulatory authorities for enforcement,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w:t>
      </w:r>
    </w:p>
    <w:p>
      <w:pPr>
        <w:spacing w:after="0" w:line="18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spacing w:after="0" w:line="18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w:t>
      </w:r>
      <w:r>
        <w:rPr>
          <w:rFonts w:ascii="Arial" w:cs="Arial" w:eastAsia="Arial" w:hAnsi="Arial"/>
          <w:sz w:val="18"/>
          <w:szCs w:val="18"/>
          <w:color w:val="auto"/>
        </w:rPr>
        <w:t>” shall mean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Offering</w:t>
      </w:r>
      <w:r>
        <w:rPr>
          <w:rFonts w:ascii="Arial" w:cs="Arial" w:eastAsia="Arial" w:hAnsi="Arial"/>
          <w:sz w:val="18"/>
          <w:szCs w:val="18"/>
          <w:color w:val="auto"/>
        </w:rPr>
        <w:t>” shall mean any public or private sale of common stock or preferred stock of Holdings or any direct or indirect parent company of Holdings (excluding Disqualified Stock), other than: (i) public offerings with respect to the Borrower or any of its direct or indirect parent company’s (including Holdings’) common stock registered on Form S-8, (ii) issuances to any Subsidiary of Holdings, (iii) any such public or private sale that constitutes an Excluded Contribution, and (iv) any Cure Amount.</w:t>
      </w:r>
    </w:p>
    <w:p>
      <w:pPr>
        <w:spacing w:after="0" w:line="180"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 and the rules and regulations promulgated thereunder.</w:t>
      </w:r>
    </w:p>
    <w:p>
      <w:pPr>
        <w:spacing w:after="0" w:line="162"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shall mean any trade or business (whether or not incorporated) that, together with any Credit Party, is treated as a single employer under Section 414 (b) or (c) of the Code (and Sections 414(m) and (o) of the Code for purposes of provisions relating to Section 412 of the Code).</w:t>
      </w:r>
    </w:p>
    <w:p>
      <w:pPr>
        <w:spacing w:after="0" w:line="116"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shall mean (i) the failure of any Plan to comply with any provisions of ERISA and/or the Code (and applicable regulations under either) or with the terms of such Plan; (ii) the existence with respect to any Plan of a non-exempt Prohibited Transaction;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or the incurrence by any Credit Party or any of its ERISA Affiliates of any liability under Title IV of ERISA with respect to the termination of any Pension Plan, including but not limited to the imposition of any Lien in favor of the PBGC or any Pension Plan; (viii) the receipt by any Credit Party or any of its ERISA Affiliates from the PBGC or a plan administrator of any notice to terminate any Pension Plan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or partial withdrawal from any Pension Plan (or a cessation of operations that is treated as such a withdrawal under Section 4062(e) of ERISA) or Multiemployer Plan; (xi) the receipt by any Credit Party or any of its ERISA Affiliates of any notice concerning the imposition of Withdrawal Liability or a determination that a Multiemployer Plan is, or is expected to be, Insolvent,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Contribution</w:t>
      </w:r>
      <w:r>
        <w:rPr>
          <w:rFonts w:ascii="Arial" w:cs="Arial" w:eastAsia="Arial" w:hAnsi="Arial"/>
          <w:sz w:val="17"/>
          <w:szCs w:val="17"/>
          <w:color w:val="auto"/>
        </w:rPr>
        <w:t xml:space="preserve">” shall mean net cash proceeds, the Fair Market Value of marketable securities, or the Fair Market Value of Qualified Proceeds received by Holdings from (i) contributions to its common equity capital, and (ii) the sale (other than to a Subsidiary of Holdings or to any management equity plan or stock option plan or any other management or employee benefit plan or agreement of Holdings) of Capital Stock (other than Disqualified Stock and Designated Preferred Stock) of Holdings,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non-cash assets shall qualify only if acquired by a parent of Holdings in an arm’s-length transaction within the six months prior to such contribution and (ii) no Cure Amount shall constitute an Excluded Contribution.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Property</w:t>
      </w:r>
      <w:r>
        <w:rPr>
          <w:rFonts w:ascii="Arial" w:cs="Arial" w:eastAsia="Arial" w:hAnsi="Arial"/>
          <w:sz w:val="18"/>
          <w:szCs w:val="18"/>
          <w:color w:val="auto"/>
        </w:rPr>
        <w:t>” shall have the meaning set forth in the Security Agreement.</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Stock and Stock Equivalents</w:t>
      </w:r>
      <w:r>
        <w:rPr>
          <w:rFonts w:ascii="Arial" w:cs="Arial" w:eastAsia="Arial" w:hAnsi="Arial"/>
          <w:sz w:val="16"/>
          <w:szCs w:val="16"/>
          <w:color w:val="auto"/>
        </w:rPr>
        <w:t xml:space="preserve">”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Capital Stock and Stock Equivalents of any Foreign Subsidiary or any CFC Holding Company, any Voting Stock or Stock Equivalents of any such Foreign Subsidiary or such CFC Holding Company in excess of 66% of the total voting power of all outstanding Voting Stock or Stock Equivalents of such Foreign Subsidiary or CFC Holding Company, (iii) any Capital Stock or Stock Equivalents to the extent the pledge thereof would violate any applicable Requirement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w:t>
      </w:r>
      <w:r>
        <w:rPr>
          <w:rFonts w:ascii="Arial" w:cs="Arial" w:eastAsia="Arial" w:hAnsi="Arial"/>
          <w:sz w:val="16"/>
          <w:szCs w:val="16"/>
          <w:u w:val="single" w:color="auto"/>
          <w:color w:val="auto"/>
        </w:rPr>
        <w:t>clause (ix)</w:t>
      </w:r>
      <w:r>
        <w:rPr>
          <w:rFonts w:ascii="Arial" w:cs="Arial" w:eastAsia="Arial" w:hAnsi="Arial"/>
          <w:sz w:val="16"/>
          <w:szCs w:val="16"/>
          <w:color w:val="auto"/>
        </w:rPr>
        <w:t xml:space="preserve"> of the definition of “Permitted Lien” or (B) any Capital Stock or Stock Equivalents of any Subsidiary that is not Wholly-Owned by Holdings and its Subsidiaries at the time such Subsidiary becomes a Subsidiary, any Capital Stock or Stock Equivalents of each such Subsidiary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to the extent (I) that a pledge thereof to secure the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not apply if (x) such other party is a Credit Party or Wholly-Owned Subsidiary or (y) consent has been obtained to consummate such pledge (it being understood that the foregoing shall not be deemed to obligate Holdings or any Subsidiary to obtain any such consent) and for so long as such 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Holdings or any Subsidiary as reasonably determined by the Borrower in consultation with the Administrative Agent, (vi) any Capital Stock or Stock Equivalents that are margin stock, and (vii) any Capital Stock and Stock Equivalents of any Subsidiary that is not a Material Subsidiary or is an Unrestricted Subsidiary, a captive insurance Subsidiary, an SPV, any special purpose entity or a Managed Care Subsidiary.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5" w:name="page56"/>
    <w:bookmarkEnd w:id="55"/>
    <w:p>
      <w:pPr>
        <w:ind w:right="2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xml:space="preserve">” shall mean (i) each Subsidiary, in each case, for so long as any such Subsidiary does not (on a consolidated basis with its Restricted Subsidiaries) constitute a Material Subsidiary, (ii) each Subsidiary that is not a Wholly-Owned Subsidiary on any date such Subsidiary would otherwise be required to become a Guarantor pursuant to the requirements of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(for so long as such Subsidiary remains a non Wholly-Owned Restricted Subsidiary), (iii) any CFC Holding Company, (iv) any Domestic Subsidiary that is a Subsidiary of a Foreign Subsidiary that is a CFC, (v) any Foreign Subsidiary, (vi) each Subsidiary that is prohibited by any applicable Contractual Requirement or Requirement of Law from guaranteeing or granting Liens to secure the Obligations at the time such Subsidiary becomes a Restricted Subsidiary (and for so long as such restriction or any replacement or renewal thereof is in effect), (vii) each Subsidiary with respect to which, as reasonably determined by Holdings, the consequence of providing a Guarantee of the Obligations would adversely affect the ability of Holdings and its Subsidiaries to satisfy applicable Requirements of Law, (viii) any other Subsidiary with respect to which, (a) in the reasonable judgment of the Administrative Agent and Borrower, as agreed in writing, the cost or other consequences of providing a Guarantee of the Obligations shall be excessive in view of the benefits to be obtained by the Lenders therefrom or (b) providing such a Guarantee would result in material adverse tax consequences as reasonably determined by the Borrower in consultation with the Administrative Agent, (ix) each Unrestricted Subsidiary, (x) any Receivables Subsidiary, (xi)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(xii) each SPV or not-for-profit Subsidiary and (xiii) any Managed Care Subsidiary.</w:t>
      </w:r>
    </w:p>
    <w:p>
      <w:pPr>
        <w:spacing w:after="0" w:line="17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Swap Obligation</w:t>
      </w:r>
      <w:r>
        <w:rPr>
          <w:rFonts w:ascii="Arial" w:cs="Arial" w:eastAsia="Arial" w:hAnsi="Arial"/>
          <w:sz w:val="17"/>
          <w:szCs w:val="17"/>
          <w:color w:val="auto"/>
        </w:rPr>
        <w:t>” shall mean, with respect to any Credit Party, (a) any Swap Obligation if, and to the extent that, all or a portion of the Obligations of such Credit Party of, or the grant by such Credit Party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Credit Parties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w:t>
      </w:r>
    </w:p>
    <w:p>
      <w:pPr>
        <w:spacing w:after="0" w:line="17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xml:space="preserve">” shall mean, with respect to the Administrative Agent, any Lender, or any other recipient of any payment to be made by or on account of any obligation of any Credit Party hereunder or under any other Credit Document, (i) Taxes imposed on or measured by its overall net income, net profits, or branch profits (however denominated, and including (for the avoidance of doubt) any backup withholding in respect thereof under Section 3406 of the Code or any similar provision of state, local, or foreign law), and franchise (and similar) Taxes imposed on it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solely from this Agreement or any other Credit Documents or any transactions contemplated thereunder), (ii) any United States federal withholding Tax imposed on any payment by or on account of any obligation of any Credit Party hereunder or under any other Credit Document that is required to be imposed on amounts payable to or for the account of a Lender pursuant to laws in force at the time such Lender acquires an interest in any Credit Document (or designates a new lending office), other than in the case of a Lender that is an assignee pursuant to a request by the Borrower under </w:t>
      </w:r>
      <w:r>
        <w:rPr>
          <w:rFonts w:ascii="Arial" w:cs="Arial" w:eastAsia="Arial" w:hAnsi="Arial"/>
          <w:sz w:val="17"/>
          <w:szCs w:val="17"/>
          <w:u w:val="single" w:color="auto"/>
          <w:color w:val="auto"/>
        </w:rPr>
        <w:t>Section 13.7</w:t>
      </w:r>
      <w:r>
        <w:rPr>
          <w:rFonts w:ascii="Arial" w:cs="Arial" w:eastAsia="Arial" w:hAnsi="Arial"/>
          <w:sz w:val="17"/>
          <w:szCs w:val="17"/>
          <w:color w:val="auto"/>
        </w:rPr>
        <w:t xml:space="preserve"> (or that designates a new lending office pursuant to a request by the Borrower), except to the extent that such Lender (or its assignor, if any) was entitled, immediately prior to the designation of a new lending office (or assignment), to receive additional amounts from the Credit Parties with respect to such withholding Tax pursuant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(iii) any withholding Taxes attributable to a recipient’s failure to comply with </w:t>
      </w:r>
      <w:r>
        <w:rPr>
          <w:rFonts w:ascii="Arial" w:cs="Arial" w:eastAsia="Arial" w:hAnsi="Arial"/>
          <w:sz w:val="17"/>
          <w:szCs w:val="17"/>
          <w:u w:val="single" w:color="auto"/>
          <w:color w:val="auto"/>
        </w:rPr>
        <w:t>Section 5.4(e)</w:t>
      </w:r>
      <w:r>
        <w:rPr>
          <w:rFonts w:ascii="Arial" w:cs="Arial" w:eastAsia="Arial" w:hAnsi="Arial"/>
          <w:sz w:val="17"/>
          <w:szCs w:val="17"/>
          <w:color w:val="auto"/>
        </w:rPr>
        <w:t>, or (iv) any withholding Tax imposed under FATCA.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Class</w:t>
      </w:r>
      <w:r>
        <w:rPr>
          <w:rFonts w:ascii="Arial" w:cs="Arial" w:eastAsia="Arial" w:hAnsi="Arial"/>
          <w:sz w:val="18"/>
          <w:szCs w:val="18"/>
          <w:color w:val="auto"/>
        </w:rPr>
        <w:t>” shall mean any Existing Term Loan Class and any Existing Revolving Credit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xml:space="preserve">” shall mean those certain letters of credit listed on </w:t>
      </w:r>
      <w:r>
        <w:rPr>
          <w:rFonts w:ascii="Arial" w:cs="Arial" w:eastAsia="Arial" w:hAnsi="Arial"/>
          <w:sz w:val="18"/>
          <w:szCs w:val="18"/>
          <w:u w:val="single" w:color="auto"/>
          <w:color w:val="auto"/>
        </w:rPr>
        <w:t>Schedule 1.1(c)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Class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Class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 Term Loan Extension Request.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Series</w:t>
      </w:r>
      <w:r>
        <w:rPr>
          <w:rFonts w:ascii="Arial" w:cs="Arial" w:eastAsia="Arial" w:hAnsi="Arial"/>
          <w:sz w:val="18"/>
          <w:szCs w:val="18"/>
          <w:color w:val="auto"/>
        </w:rPr>
        <w:t>” shall mean all Extended Term Loans and Extended Revolving Credit Commitments that are established pursuant to the same Extension Amendment (or any subsequent Extension Amendment to the extent such Extension Amendment expressly provides that the Extended Term Loans or Extended Revolving Credit Commitments, as applicable, provided for therein are intended to be a part of any previously established Extension Series) and that provide for the same interest margins, extension fees, and amortization schedule.</w:t>
      </w:r>
    </w:p>
    <w:p>
      <w:pPr>
        <w:spacing w:after="0" w:line="180" w:lineRule="exact"/>
        <w:rPr>
          <w:sz w:val="20"/>
          <w:szCs w:val="20"/>
          <w:color w:val="auto"/>
        </w:rPr>
      </w:pPr>
    </w:p>
    <w:p>
      <w:pPr>
        <w:ind w:right="7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Eye Care Club</w:t>
      </w:r>
      <w:r>
        <w:rPr>
          <w:rFonts w:ascii="Arial" w:cs="Arial" w:eastAsia="Arial" w:hAnsi="Arial"/>
          <w:sz w:val="17"/>
          <w:szCs w:val="17"/>
          <w:color w:val="auto"/>
        </w:rPr>
        <w:t>” shall mean the multi-year programs offered from locations operated by Holdings or its Subsidiaries pursuant to which a purchaser/customer obtains the right to obtain multiple eye examinations and discounts on eyewear during the program period.</w:t>
      </w:r>
    </w:p>
    <w:p>
      <w:pPr>
        <w:spacing w:after="0" w:line="138"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7" w:name="page58"/>
    <w:bookmarkEnd w:id="57"/>
    <w:p>
      <w:pPr>
        <w:ind w:right="14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or successor version described above), and any intergovernmental agreements (or related legislation or official administrative rules or practices) implementing the foregoing.</w:t>
      </w:r>
    </w:p>
    <w:p>
      <w:pPr>
        <w:spacing w:after="0" w:line="151"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Effective Rate</w:t>
      </w:r>
      <w:r>
        <w:rPr>
          <w:rFonts w:ascii="Arial" w:cs="Arial" w:eastAsia="Arial" w:hAnsi="Arial"/>
          <w:sz w:val="17"/>
          <w:szCs w:val="17"/>
          <w:color w:val="auto"/>
        </w:rPr>
        <w:t xml:space="preserve">” shall mean, for any day, the weighted average of the per annum rates on overnight federal funds transactions with members of the Federal Reserve System on such day, as published on the next succeeding Business Day by the Federal Reserve Bank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day is not a Business Day, the Federal Funds Effective Rate for such day shall be such rate on such transactions on the next preceding Business Day as so published on the next succeeding Business Day, and (ii)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xml:space="preserve">” shall mean all amounts payable pursuant to, or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3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Lien Intercreditor Agreement</w:t>
      </w:r>
      <w:r>
        <w:rPr>
          <w:rFonts w:ascii="Arial" w:cs="Arial" w:eastAsia="Arial" w:hAnsi="Arial"/>
          <w:sz w:val="17"/>
          <w:szCs w:val="17"/>
          <w:color w:val="auto"/>
        </w:rPr>
        <w:t xml:space="preserve">” shall mean an Intercreditor Agreement substantially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spacing w:after="0" w:line="15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Obligations</w:t>
      </w:r>
      <w:r>
        <w:rPr>
          <w:rFonts w:ascii="Arial" w:cs="Arial" w:eastAsia="Arial" w:hAnsi="Arial"/>
          <w:sz w:val="18"/>
          <w:szCs w:val="18"/>
          <w:color w:val="auto"/>
        </w:rPr>
        <w:t>” shall mean the Obligations and the Permitted Other Indebtedness Obligations that are secured by the Collateral on an equal priority basis (but without regard to the control of remedies) with liens on the Collateral securing the Obligations.</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Secured Leverage Test</w:t>
      </w:r>
      <w:r>
        <w:rPr>
          <w:rFonts w:ascii="Arial" w:cs="Arial" w:eastAsia="Arial" w:hAnsi="Arial"/>
          <w:sz w:val="18"/>
          <w:szCs w:val="18"/>
          <w:color w:val="auto"/>
        </w:rPr>
        <w:t>” shall mean, as of any date of determination, with respect to the last day of the most recently ended Test Period, the Consolidated First Lien Secured Debt to Consolidated EBITDA Ratio shall be no greater than 3.25 to 1.00.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FirstSight</w:t>
      </w:r>
      <w:r>
        <w:rPr>
          <w:rFonts w:ascii="Arial" w:cs="Arial" w:eastAsia="Arial" w:hAnsi="Arial"/>
          <w:sz w:val="18"/>
          <w:szCs w:val="18"/>
          <w:color w:val="auto"/>
        </w:rPr>
        <w:t>” shall mean FirstSight Vision Services, Inc., a California corporation.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 Coverage Ratio</w:t>
      </w:r>
      <w:r>
        <w:rPr>
          <w:rFonts w:ascii="Arial" w:cs="Arial" w:eastAsia="Arial" w:hAnsi="Arial"/>
          <w:sz w:val="18"/>
          <w:szCs w:val="18"/>
          <w:color w:val="auto"/>
        </w:rPr>
        <w:t xml:space="preserve">” shall mean, as of any date of determination, the ratio of (i) Consolidated EBITDA for the Test Period then last ended to (ii) the Fixed Charges for such Test Period. In the event that Holdings or any Restricted Subsidiary incurs, assumes, guarantees, redeems, retires, or extinguishes any Indebtedness or issues or redeems Disqualified Stock or preferred stock subsequent to the commencement of the Test Period but prior to or simultaneously with the date of determination, then the Fixed Charge Coverage Ratio shall be calculated giving Pro Forma Effect to such incurrence, assumption, guarantee, redemption, retirement, or extinguishment of Indebtedness, or such issuance or redemption of Disqualified Stock or preferred stock (in each case, including a pro forma application of the net proceeds therefrom), as if the same had occurred at the beginning of the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Pro Forma Effect shall not give effect to any Indebtedness incurred on the date of such determination (except pursuant to the first paragraph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10.1(n)</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shall mean, with respect to any Person for any period, the sum of:</w:t>
      </w:r>
    </w:p>
    <w:p>
      <w:pPr>
        <w:spacing w:after="0" w:line="229" w:lineRule="exact"/>
        <w:rPr>
          <w:sz w:val="20"/>
          <w:szCs w:val="20"/>
          <w:color w:val="auto"/>
        </w:rPr>
      </w:pPr>
    </w:p>
    <w:p>
      <w:pPr>
        <w:ind w:left="1920" w:hanging="615"/>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225" w:lineRule="exact"/>
        <w:rPr>
          <w:rFonts w:ascii="Arial" w:cs="Arial" w:eastAsia="Arial" w:hAnsi="Arial"/>
          <w:sz w:val="18"/>
          <w:szCs w:val="18"/>
          <w:color w:val="auto"/>
        </w:rPr>
      </w:pPr>
    </w:p>
    <w:p>
      <w:pPr>
        <w:ind w:left="660" w:right="820" w:firstLine="645"/>
        <w:spacing w:after="0" w:line="277" w:lineRule="auto"/>
        <w:tabs>
          <w:tab w:leader="none" w:pos="19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cash dividend payments (excluding items eliminated in consolidation) on any series of preferred stock (including any Designated Preferred Stock) or any Refunding Capital Stock of such Person made during such period, and</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cash dividend payments (excluding items eliminated in consolidation) on any series of Disqualified Stock made during such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Benefit Arrangement</w:t>
      </w:r>
      <w:r>
        <w:rPr>
          <w:rFonts w:ascii="Arial" w:cs="Arial" w:eastAsia="Arial" w:hAnsi="Arial"/>
          <w:sz w:val="18"/>
          <w:szCs w:val="18"/>
          <w:color w:val="auto"/>
        </w:rPr>
        <w:t>” shall mean any employee benefit arrangement mandated by non-U.S. law that is maintained or contributed to by any Credit Party or any of its Subsidiaries.</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shall mean each employee benefit plan (within the meaning of Section 3(3) of ERISA, whether or not subject to ERISA) that is not subject to U.S. law and is maintained or contributed to by any Credit Party or any of its Subsidiaries.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Plan Event</w:t>
      </w:r>
      <w:r>
        <w:rPr>
          <w:rFonts w:ascii="Arial" w:cs="Arial" w:eastAsia="Arial" w:hAnsi="Arial"/>
          <w:sz w:val="17"/>
          <w:szCs w:val="17"/>
          <w:color w:val="auto"/>
        </w:rPr>
        <w:t>” 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 law or regulations or with the terms of such Foreign Plan or Foreign Benefit Arrangement.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each Subsidiary of Holdings that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Agent</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Fronting Exposure</w:t>
      </w:r>
      <w:r>
        <w:rPr>
          <w:rFonts w:ascii="Arial" w:cs="Arial" w:eastAsia="Arial" w:hAnsi="Arial"/>
          <w:sz w:val="17"/>
          <w:szCs w:val="17"/>
          <w:color w:val="auto"/>
        </w:rPr>
        <w:t>” shall mean, at any time there is a Defaulting Lender, (i) with respect to a Letter of Credit Issuer, such Defaulting Lender’s Revolving Credit Commitment Percentage of the outstanding L/C Obligations other than L/C Obligations as to which such Defaulting Lender’s participation obligation has been reallocated to other Lenders or Cash Collateralized in accordance with the terms hereof, and (ii) with respect to the Swingline Lender, such Defaulting Lender’s Revolving Credit Commitment Percentage of Swingline Loans other than Swingline Loans as to which such Defaulting Lender’s participation obligation has been reallocated to other Lenders in accordance with the terms hereof.</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Fronting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shall mean any Person (other than a natural Person) that is engaged or advises funds or other investment vehicles that are engaged in making, purchasing, holding, or investing in commercial loans and similar extensions of credit in the ordinary course.</w:t>
      </w:r>
    </w:p>
    <w:p>
      <w:pPr>
        <w:spacing w:after="0" w:line="16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Funded Debt</w:t>
      </w:r>
      <w:r>
        <w:rPr>
          <w:rFonts w:ascii="Arial" w:cs="Arial" w:eastAsia="Arial" w:hAnsi="Arial"/>
          <w:sz w:val="17"/>
          <w:szCs w:val="17"/>
          <w:color w:val="auto"/>
        </w:rPr>
        <w:t>” shall mean all Indebtedness of Holdings and the Restricted Subsidiaries for borrowed money that matures more than one year from the date of its creation or matures within one year from such date that is renewable or extendable, at the option of Holdings or any Restricted Subsidiary, to a date more than one year from the date of its creation or arises under a revolving credit or similar agreement that obligates the lender or lenders to extend credit during a period of more than one year from such date (including all amounts of such Funded Debt required to be paid or prepaid within one year from the date of its creation), and, in the case of the Credit Parties, Indebtedness in respect of the Loans.</w:t>
      </w:r>
    </w:p>
    <w:p>
      <w:pPr>
        <w:spacing w:after="0" w:line="168"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xml:space="preserve">” shall mean generally accepted accounting principles in the United States,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Borrower notifies the Administrative Agent that the Borrower requests an amendment to any provision hereof to eliminate the effect of any change occurring after the Restatement Effective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Restatement Effective Date, Holdings may elect to apply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any such election, once made,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calculation or determination in this Agreement that requires the application of GAAP for periods that include fiscal quarters ended prior to Holdings’ election to apply IFRS shall remain as previously calculated or determined in accordance with GAAP. The Borrower shall give written notice of any such election made in accordance with this definition to the Administrative Agent. For the avoidance of doubt, solely making an election (without any other action) referred to in this definition will not be treated as an incurrence of Indebtedness. Notwithstanding any other provision contained herein, the amount of any Indebtedness under GAAP with respect to Capitalized Lease Obligations shall be determined in accordance with the definition of “Capitalized Lease Obligations”.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mean (i) the Guarantee made by Holdings and each other Guarantor in favor of the Collateral Agent for the benefit of the Secured Parties, dated as of the Closing Date, and (ii) any other guarantee of the Obligations made by a Restricted Subsidiary in form and substance reasonably acceptable to the Administrative Agent.</w:t>
      </w:r>
    </w:p>
    <w:p>
      <w:pPr>
        <w:spacing w:after="0" w:line="17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 obligations</w:t>
      </w:r>
      <w:r>
        <w:rPr>
          <w:rFonts w:ascii="Arial" w:cs="Arial" w:eastAsia="Arial" w:hAnsi="Arial"/>
          <w:sz w:val="16"/>
          <w:szCs w:val="16"/>
          <w:color w:val="auto"/>
        </w:rPr>
        <w:t xml:space="preserve">” 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obligations shall not include endorsements of instruments for deposit or collection in the ordinary course of business or customary and reasonable indemnity obligations or product warranties in effect on the Restatement Effective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169" w:lineRule="exact"/>
        <w:rPr>
          <w:sz w:val="20"/>
          <w:szCs w:val="20"/>
          <w:color w:val="auto"/>
        </w:rPr>
      </w:pPr>
    </w:p>
    <w:p>
      <w:pPr>
        <w:jc w:val="both"/>
        <w:ind w:right="18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shall mean (i) each Subsidiary of Holdings that is party to the Guarantee on the Restatement Effective Date, (ii) each Subsidiary of Holdings that becomes a party to the Guarantee after the Restatement Effective Date pursuant to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or otherwise, and (iii)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Excluded Subsidiary be required to be a Guarantor (unless such Subsidiary is no longer an Excluded Subsidiary).</w:t>
      </w:r>
    </w:p>
    <w:p>
      <w:pPr>
        <w:spacing w:after="0" w:line="142"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shall mean (i) any petroleum or petroleum products, radioactive materials, friable asbestos, polychlorinated biphenyls, and radon gas; (ii)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or substance, which is prohibited, limited, or regulated due to its dangerous or deleterious properties or characteristics by, any Environmental Law.</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Hedge Agreements</w:t>
      </w:r>
      <w:r>
        <w:rPr>
          <w:rFonts w:ascii="Arial" w:cs="Arial" w:eastAsia="Arial" w:hAnsi="Arial"/>
          <w:sz w:val="17"/>
          <w:szCs w:val="17"/>
          <w:color w:val="auto"/>
        </w:rPr>
        <w:t>”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b w:val="1"/>
          <w:bCs w:val="1"/>
          <w:color w:val="auto"/>
        </w:rPr>
        <w:t>Master Agreement</w:t>
      </w:r>
      <w:r>
        <w:rPr>
          <w:rFonts w:ascii="Arial" w:cs="Arial" w:eastAsia="Arial" w:hAnsi="Arial"/>
          <w:sz w:val="17"/>
          <w:szCs w:val="17"/>
          <w:color w:val="auto"/>
        </w:rPr>
        <w:t>”), including any such obligations or liabilities under any Master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ind w:right="1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Bank</w:t>
      </w:r>
      <w:r>
        <w:rPr>
          <w:rFonts w:ascii="Arial" w:cs="Arial" w:eastAsia="Arial" w:hAnsi="Arial"/>
          <w:sz w:val="16"/>
          <w:szCs w:val="16"/>
          <w:color w:val="auto"/>
        </w:rPr>
        <w:t xml:space="preserve">” shall mean (i) (a) any Person that, at the time it enters into a Hedge Agreement, is a Lender, an Agent or an Affiliate of a Lender or an Agent and (b) with respect to any Hedge Agreement entered into prior to the Restatement Effective Date, any Person that is a Lender or an Agent or an Affiliate of a Lender or an Agent on the Restatement Effective Date and (ii) any other Person that is designated by the Borrower as a “Hedge Bank” by written notice to the Administrative Agent substantially in the form of </w:t>
      </w:r>
      <w:r>
        <w:rPr>
          <w:rFonts w:ascii="Arial" w:cs="Arial" w:eastAsia="Arial" w:hAnsi="Arial"/>
          <w:sz w:val="16"/>
          <w:szCs w:val="16"/>
          <w:u w:val="single" w:color="auto"/>
          <w:color w:val="auto"/>
        </w:rPr>
        <w:t>Exhibit M</w:t>
      </w:r>
      <w:r>
        <w:rPr>
          <w:rFonts w:ascii="Arial" w:cs="Arial" w:eastAsia="Arial" w:hAnsi="Arial"/>
          <w:sz w:val="16"/>
          <w:szCs w:val="16"/>
          <w:color w:val="auto"/>
        </w:rPr>
        <w:t xml:space="preserve"> or such other form reasonably acceptable to the Administrative Agent.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shall mean, with respect to any Person, the obligations of such Person under any Hedge Agreements.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Historical Financial Statements</w:t>
      </w:r>
      <w:r>
        <w:rPr>
          <w:rFonts w:ascii="Arial" w:cs="Arial" w:eastAsia="Arial" w:hAnsi="Arial"/>
          <w:sz w:val="17"/>
          <w:szCs w:val="17"/>
          <w:color w:val="auto"/>
        </w:rPr>
        <w:t>” shall mean (i) the audited consolidated balance sheets of Holdings and its Subsidiaries as at December 31, 2017 and December 31, 2018, and the related audited consolidated statements of income and cash flow of Holdings and its Subsidiaries for the years ended December 31, 2017 and December 31, 2018 and (ii) the unaudited interim consolidated balance sheets of Holdings and its Subsidiaries for the fiscal quarters ending September 30, 2018, December 31, 2018 and March 31, 2019 and the related unaudited consolidated statements of income and cash flow of Holdings and its Subsidiaries for fiscal quarters ending September 30, 2018, December 31, 2018 and March 31, 2019.</w:t>
      </w:r>
    </w:p>
    <w:p>
      <w:pPr>
        <w:spacing w:after="0" w:line="16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Holdings</w:t>
      </w:r>
      <w:r>
        <w:rPr>
          <w:rFonts w:ascii="Arial" w:cs="Arial" w:eastAsia="Arial" w:hAnsi="Arial"/>
          <w:sz w:val="16"/>
          <w:szCs w:val="16"/>
          <w:color w:val="auto"/>
        </w:rPr>
        <w:t>” shall mean (i) Holdings (as defined in the preamble to this Agreement) or (ii) after the Restatement Effective Date any other Person or Persons (“</w:t>
      </w:r>
      <w:r>
        <w:rPr>
          <w:rFonts w:ascii="Arial" w:cs="Arial" w:eastAsia="Arial" w:hAnsi="Arial"/>
          <w:sz w:val="16"/>
          <w:szCs w:val="16"/>
          <w:b w:val="1"/>
          <w:bCs w:val="1"/>
          <w:color w:val="auto"/>
        </w:rPr>
        <w:t>New Holdings</w:t>
      </w:r>
      <w:r>
        <w:rPr>
          <w:rFonts w:ascii="Arial" w:cs="Arial" w:eastAsia="Arial" w:hAnsi="Arial"/>
          <w:sz w:val="16"/>
          <w:szCs w:val="16"/>
          <w:color w:val="auto"/>
        </w:rPr>
        <w:t>”) that is a Subsidiary of (or are Subsidiaries of) Holdings or of any Parent Entity of Holdings (or the previous New Holdings, as the case may be) but not the Borrower (“</w:t>
      </w:r>
      <w:r>
        <w:rPr>
          <w:rFonts w:ascii="Arial" w:cs="Arial" w:eastAsia="Arial" w:hAnsi="Arial"/>
          <w:sz w:val="16"/>
          <w:szCs w:val="16"/>
          <w:b w:val="1"/>
          <w:bCs w:val="1"/>
          <w:color w:val="auto"/>
        </w:rPr>
        <w:t>Previous 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New Holdings directly owns (i) 100% of the Equity Interests of the Borrower and (ii) 100% of the Equity Interests of each other direct Subsidiary of Previous Holdings which were owned by Previous Holdings immediately prior thereto,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and each other direct Subsidiary of Previous Holdings and substantially all of the other assets of Previous Holdings are contributed or otherwise transferred, directly or indirectly, to such New Holdings and pledged to secure the Obligations, (f) (i) no Event of Default has occurred and is continuing at the time of such substitution and such substitution does not result in any Event of Default, (ii) such substitution does not result in any material adverse tax consequences to any Credit Party and (iii) such substitution does not result in any adverse tax consequences to any Lender (unless reimbursed hereunder) or to the Administrative Agent (unless reimbursed hereunder),</w:t>
      </w:r>
    </w:p>
    <w:p>
      <w:pPr>
        <w:spacing w:after="0" w:line="8" w:lineRule="exact"/>
        <w:rPr>
          <w:sz w:val="20"/>
          <w:szCs w:val="20"/>
          <w:color w:val="auto"/>
        </w:rPr>
      </w:pPr>
    </w:p>
    <w:p>
      <w:pPr>
        <w:ind w:right="200" w:firstLine="8"/>
        <w:spacing w:after="0" w:line="255"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no Change of Control shall occur;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each of the foregoing is satisfied, Previous Holdings shall be automatically released of all its obligations under the Credit Documents and any reference to Holdings in the Credit Documents shall be meant to refer to New Holdings and (h) New Holdings shall be organized in the United States, any state thereof or the District of Columbia.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shall have the meaning given such term in the definition of “GAAP”.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1" w:name="page62"/>
    <w:bookmarkEnd w:id="61"/>
    <w:p>
      <w:pPr>
        <w:ind w:right="2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xml:space="preserve">” 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Indebtedness of any direct or indirect parent company appearing upon the balance sheet of Holdings solely by reason of push down accounting under GAAP shall be excluded, (ii) to the extent not otherwise included, any obligation by such Person to be liable for, or to pay, as obligor, guarantor or otherwise, on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secured by a Lien on any asset owned by such Person, whether or not such Indebtedness is assumed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Indebtedness shall be deemed not to include (1) Contingent Obligations incurred in the ordinary course of business, (2) obligations under or in respect of Receivables Facilities, (3)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or (6) any earn-out obligation until such obligation, within 60 days of becoming due and payable, has not been paid and such obligation is reflected as a liability on the balance sheet of such Person in accordance with GAAP. The amount of Indebtedness of any Person for purposes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shall (unless such Indebtedness has been assumed by such Person) be deemed to be equal to the lesser of (x) the aggregate unpaid amount of such Indebtedness and (y) the Fair Market Value of the property encumbered thereby as determined by such Person in good faith.</w:t>
      </w:r>
    </w:p>
    <w:p>
      <w:pPr>
        <w:spacing w:after="0" w:line="3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all purposes hereof, the Indebtedness of Holdings, the Borrower and the other Restricted Subsidiaries, shall exclude all intercompany Indebtedness having a term not exceeding 365 days (inclusive of any roll-over or extensions of terms) and made in the ordinary course of business consistent with past practice.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“Indemnified Person</w:t>
      </w:r>
      <w:r>
        <w:rPr>
          <w:rFonts w:ascii="Arial" w:cs="Arial" w:eastAsia="Arial" w:hAnsi="Arial"/>
          <w:sz w:val="18"/>
          <w:szCs w:val="18"/>
          <w:color w:val="auto"/>
        </w:rPr>
        <w:t>” shall have the meaning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shall mean all Taxes imposed on or with respect to any payment by or on account of any obligation of any Credit Party hereunder or under any other Credit Document, other than Excluded Taxes or Other Taxes.</w:t>
      </w:r>
    </w:p>
    <w:p>
      <w:pPr>
        <w:spacing w:after="0" w:line="162"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Investors</w:t>
      </w:r>
      <w:r>
        <w:rPr>
          <w:rFonts w:ascii="Arial" w:cs="Arial" w:eastAsia="Arial" w:hAnsi="Arial"/>
          <w:sz w:val="18"/>
          <w:szCs w:val="18"/>
          <w:color w:val="auto"/>
        </w:rPr>
        <w:t>” shall mean Kohlberg Kravis Roberts &amp; Co. L.P., KKR North America Fund XI L.P., KKR North America Fund XI ESC L.P., KKR North America Fund XI SBS L.P., KKR Partners III, L.P. KKR CIS Global Investor L.P., CPS Managers Fund L.P., KKR Principal Opportunities Partnership (Domestic) L.P., KKR Principal Opportunities Partnership (Domestic) L.P., Berkshire Fund VI, Limited Partnership, Berkshire Investors LLC and Berkshire Investors III LLC, and each of their respective Affiliates and successors.</w:t>
      </w:r>
    </w:p>
    <w:p>
      <w:pPr>
        <w:spacing w:after="0" w:line="180"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shall mean, with respect to any Multiemployer Plan, the condition that such Multiemployer Plan is insolvent within the meaning of Section 4245 of ERISA.</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shall mean U.S. and foreign intellectual property, including all (i) (a) patents, inventions, processes, developments, technology, and know-how; (b) copyrights and works of authorship in any media, including graphics, advertising materials, labels, package designs, and photographs; (c) trademarks, service marks, trade names, brand names, corporate names, domain names, logos, trade dress, and other source indicators, and the goodwill of any business symbolized thereby; and (d) trade secrets, confidential, proprietary, or non-public information and (ii) all registrations, issuances, applications, renewals, extensions, substitutions, continuations, continuations-in-part, divisions, re-issues, re-examinations, foreign counterparts, or similar legal protections related to the foregoing.</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with respect to any Loan, the interest period applicable thereto, as determined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Holdings in the same manner as the other investments included in this definition to the extent such transactions involve the transfer of cash or other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Investments shall not include, in the case of Holdings, the Borrower, and the other Restricted Subsidiaries, intercompany loans, advances, or Indebtedness either (i) having a term not exceeding 364 days (inclusive of any roll-over or extensions of terms) and made in the ordinary course of business or (ii) arising from cash management, tax and/or accounting operations.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the definition of “Unrestricted Subsidiary” and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left="660" w:firstLine="645"/>
        <w:spacing w:after="0" w:line="297" w:lineRule="auto"/>
        <w:tabs>
          <w:tab w:leader="none" w:pos="1928"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Investments shall include the portion (proportionate to Holdings’ equity interest in such Subsidiary) of the Fair Market Value of the net assets of a Subsidiary of Holdings at the time that such Subsidiary is designated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 redesignation of such Subsidiary as a Restricted Subsidiary, Holdings shall be deemed to continue to have a permanent Investment in an Unrestricted Subsidiary in an amount (if positive) equal to (a) Holdings’ Investment in such Subsidiary at the time of such redesignation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portion (proportionate to Holdings’ equity interest in such Subsidiary) of the Fair Market Value of the net assets of such Subsidiary at the time of such redesignation; and</w:t>
      </w:r>
    </w:p>
    <w:p>
      <w:pPr>
        <w:spacing w:after="0" w:line="158" w:lineRule="exact"/>
        <w:rPr>
          <w:rFonts w:ascii="Arial" w:cs="Arial" w:eastAsia="Arial" w:hAnsi="Arial"/>
          <w:sz w:val="16"/>
          <w:szCs w:val="16"/>
          <w:color w:val="auto"/>
        </w:rPr>
      </w:pPr>
    </w:p>
    <w:p>
      <w:pPr>
        <w:ind w:left="1920" w:hanging="615"/>
        <w:spacing w:after="0"/>
        <w:tabs>
          <w:tab w:leader="none" w:pos="1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property transferred to or from an Unrestricted Subsidiary shall be valued at its Fair Market Value at the time of such transfer.</w:t>
      </w:r>
    </w:p>
    <w:p>
      <w:pPr>
        <w:spacing w:after="0" w:line="248"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amount of any Investment outstanding at any time shall be the original cost of such Investment, reduced by any dividend, distribution, interest payment, return of capital, repayment, or other amount received by Holdings or a Restricted Subsidiary in respect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amounts received other than in the form of Cash Equivalents, such amount shall be equal to the Fair Market Value of such consideration).</w:t>
      </w:r>
    </w:p>
    <w:p>
      <w:pPr>
        <w:spacing w:after="0" w:line="14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shall mean a rating equal to or higher than Baa3 (or the equivalent) by Moody’s and BBB- (or the equivalent) by S&amp;P, or an equivalent rating by any other rating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Securities</w:t>
      </w:r>
      <w:r>
        <w:rPr>
          <w:rFonts w:ascii="Arial" w:cs="Arial" w:eastAsia="Arial" w:hAnsi="Arial"/>
          <w:sz w:val="18"/>
          <w:szCs w:val="18"/>
          <w:color w:val="auto"/>
        </w:rPr>
        <w:t>” shall mean:</w:t>
      </w:r>
    </w:p>
    <w:p>
      <w:pPr>
        <w:spacing w:after="0" w:line="229" w:lineRule="exact"/>
        <w:rPr>
          <w:sz w:val="20"/>
          <w:szCs w:val="20"/>
          <w:color w:val="auto"/>
        </w:rPr>
      </w:pPr>
    </w:p>
    <w:p>
      <w:pPr>
        <w:ind w:left="660" w:right="440" w:firstLine="645"/>
        <w:spacing w:after="0" w:line="277" w:lineRule="auto"/>
        <w:tabs>
          <w:tab w:leader="none" w:pos="19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19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instruments constituting loans or advances among Holdings and its Subsidiaries,</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1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investments in any fund that invest at least 90% in investments of the type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which fund may also hold immaterial amounts of cash pending investment or distribution, and</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corresponding instruments in countries other than the United States customarily utilized for high-quality investments.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shall mean, with respect to any Letter of Credit, the “International Standby Practices 1998” published by the Institute of International Banking Law &amp; Practice (or such later version thereof as may be in effect at the time of issuance).</w:t>
      </w:r>
    </w:p>
    <w:p>
      <w:pPr>
        <w:spacing w:after="0" w:line="162"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Documents</w:t>
      </w:r>
      <w:r>
        <w:rPr>
          <w:rFonts w:ascii="Arial" w:cs="Arial" w:eastAsia="Arial" w:hAnsi="Arial"/>
          <w:sz w:val="18"/>
          <w:szCs w:val="18"/>
          <w:color w:val="auto"/>
        </w:rPr>
        <w:t>” shall mean with respect to any Letter of Credit, the Letter of Credit Request, and any other document, agreement, and instrument entered into by the Letter of Credit Issuer and the Borrower (or any other Restricted Subsidiary or Holdings) or in favor of the Letter of Credit Issuer and relating to such Letter of Credit.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Lead Arrangers and Bookrunners</w:t>
      </w:r>
      <w:r>
        <w:rPr>
          <w:rFonts w:ascii="Arial" w:cs="Arial" w:eastAsia="Arial" w:hAnsi="Arial"/>
          <w:sz w:val="18"/>
          <w:szCs w:val="18"/>
          <w:color w:val="auto"/>
        </w:rPr>
        <w:t>” shall mean BofA Securities, Inc., KKR Capital Markets LLC, JPMorgan Chase Bank, N.A. and Wells Fargo Securities, LLC and, for purposes of the protections and indemnification provisions hereof, the “Joint Lead Arrangers and Bookrunners” (as defined in the Original Credit Agreement).</w:t>
      </w:r>
    </w:p>
    <w:p>
      <w:pPr>
        <w:spacing w:after="0" w:line="176"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Debt</w:t>
      </w:r>
      <w:r>
        <w:rPr>
          <w:rFonts w:ascii="Arial" w:cs="Arial" w:eastAsia="Arial" w:hAnsi="Arial"/>
          <w:sz w:val="18"/>
          <w:szCs w:val="18"/>
          <w:color w:val="auto"/>
        </w:rPr>
        <w:t>” shall mean any Indebtedness (other than any permitted intercompany indebtedness owing to the Borrower or any Restricted Subsidiary) in respect of Subordinated Indebtedness.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KKR</w:t>
      </w:r>
      <w:r>
        <w:rPr>
          <w:rFonts w:ascii="Arial" w:cs="Arial" w:eastAsia="Arial" w:hAnsi="Arial"/>
          <w:sz w:val="18"/>
          <w:szCs w:val="18"/>
          <w:color w:val="auto"/>
        </w:rPr>
        <w:t>” shall mean each of Kohlberg Kravis Roberts &amp; Co. L.P. and KKR North America Fund XI L.P.</w:t>
      </w:r>
    </w:p>
    <w:p>
      <w:pPr>
        <w:spacing w:after="0" w:line="225"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Term Loan Maturity Date</w:t>
      </w:r>
      <w:r>
        <w:rPr>
          <w:rFonts w:ascii="Arial" w:cs="Arial" w:eastAsia="Arial" w:hAnsi="Arial"/>
          <w:sz w:val="18"/>
          <w:szCs w:val="18"/>
          <w:color w:val="auto"/>
        </w:rPr>
        <w:t>” shall mean, at any date of determination, the latest maturity or expiration date applicable to any Term Loan hereunder at such time, including the latest maturity or expiration date of any New Term Loan or any Extended Term Loan, in each case as extended in accordance with this Agreement from time to time.</w:t>
      </w:r>
    </w:p>
    <w:p>
      <w:pPr>
        <w:spacing w:after="0" w:line="17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Borrowing</w:t>
      </w:r>
      <w:r>
        <w:rPr>
          <w:rFonts w:ascii="Arial" w:cs="Arial" w:eastAsia="Arial" w:hAnsi="Arial"/>
          <w:sz w:val="18"/>
          <w:szCs w:val="18"/>
          <w:color w:val="auto"/>
        </w:rPr>
        <w:t>” shall mean an extension of credit resulting from a drawing under any Letter of Credit which has not been reimbursed on the date when made or refinanced as a Borrowing.</w:t>
      </w:r>
    </w:p>
    <w:p>
      <w:pPr>
        <w:spacing w:after="0" w:line="162"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Facility Maturity Date</w:t>
      </w:r>
      <w:r>
        <w:rPr>
          <w:rFonts w:ascii="Arial" w:cs="Arial" w:eastAsia="Arial" w:hAnsi="Arial"/>
          <w:sz w:val="18"/>
          <w:szCs w:val="18"/>
          <w:color w:val="auto"/>
        </w:rPr>
        <w:t xml:space="preserve">” shall mean the date that is three Business Days prior to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Facility Maturity Date may be extended beyond such date with the consent of the Letter of Credit Issuer.</w:t>
      </w:r>
    </w:p>
    <w:p>
      <w:pPr>
        <w:spacing w:after="0" w:line="162"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Obligations</w:t>
      </w:r>
      <w:r>
        <w:rPr>
          <w:rFonts w:ascii="Arial" w:cs="Arial" w:eastAsia="Arial" w:hAnsi="Arial"/>
          <w:sz w:val="16"/>
          <w:szCs w:val="16"/>
          <w:color w:val="auto"/>
        </w:rPr>
        <w:t xml:space="preserve">” shall mean, as at any date of determination, the aggregate amount available to be drawn under all outstanding Letters of Credit </w:t>
      </w:r>
      <w:r>
        <w:rPr>
          <w:rFonts w:ascii="Arial" w:cs="Arial" w:eastAsia="Arial" w:hAnsi="Arial"/>
          <w:sz w:val="16"/>
          <w:szCs w:val="16"/>
          <w:i w:val="1"/>
          <w:iCs w:val="1"/>
          <w:color w:val="auto"/>
        </w:rPr>
        <w:t xml:space="preserve">plus </w:t>
      </w:r>
      <w:r>
        <w:rPr>
          <w:rFonts w:ascii="Arial" w:cs="Arial" w:eastAsia="Arial" w:hAnsi="Arial"/>
          <w:sz w:val="16"/>
          <w:szCs w:val="16"/>
          <w:color w:val="auto"/>
        </w:rPr>
        <w:t>the aggregate of all Unpaid Drawings, including all L/C Borrowings. For all purposes of this Agreement, if on any date of determination a Letter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Test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 Default</w:t>
      </w:r>
      <w:r>
        <w:rPr>
          <w:rFonts w:ascii="Arial" w:cs="Arial" w:eastAsia="Arial" w:hAnsi="Arial"/>
          <w:sz w:val="17"/>
          <w:szCs w:val="17"/>
          <w:color w:val="auto"/>
        </w:rPr>
        <w:t>” shall mean (i) the refusal or failure of any Lender to make available its portion of any incurrence of Loans or Reimbursement Obligations, which refusal or failure is not cured within one business day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 over to the Administrative Agent, any Swingline Lender, any Letter of Credit Issuer or any other Lender any other amount required to be paid by it hereunder within one business day of the date when due, unless the subject of a good faith dispute, (iii) a Lender has notified, in writing, the Borrower or the Administrative Agent in writing that it does not intend to comply with its funding obligations under this Agreement or has made a public statement to that effect with respect to its funding obligations under this Agreement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Distressed Person has admitted in writing that it is insolvent or such Distressed Person becomes subject to a Lender-Related Distress Event or (vi) a Lender has become the subject of a Bail-In Action.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Presentation</w:t>
      </w:r>
      <w:r>
        <w:rPr>
          <w:rFonts w:ascii="Arial" w:cs="Arial" w:eastAsia="Arial" w:hAnsi="Arial"/>
          <w:sz w:val="18"/>
          <w:szCs w:val="18"/>
          <w:color w:val="auto"/>
        </w:rPr>
        <w:t>” shall mean the Lender Presentation of Holdings dated June 6, 2019.</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Lender-Related Distress Event</w:t>
      </w:r>
      <w:r>
        <w:rPr>
          <w:rFonts w:ascii="Arial" w:cs="Arial" w:eastAsia="Arial" w:hAnsi="Arial"/>
          <w:sz w:val="16"/>
          <w:szCs w:val="16"/>
          <w:color w:val="auto"/>
        </w:rPr>
        <w:t>” shall mean, with respect to any Lender or any other Person that directly or indirectly controls such Lender (each, a “</w:t>
      </w:r>
      <w:r>
        <w:rPr>
          <w:rFonts w:ascii="Arial" w:cs="Arial" w:eastAsia="Arial" w:hAnsi="Arial"/>
          <w:sz w:val="16"/>
          <w:szCs w:val="16"/>
          <w:b w:val="1"/>
          <w:bCs w:val="1"/>
          <w:color w:val="auto"/>
        </w:rPr>
        <w:t>Distressed Person</w:t>
      </w:r>
      <w:r>
        <w:rPr>
          <w:rFonts w:ascii="Arial" w:cs="Arial" w:eastAsia="Arial" w:hAnsi="Arial"/>
          <w:sz w:val="16"/>
          <w:szCs w:val="16"/>
          <w:color w:val="auto"/>
        </w:rPr>
        <w:t xml:space="preserve">”),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 equity interest does not result in or provide such Lender with immunity from the jurisdiction of courts within the United States or from the enforcement of judgments or writs of attachment on its assets or permit such Lender (or such governmental authority or instrumentality thereof) to reject, repudiate, disavow or disaffirm any contracts or agreements made with such Lender.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shall mean each letter of credit issued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includes the Existing Letters of Credit.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Letter of Credit Commitment</w:t>
      </w:r>
      <w:r>
        <w:rPr>
          <w:rFonts w:ascii="Arial" w:cs="Arial" w:eastAsia="Arial" w:hAnsi="Arial"/>
          <w:sz w:val="16"/>
          <w:szCs w:val="16"/>
          <w:color w:val="auto"/>
        </w:rPr>
        <w:t>” shall mean $20,000,000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Letter of Credit Commitment of (i) Bank of America, N.A. shall not exceed $6,666,666.67, (ii) JPMorgan Chase Bank, N.A. shall not exceed $6,666,666.67 and (iii) Wells Fargo Bank, N.A. shall not exceed $6,666,666.66, in each case unless otherwise agreed to by such Letter of Credit Issuer in its sole discretion), as the same may be reduced from time to time pursuant to </w:t>
      </w:r>
      <w:r>
        <w:rPr>
          <w:rFonts w:ascii="Arial" w:cs="Arial" w:eastAsia="Arial" w:hAnsi="Arial"/>
          <w:sz w:val="16"/>
          <w:szCs w:val="16"/>
          <w:u w:val="single" w:color="auto"/>
          <w:color w:val="auto"/>
        </w:rPr>
        <w:t>Section3.1</w:t>
      </w:r>
      <w:r>
        <w:rPr>
          <w:rFonts w:ascii="Arial" w:cs="Arial" w:eastAsia="Arial" w:hAnsi="Arial"/>
          <w:sz w:val="16"/>
          <w:szCs w:val="16"/>
          <w:color w:val="auto"/>
        </w:rPr>
        <w:t>.</w:t>
      </w:r>
    </w:p>
    <w:p>
      <w:pPr>
        <w:spacing w:after="0" w:line="142"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shall mean the day that is three Business Days prior to the scheduled Maturity Date then in effect for the Revolving Credit Facility.</w:t>
      </w:r>
    </w:p>
    <w:p>
      <w:pPr>
        <w:spacing w:after="0" w:line="16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Exposure</w:t>
      </w:r>
      <w:r>
        <w:rPr>
          <w:rFonts w:ascii="Arial" w:cs="Arial" w:eastAsia="Arial" w:hAnsi="Arial"/>
          <w:sz w:val="18"/>
          <w:szCs w:val="18"/>
          <w:color w:val="auto"/>
        </w:rPr>
        <w:t xml:space="preserve">” shall mean, with respect to any Lender, at any time, the sum of (i) the amount of the principal amount of any Unpaid Drawings in respect of which such Lender has made (or is required to 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at such time and (ii) such Lender’s Revolving Credit Commitment Percentage of the Letters of Credit Outstanding at such time (excluding the portion thereof consisting of Unpaid Drawings in respect of which the Lenders have made (or are required to 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Issuer</w:t>
      </w:r>
      <w:r>
        <w:rPr>
          <w:rFonts w:ascii="Arial" w:cs="Arial" w:eastAsia="Arial" w:hAnsi="Arial"/>
          <w:sz w:val="18"/>
          <w:szCs w:val="18"/>
          <w:color w:val="auto"/>
        </w:rPr>
        <w:t xml:space="preserve"> “ shall mean (i) in the case of standby Letters of Credit only, (a) as applicable, each of Bank of America, N.A., JPMorgan Chase Bank, N.A. and Wells Fargo Bank, N.A. and (b) any of their respective Affiliates or branches, (ii) any replacement, additional issuer, or successor pursuant to Section 3.6 and (iii) solely with respect to the Existing Letter of Credit issued by it and outstanding on the Restatement Effective Date, Goldman Sachs Bank USA.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Request</w:t>
      </w:r>
      <w:r>
        <w:rPr>
          <w:rFonts w:ascii="Arial" w:cs="Arial" w:eastAsia="Arial" w:hAnsi="Arial"/>
          <w:sz w:val="18"/>
          <w:szCs w:val="18"/>
          <w:color w:val="auto"/>
        </w:rPr>
        <w:t xml:space="preserve">” shall mean a notice executed and delivered by the Borrower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or another form which is acceptable to the Letter of Credit Issuer in its reasonable discretion.</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Letters of Credit Outstanding</w:t>
      </w:r>
      <w:r>
        <w:rPr>
          <w:rFonts w:ascii="Arial" w:cs="Arial" w:eastAsia="Arial" w:hAnsi="Arial"/>
          <w:sz w:val="18"/>
          <w:szCs w:val="18"/>
          <w:color w:val="auto"/>
        </w:rPr>
        <w:t>” shall mean, at any time the sum of, without duplication, (i) the aggregate Stated Amount of all outstanding Letters of Credit and (ii) the aggregate amount of the principal amount of all Unpaid Drawings.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shall have the meaning provided in the definition of “LIBOR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shall mean any Loan bearing interest at a rate determined by reference to the LIBOR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shall mean,</w:t>
      </w:r>
    </w:p>
    <w:p>
      <w:pPr>
        <w:spacing w:after="0" w:line="229" w:lineRule="exact"/>
        <w:rPr>
          <w:sz w:val="20"/>
          <w:szCs w:val="20"/>
          <w:color w:val="auto"/>
        </w:rPr>
      </w:pPr>
    </w:p>
    <w:p>
      <w:pPr>
        <w:ind w:left="660" w:right="80" w:firstLine="645"/>
        <w:spacing w:after="0" w:line="255" w:lineRule="auto"/>
        <w:tabs>
          <w:tab w:leader="none" w:pos="19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any Interest Period with respect to a LIBOR Loan, the rate per annum equal to the London Interbank Offered Rate as administered by ICE Benchmark Administration (or any other Person that takes over the administration of such rate for U.S. Dollars for a period equal in length to such Interest Period) (“LIBOR”)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93" w:lineRule="exact"/>
        <w:rPr>
          <w:rFonts w:ascii="Arial" w:cs="Arial" w:eastAsia="Arial" w:hAnsi="Arial"/>
          <w:sz w:val="18"/>
          <w:szCs w:val="18"/>
          <w:color w:val="auto"/>
        </w:rPr>
      </w:pPr>
    </w:p>
    <w:p>
      <w:pPr>
        <w:ind w:left="660" w:right="200" w:firstLine="645"/>
        <w:spacing w:after="0" w:line="308" w:lineRule="auto"/>
        <w:tabs>
          <w:tab w:leader="none" w:pos="1933" w:val="left"/>
        </w:tabs>
        <w:numPr>
          <w:ilvl w:val="1"/>
          <w:numId w:val="37"/>
        </w:numPr>
        <w:rPr>
          <w:rFonts w:ascii="Arial" w:cs="Arial" w:eastAsia="Arial" w:hAnsi="Arial"/>
          <w:sz w:val="17"/>
          <w:szCs w:val="17"/>
          <w:color w:val="auto"/>
        </w:rPr>
      </w:pPr>
      <w:r>
        <w:rPr>
          <w:rFonts w:ascii="Arial" w:cs="Arial" w:eastAsia="Arial" w:hAnsi="Arial"/>
          <w:sz w:val="17"/>
          <w:szCs w:val="17"/>
          <w:color w:val="auto"/>
        </w:rPr>
        <w:t>for any interest calculation with respect to an ABR Loan on any date, the rate per annum equal to LIBOR, at or about 11:00 a.m., London time determined two Business Days prior to such date for Dollar deposits with a term of one month commencing that day;</w:t>
      </w:r>
    </w:p>
    <w:p>
      <w:pPr>
        <w:spacing w:after="0" w:line="146" w:lineRule="exact"/>
        <w:rPr>
          <w:rFonts w:ascii="Arial" w:cs="Arial" w:eastAsia="Arial" w:hAnsi="Arial"/>
          <w:sz w:val="17"/>
          <w:szCs w:val="17"/>
          <w:color w:val="auto"/>
        </w:rPr>
      </w:pPr>
    </w:p>
    <w:p>
      <w:pPr>
        <w:ind w:left="100" w:hanging="92"/>
        <w:spacing w:after="0"/>
        <w:tabs>
          <w:tab w:leader="none" w:pos="10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LIBOR Rate as determined below for any period would be less than zero, the LIBOR Rate for such period shall instead be zero.</w:t>
      </w:r>
    </w:p>
    <w:p>
      <w:pPr>
        <w:spacing w:after="0" w:line="233" w:lineRule="exact"/>
        <w:rPr>
          <w:sz w:val="20"/>
          <w:szCs w:val="20"/>
          <w:color w:val="auto"/>
        </w:rPr>
      </w:pPr>
    </w:p>
    <w:p>
      <w:pPr>
        <w:ind w:right="2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Screen Rate</w:t>
      </w:r>
      <w:r>
        <w:rPr>
          <w:rFonts w:ascii="Arial" w:cs="Arial" w:eastAsia="Arial" w:hAnsi="Arial"/>
          <w:sz w:val="17"/>
          <w:szCs w:val="17"/>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Successor Rate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2.10(d)</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Successor Rate Conforming Changes</w:t>
      </w:r>
      <w:r>
        <w:rPr>
          <w:rFonts w:ascii="Arial" w:cs="Arial" w:eastAsia="Arial" w:hAnsi="Arial"/>
          <w:sz w:val="16"/>
          <w:szCs w:val="16"/>
          <w:color w:val="auto"/>
        </w:rPr>
        <w:t>” means, with respect to any proposed LIBOR Successor Rate, any conforming changes to the definition of ABR, Interest Period, timing and frequency of determining rates and making payments of interest and other administrative matters as may be appropriate, in the discretion of the Administrative Agent and in consultation with the Borrower,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5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xml:space="preserve">” 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operating lease or a license to Intellectual Property be deemed to constitute a Lien.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ind w:right="1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Limited Condition Transaction</w:t>
      </w:r>
      <w:r>
        <w:rPr>
          <w:rFonts w:ascii="Arial" w:cs="Arial" w:eastAsia="Arial" w:hAnsi="Arial"/>
          <w:sz w:val="17"/>
          <w:szCs w:val="17"/>
          <w:color w:val="auto"/>
        </w:rPr>
        <w:t>” shall mean (a) the consummation of any acquisition (including by way of merger), Investment, Disposition, Restricted Payment requiring declaration (as determined by Borrower) by one or more of Holdings, the Borrower and the Restricted Subsidiaries and whose consummation is not conditioned on the availability of, or on obtaining, third party financing and/or (b) any prepayment, repurchase or redemption of Indebtedness requiring irrevocable notice in advance of such prepayment, repurchase or redemption.</w:t>
      </w:r>
    </w:p>
    <w:p>
      <w:pPr>
        <w:spacing w:after="0" w:line="16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any Revolving Loan, Swingline Loan, Term Loan, Extended Term Loan, New Term Loan, or any other loan made by any Lender pursuant to this Agreement.</w:t>
      </w:r>
    </w:p>
    <w:p>
      <w:pPr>
        <w:spacing w:after="0" w:line="162" w:lineRule="exact"/>
        <w:rPr>
          <w:sz w:val="20"/>
          <w:szCs w:val="20"/>
          <w:color w:val="auto"/>
        </w:rPr>
      </w:pPr>
    </w:p>
    <w:p>
      <w:pPr>
        <w:ind w:right="20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Managed Care Subsidiary</w:t>
      </w:r>
      <w:r>
        <w:rPr>
          <w:rFonts w:ascii="Arial" w:cs="Arial" w:eastAsia="Arial" w:hAnsi="Arial"/>
          <w:sz w:val="17"/>
          <w:szCs w:val="17"/>
          <w:color w:val="auto"/>
        </w:rPr>
        <w:t>” shall mean FirstSight and any other Subsidiary of the Borrower (i) whose financial condition or activities are regulated under laws of any state in connection with the provision of health or vision care products or services (or related administrative services) and (ii) a pledge of the Capital Stock of whom, or whose guaranty of the Obligations or granting of a lien on its assets to secure the Obligations would violate any applicable law or regulation or require a consent of a Governmental Authority which has not been obtained.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shall have the meaning provided in the definition of the term “Hedge Agreement.”</w:t>
      </w:r>
    </w:p>
    <w:p>
      <w:pPr>
        <w:spacing w:after="0" w:line="225"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shall mean a circumstance or condition affecting the business, assets, operations, properties, or financial condition of Holdings and its Subsidiaries, taken as a whole, that would, individually or in the aggregate, materially adversely affect (i) the ability of Holdings and the other Credit Parties, taken as a whole, to perform their payment obligations under this Agreement or any of the other Credit Documents or (ii) the rights and remedies of the Administrative Agent and the Lenders under the Credit Documents.</w:t>
      </w:r>
    </w:p>
    <w:p>
      <w:pPr>
        <w:spacing w:after="0" w:line="180"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Acquisition</w:t>
      </w:r>
      <w:r>
        <w:rPr>
          <w:rFonts w:ascii="Arial" w:cs="Arial" w:eastAsia="Arial" w:hAnsi="Arial"/>
          <w:sz w:val="18"/>
          <w:szCs w:val="18"/>
          <w:color w:val="auto"/>
        </w:rPr>
        <w:t>” shall mean any Permitted Acquisition or Investment, or the last to occur of a group of no greater than three Permitted Acquisitions and/or Investments (whether or not related to each other) consummated within a period of one year, if the aggregate amount of consideration paid in respect of, and liabilities incurred or assumed to finance, such Permitted Acquisition and/or Investment (or, if applicable, such group of Permitted Acquisitions and/or Investments) is in the aggregate at least $50,000,000 and the Borrower has designated such Permitted Acquisitions and/or Investments as a “Material Acquisition”.</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Subsidiary</w:t>
      </w:r>
      <w:r>
        <w:rPr>
          <w:rFonts w:ascii="Arial" w:cs="Arial" w:eastAsia="Arial" w:hAnsi="Arial"/>
          <w:sz w:val="17"/>
          <w:szCs w:val="17"/>
          <w:color w:val="auto"/>
        </w:rPr>
        <w:t xml:space="preserve">” 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Holdings and the Restricted Subsidiaries at such date or (ii) whose revenues during such Test Period were equal to or greater than 5.0% of the consolidated revenues of Holdings and the Restricted Subsidiaries for such period, in each case determined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any time and from time to time after the Restatement Effective Date, Restricted Subsidiaries that are not Material Subsidiaries (other than Subsidiaries that are Excluded Subsidiaries by virtue of any of clauses (ii) through (xii) of the definition of “Excluded Subsidiary”) have, in the aggregate, (a) total assets at the last day of such Test Period equal to or greater than 7.5% of the Consolidated Total Assets of Holdings and the Restricted Subsidiaries at such date or (b) revenues during such Test Period equal to or greater than 7.5% of the consolidated revenues of Holdings and the Restricted Subsidiaries for such period, in each case determined in accordance with GAAP, then Holdings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w:t>
      </w:r>
    </w:p>
    <w:p>
      <w:pPr>
        <w:spacing w:after="0" w:line="17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shall mean the Term A Loan Maturity Date, the New Term Loan Maturity Date, the Revolving Credit Maturity Date, the maturity date of an Extended Term Loan or the maturity date of an Extended Revolving Credit Loan, as applicable.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7" w:name="page68"/>
    <w:bookmarkEnd w:id="67"/>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Incremental Facilities Amount</w:t>
      </w:r>
      <w:r>
        <w:rPr>
          <w:rFonts w:ascii="Arial" w:cs="Arial" w:eastAsia="Arial" w:hAnsi="Arial"/>
          <w:sz w:val="18"/>
          <w:szCs w:val="18"/>
          <w:color w:val="auto"/>
        </w:rPr>
        <w:t xml:space="preserve">” shall mean, at any date of determination, (i) the amount such that, after giving effect to the incurrence of such amount Holdings would be in compliance on a Pro Forma Basis (including any adjustments required by such definition as a result of a contemplated Permitted Acquisition and, only in the case of a simultaneous incurrence of the maximum amount permitted to be incurred under this clause (i) on the date of such incurrence together with an incurrence in reliance on clause (ii) below on such date, without giving pro forma effect to such simultaneous incurrence in reliance on clause (ii) below or under the Revolving Credit Facility) with the First Lien Secured Leverage Test (assuming that all outstanding Indebtedness incurred pursuant to </w:t>
      </w:r>
      <w:r>
        <w:rPr>
          <w:rFonts w:ascii="Arial" w:cs="Arial" w:eastAsia="Arial" w:hAnsi="Arial"/>
          <w:sz w:val="18"/>
          <w:szCs w:val="18"/>
          <w:u w:val="single" w:color="auto"/>
          <w:color w:val="auto"/>
        </w:rPr>
        <w:t>Section 10.1(x)</w:t>
      </w:r>
      <w:r>
        <w:rPr>
          <w:rFonts w:ascii="Arial" w:cs="Arial" w:eastAsia="Arial" w:hAnsi="Arial"/>
          <w:sz w:val="18"/>
          <w:szCs w:val="18"/>
          <w:color w:val="auto"/>
        </w:rPr>
        <w:t xml:space="preserve"> prior to or on such date of determination would be included in the definition of “Consolidated First Lien Secured Debt”, whether or not such Indebtedness would otherwise be so included and assuming the New Revolving Credit Commitments established at such time are fully drawn),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$100,000,000.</w:t>
      </w:r>
    </w:p>
    <w:p>
      <w:pPr>
        <w:spacing w:after="0" w:line="185"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Borrowing Amount</w:t>
      </w:r>
      <w:r>
        <w:rPr>
          <w:rFonts w:ascii="Arial" w:cs="Arial" w:eastAsia="Arial" w:hAnsi="Arial"/>
          <w:sz w:val="18"/>
          <w:szCs w:val="18"/>
          <w:color w:val="auto"/>
        </w:rPr>
        <w:t>” shall mean (i) with respect to a Borrowing of LIBOR Loans, $1,000,000 (or, if less, the entire remaining applicable Commitments at the time of such Borrowing) and (ii) with respect to a Borrowing of ABR Loans, $1,000,000 (or, if less, the entire remaining applicable Commitments at the time of such Borrowing).</w:t>
      </w:r>
    </w:p>
    <w:p>
      <w:pPr>
        <w:spacing w:after="0" w:line="17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Collateral Amount</w:t>
      </w:r>
      <w:r>
        <w:rPr>
          <w:rFonts w:ascii="Arial" w:cs="Arial" w:eastAsia="Arial" w:hAnsi="Arial"/>
          <w:sz w:val="18"/>
          <w:szCs w:val="18"/>
          <w:color w:val="auto"/>
        </w:rPr>
        <w:t xml:space="preserve">” shall mean, at any time, (i) with respect to Cash Collateral consisting of cash or Cash Equivalents or deposit account balances provided to reduce or eliminate Fronting Exposure during the existence of a Defaulting Lender, an amount equal to 101% of the Fronting Exposure of the Letter of Credit Issuer with respect to Letters of Credit issued and outstanding at such time and (ii) with respect to Cash Collateral consisting of cash or Cash Equivalents or deposit account balances provided in accordance with the provisions of </w:t>
      </w:r>
      <w:r>
        <w:rPr>
          <w:rFonts w:ascii="Arial" w:cs="Arial" w:eastAsia="Arial" w:hAnsi="Arial"/>
          <w:sz w:val="18"/>
          <w:szCs w:val="18"/>
          <w:u w:val="single" w:color="auto"/>
          <w:color w:val="auto"/>
        </w:rPr>
        <w:t>Section 3.8(a)(i)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101% of the outstanding amount of all L/C Obligations.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by merger or consolidation to its business.</w:t>
      </w:r>
    </w:p>
    <w:p>
      <w:pPr>
        <w:spacing w:after="0" w:line="225" w:lineRule="exact"/>
        <w:rPr>
          <w:sz w:val="20"/>
          <w:szCs w:val="20"/>
          <w:color w:val="auto"/>
        </w:rPr>
      </w:pPr>
    </w:p>
    <w:p>
      <w:pPr>
        <w:ind w:right="2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shall mean a mortgage, deed of trust, deed to secure debt, trust deed, or other security document entered into by the owner of a Mortgaged 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w:t>
      </w:r>
    </w:p>
    <w:p>
      <w:pPr>
        <w:spacing w:after="0" w:line="142"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Property</w:t>
      </w:r>
      <w:r>
        <w:rPr>
          <w:rFonts w:ascii="Arial" w:cs="Arial" w:eastAsia="Arial" w:hAnsi="Arial"/>
          <w:sz w:val="16"/>
          <w:szCs w:val="16"/>
          <w:color w:val="auto"/>
        </w:rPr>
        <w:t xml:space="preserve">” shall mean, initially, each parcel of real estate and the improvements thereto owned in fee by a Credit Party and identified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and each other parcel of real property and improvements thereto with respect to which a Mortgage is granted pursuant to </w:t>
      </w:r>
      <w:r>
        <w:rPr>
          <w:rFonts w:ascii="Arial" w:cs="Arial" w:eastAsia="Arial" w:hAnsi="Arial"/>
          <w:sz w:val="16"/>
          <w:szCs w:val="16"/>
          <w:u w:val="single" w:color="auto"/>
          <w:color w:val="auto"/>
        </w:rPr>
        <w:t>Section 9.14</w:t>
      </w:r>
      <w:r>
        <w:rPr>
          <w:rFonts w:ascii="Arial" w:cs="Arial" w:eastAsia="Arial" w:hAnsi="Arial"/>
          <w:sz w:val="16"/>
          <w:szCs w:val="16"/>
          <w:color w:val="auto"/>
        </w:rPr>
        <w:t>.</w:t>
      </w:r>
    </w:p>
    <w:p>
      <w:pPr>
        <w:spacing w:after="0" w:line="116" w:lineRule="exact"/>
        <w:rPr>
          <w:sz w:val="20"/>
          <w:szCs w:val="20"/>
          <w:color w:val="auto"/>
        </w:rPr>
      </w:pPr>
    </w:p>
    <w:p>
      <w:pPr>
        <w:ind w:right="2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shall mean a multiemployer plan as defined in Section 4001(a)(3) of ERISA to which any Credit Party or ERISA Affiliate makes or is obligated to make contributions, or during the five preceding calendar years, has made or been obligated to make contributions.</w:t>
      </w:r>
    </w:p>
    <w:p>
      <w:pPr>
        <w:spacing w:after="0" w:line="13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shall mean, with respect to any Prepayment Event and any incurrence of Permitted Other Indebtedness, (i) the gross cash proceeds (including payments from time to time in respect of installment obligations, if applicable, but only as and when received) received by or on behalf of Holdings or any of the Restricted Subsidiaries in respect of such Prepayment Event or incurrence of Permitted Other Indebtedness, as the case may be, less (ii) the sum of:</w:t>
      </w:r>
    </w:p>
    <w:p>
      <w:pPr>
        <w:spacing w:after="0" w:line="184" w:lineRule="exact"/>
        <w:rPr>
          <w:sz w:val="20"/>
          <w:szCs w:val="20"/>
          <w:color w:val="auto"/>
        </w:rPr>
      </w:pPr>
    </w:p>
    <w:p>
      <w:pPr>
        <w:ind w:left="660" w:right="140" w:firstLine="645"/>
        <w:spacing w:after="0" w:line="308" w:lineRule="auto"/>
        <w:tabs>
          <w:tab w:leader="none" w:pos="182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amount, if any, of all taxes (including in connection with any repatriation of funds) paid or estimated to be payable by Holdings or any of the Restricted Subsidiaries in connection with such Prepayment Event or incurrence of Permitted Other Indebtedness,</w:t>
      </w:r>
    </w:p>
    <w:p>
      <w:pPr>
        <w:spacing w:after="0" w:line="146" w:lineRule="exact"/>
        <w:rPr>
          <w:rFonts w:ascii="Arial" w:cs="Arial" w:eastAsia="Arial" w:hAnsi="Arial"/>
          <w:sz w:val="17"/>
          <w:szCs w:val="17"/>
          <w:color w:val="auto"/>
        </w:rPr>
      </w:pPr>
    </w:p>
    <w:p>
      <w:pPr>
        <w:ind w:left="660" w:right="40" w:firstLine="645"/>
        <w:spacing w:after="0" w:line="302" w:lineRule="auto"/>
        <w:tabs>
          <w:tab w:leader="none" w:pos="1833"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amount of any reasonable reserve established in accordance with GAAP against any liabilities (other than any taxes deducted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(1) associated with the assets that are the subject of such Prepayment Event and (2) retained by Holdings or any of the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subsequent reduction of such reserve (other than in connection with a payment in respect of any such liability) shall be deemed to be Net Cash Proceeds of such a Prepayment Event occurring on the date of such reduction,</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8" w:name="page69"/>
    <w:bookmarkEnd w:id="68"/>
    <w:p>
      <w:pPr>
        <w:ind w:left="660" w:right="40" w:firstLine="645"/>
        <w:spacing w:after="0" w:line="264" w:lineRule="auto"/>
        <w:tabs>
          <w:tab w:leader="none" w:pos="182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of any Indebtedness (other than the Loans and Permitted Other Indebtedness) secured by a Lien on the assets that are the subject of such Prepayment Event to the extent that the instrument creating or evidencing such Indebtedness requires that such Indebtedness be repaid upon consummation of such Prepayment Event,</w:t>
      </w:r>
    </w:p>
    <w:p>
      <w:pPr>
        <w:spacing w:after="0" w:line="181" w:lineRule="exact"/>
        <w:rPr>
          <w:rFonts w:ascii="Arial" w:cs="Arial" w:eastAsia="Arial" w:hAnsi="Arial"/>
          <w:sz w:val="18"/>
          <w:szCs w:val="18"/>
          <w:color w:val="auto"/>
        </w:rPr>
      </w:pPr>
    </w:p>
    <w:p>
      <w:pPr>
        <w:ind w:left="660" w:right="60" w:firstLine="645"/>
        <w:spacing w:after="0" w:line="270" w:lineRule="auto"/>
        <w:tabs>
          <w:tab w:leader="none" w:pos="1833"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in the case of any Asset Sale Prepayment Event or Casualty Event or Permitted Sale Leaseback, the amount of any proceeds of such Prepayment Event that Holdings or any Restricted Subsidiary has reinvested (or intends to reinvest within the Reinvestment Period or has entered into a binding commitment prior to the last day of the Reinvestment Period to reinvest) in the business of Holdings or any of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portion of such proceeds that has not been so reinvested within such Reinvestment Period (with respect to such Prepayment Event, the “</w:t>
      </w:r>
      <w:r>
        <w:rPr>
          <w:rFonts w:ascii="Arial" w:cs="Arial" w:eastAsia="Arial" w:hAnsi="Arial"/>
          <w:sz w:val="17"/>
          <w:szCs w:val="17"/>
          <w:b w:val="1"/>
          <w:bCs w:val="1"/>
          <w:color w:val="auto"/>
        </w:rPr>
        <w:t>Deferred Net Cash Proceeds</w:t>
      </w:r>
      <w:r>
        <w:rPr>
          <w:rFonts w:ascii="Arial" w:cs="Arial" w:eastAsia="Arial" w:hAnsi="Arial"/>
          <w:sz w:val="17"/>
          <w:szCs w:val="17"/>
          <w:color w:val="auto"/>
        </w:rPr>
        <w:t>”) shall, unless Holdings or a Restricted Subsidiary has entered into a binding commitment prior to the last day of such Reinvestment Period to reinvest such proceeds no later than 180 days following the last day of such Reinvestment Period, (1) be deemed to be Net Cash Proceeds of an Asset Sale Prepayment Event, Casualty Event, or Permitted Sale Leaseback occurring on the last day of such Reinvestment Period or, if later, 180 days after the date Holdings or such Restricted Subsidiary has entered into such binding commitment, as applicable (such last day or 180th day, as applicable, the “</w:t>
      </w:r>
      <w:r>
        <w:rPr>
          <w:rFonts w:ascii="Arial" w:cs="Arial" w:eastAsia="Arial" w:hAnsi="Arial"/>
          <w:sz w:val="17"/>
          <w:szCs w:val="17"/>
          <w:b w:val="1"/>
          <w:bCs w:val="1"/>
          <w:color w:val="auto"/>
        </w:rPr>
        <w:t>Deferred Net Cash Proceeds Payment Date</w:t>
      </w:r>
      <w:r>
        <w:rPr>
          <w:rFonts w:ascii="Arial" w:cs="Arial" w:eastAsia="Arial" w:hAnsi="Arial"/>
          <w:sz w:val="17"/>
          <w:szCs w:val="17"/>
          <w:color w:val="auto"/>
        </w:rPr>
        <w:t xml:space="preserve">”), and (2) be applied to the repayment of Term Loans in accordance with </w:t>
      </w:r>
      <w:r>
        <w:rPr>
          <w:rFonts w:ascii="Arial" w:cs="Arial" w:eastAsia="Arial" w:hAnsi="Arial"/>
          <w:sz w:val="17"/>
          <w:szCs w:val="17"/>
          <w:u w:val="single" w:color="auto"/>
          <w:color w:val="auto"/>
        </w:rPr>
        <w:t>Section 5.2(a)(i)</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660" w:right="200" w:firstLine="645"/>
        <w:spacing w:after="0" w:line="312" w:lineRule="auto"/>
        <w:tabs>
          <w:tab w:leader="none" w:pos="1823"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Casualty Event, or Permitted Sale Leaseback by a non-Wholly-Owned Restricted Subsidiary, the pro rata portion of the Net Cash Proceeds thereof (calculated without regard to this </w:t>
      </w:r>
      <w:r>
        <w:rPr>
          <w:rFonts w:ascii="Arial" w:cs="Arial" w:eastAsia="Arial" w:hAnsi="Arial"/>
          <w:sz w:val="16"/>
          <w:szCs w:val="16"/>
          <w:u w:val="single" w:color="auto"/>
          <w:color w:val="auto"/>
        </w:rPr>
        <w:t>clause (e)</w:t>
      </w:r>
      <w:r>
        <w:rPr>
          <w:rFonts w:ascii="Arial" w:cs="Arial" w:eastAsia="Arial" w:hAnsi="Arial"/>
          <w:sz w:val="16"/>
          <w:szCs w:val="16"/>
          <w:color w:val="auto"/>
        </w:rPr>
        <w:t>) attributable to minority interests and not available for distribution to or for the account of Holdings or a Wholly-Owned Restricted Subsidiary as a result thereof,</w:t>
      </w:r>
    </w:p>
    <w:p>
      <w:pPr>
        <w:spacing w:after="0" w:line="146" w:lineRule="exact"/>
        <w:rPr>
          <w:rFonts w:ascii="Arial" w:cs="Arial" w:eastAsia="Arial" w:hAnsi="Arial"/>
          <w:sz w:val="16"/>
          <w:szCs w:val="16"/>
          <w:color w:val="auto"/>
        </w:rPr>
      </w:pPr>
    </w:p>
    <w:p>
      <w:pPr>
        <w:ind w:left="660" w:right="100" w:firstLine="645"/>
        <w:spacing w:after="0" w:line="297" w:lineRule="auto"/>
        <w:tabs>
          <w:tab w:leader="none" w:pos="1803"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or Permitted Sale Leaseback, any funded escrow established pursuant to the documents evidencing any such sale or disposition to secure any indemnification obligations or adjustments to the purchase price associated with any such sale or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subsequent reduction of such escrow (other than in connection with a payment in respect of any such liability) shall be deemed to be Net Cash Proceeds of such a Prepayment Event occurring on the date of such reduction solely to the extent that Holdings and/or any Restricted Subsidiaries receives cash in an amount equal to the amount of such reduction, and</w:t>
      </w:r>
    </w:p>
    <w:p>
      <w:pPr>
        <w:spacing w:after="0" w:line="158" w:lineRule="exact"/>
        <w:rPr>
          <w:rFonts w:ascii="Arial" w:cs="Arial" w:eastAsia="Arial" w:hAnsi="Arial"/>
          <w:sz w:val="16"/>
          <w:szCs w:val="16"/>
          <w:color w:val="auto"/>
        </w:rPr>
      </w:pPr>
    </w:p>
    <w:p>
      <w:pPr>
        <w:ind w:left="660" w:firstLine="645"/>
        <w:spacing w:after="0" w:line="276" w:lineRule="auto"/>
        <w:tabs>
          <w:tab w:leader="none" w:pos="1833"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fees and out of pocket expenses paid by Holdings or a Restricted Subsidiary in connection with any of the foregoing (for the avoidance of doubt, including, (1) in the case of the issuance of Permitted Other Indebtedness, any fees, underwriting discounts, premiums, and other costs and expenses incurred in connection with such issuance and (2)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each case only to the extent not already deducted in arriving at the amount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221"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shall mean, with respect to any Person, the net income (loss) of such Person, determined in accordance with GAAP and before any reduction in respect of preferred stock dividends.</w:t>
      </w:r>
    </w:p>
    <w:p>
      <w:pPr>
        <w:spacing w:after="0" w:line="162" w:lineRule="exact"/>
        <w:rPr>
          <w:sz w:val="20"/>
          <w:szCs w:val="20"/>
          <w:color w:val="auto"/>
        </w:rPr>
      </w:pPr>
    </w:p>
    <w:p>
      <w:pPr>
        <w:ind w:right="5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Contracts</w:t>
      </w:r>
      <w:r>
        <w:rPr>
          <w:rFonts w:ascii="Arial" w:cs="Arial" w:eastAsia="Arial" w:hAnsi="Arial"/>
          <w:sz w:val="18"/>
          <w:szCs w:val="18"/>
          <w:color w:val="auto"/>
        </w:rPr>
        <w:t>” shall mean binding contracts or purchase orders (i) entered with new Counterparties or (ii) for new business with existing Counterparties, in each case, under which Holdings and/or its Subsidiaries have begun to provide goods or services, which are expected to increase the Consolidated Net Income of Holdings.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Credit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Store Consolidated EBITDA Adjustment</w:t>
      </w:r>
      <w:r>
        <w:rPr>
          <w:rFonts w:ascii="Arial" w:cs="Arial" w:eastAsia="Arial" w:hAnsi="Arial"/>
          <w:sz w:val="18"/>
          <w:szCs w:val="18"/>
          <w:color w:val="auto"/>
        </w:rPr>
        <w:t>” shall mean, for any applicable Test Period, the excess (not to be less than zero) of (i) aggregate amount derived from the product of (a) the aggregate number of New Stores and (b) Average New Store Consolidated EBITDA during the previous Test Period over (ii) the actual Consolidated EBITDA generated by New Stores during the Test Period.</w:t>
      </w:r>
    </w:p>
    <w:p>
      <w:pPr>
        <w:spacing w:after="0" w:line="17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Stores</w:t>
      </w:r>
      <w:r>
        <w:rPr>
          <w:rFonts w:ascii="Arial" w:cs="Arial" w:eastAsia="Arial" w:hAnsi="Arial"/>
          <w:sz w:val="18"/>
          <w:szCs w:val="18"/>
          <w:color w:val="auto"/>
        </w:rPr>
        <w:t>” shall mean, with respect to any Test Period, the number of Stores opened within the last 24 months, measured from and including the last month in such Test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Maturity Date</w:t>
      </w:r>
      <w:r>
        <w:rPr>
          <w:rFonts w:ascii="Arial" w:cs="Arial" w:eastAsia="Arial" w:hAnsi="Arial"/>
          <w:sz w:val="18"/>
          <w:szCs w:val="18"/>
          <w:color w:val="auto"/>
        </w:rPr>
        <w:t>” shall mean the date on which a New Term Loan matures.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Non-Bank Tax Certificate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and include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shall mean any Lender that is not a “United States person” as defined by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 or Continuation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advances to, and debts, liabilities, obligations, covenants, and duties of, any Credit Party arising under any Credit Document or otherwise with respect to any Revolving Credit Commitment, Loan, or Letter of Credit or under any Secured Cash Management Agreement, Secured Hedge Agreement (other than with respect to any Credit Party’s obligations that constitute Excluded Swap Obligations solely with respect to such Credit Party), in each case, entered into with Holdings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shall have the meaning provided in Section 8.11.</w:t>
      </w:r>
    </w:p>
    <w:p>
      <w:pPr>
        <w:spacing w:after="0" w:line="225"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Revolving Credit Commitments</w:t>
      </w:r>
      <w:r>
        <w:rPr>
          <w:rFonts w:ascii="Arial" w:cs="Arial" w:eastAsia="Arial" w:hAnsi="Arial"/>
          <w:sz w:val="18"/>
          <w:szCs w:val="18"/>
          <w:color w:val="auto"/>
        </w:rPr>
        <w:t>” shall mean all Revolving Credit Commitments, Existing Revolving Credit Commitments, and Extended Revolving Credit Commitments, other than any New Revolving Credit Commitments (and any Extended Revolving Credit Commitments related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Transactions</w:t>
      </w:r>
      <w:r>
        <w:rPr>
          <w:rFonts w:ascii="Arial" w:cs="Arial" w:eastAsia="Arial" w:hAnsi="Arial"/>
          <w:sz w:val="18"/>
          <w:szCs w:val="18"/>
          <w:color w:val="auto"/>
        </w:rPr>
        <w:t>” shall mean the “Transactions” (as defined in the Original Credit Agreement).</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Taxes</w:t>
      </w:r>
      <w:r>
        <w:rPr>
          <w:rFonts w:ascii="Arial" w:cs="Arial" w:eastAsia="Arial" w:hAnsi="Arial"/>
          <w:sz w:val="17"/>
          <w:szCs w:val="17"/>
          <w:color w:val="auto"/>
        </w:rPr>
        <w:t xml:space="preserve">” 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or otherwise with respect to, this Agreement or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term shall not include (i) any Taxes that result from an assignment, grant of a participation pursuant to </w:t>
      </w:r>
      <w:r>
        <w:rPr>
          <w:rFonts w:ascii="Arial" w:cs="Arial" w:eastAsia="Arial" w:hAnsi="Arial"/>
          <w:sz w:val="17"/>
          <w:szCs w:val="17"/>
          <w:u w:val="single" w:color="auto"/>
          <w:color w:val="auto"/>
        </w:rPr>
        <w:t>Section 13.6(c)</w:t>
      </w:r>
      <w:r>
        <w:rPr>
          <w:rFonts w:ascii="Arial" w:cs="Arial" w:eastAsia="Arial" w:hAnsi="Arial"/>
          <w:sz w:val="17"/>
          <w:szCs w:val="17"/>
          <w:color w:val="auto"/>
        </w:rPr>
        <w:t xml:space="preserve"> or transfer or assignment to or designation of a new lending office or other office for receiving payments under any Credit Document (“</w:t>
      </w:r>
      <w:r>
        <w:rPr>
          <w:rFonts w:ascii="Arial" w:cs="Arial" w:eastAsia="Arial" w:hAnsi="Arial"/>
          <w:sz w:val="17"/>
          <w:szCs w:val="17"/>
          <w:b w:val="1"/>
          <w:bCs w:val="1"/>
          <w:color w:val="auto"/>
        </w:rPr>
        <w:t>Assignment Taxes</w:t>
      </w:r>
      <w:r>
        <w:rPr>
          <w:rFonts w:ascii="Arial" w:cs="Arial" w:eastAsia="Arial" w:hAnsi="Arial"/>
          <w:sz w:val="17"/>
          <w:szCs w:val="17"/>
          <w:color w:val="auto"/>
        </w:rPr>
        <w:t>”) to the extent such Assignment Taxes are imposed as a result of a connection between the assignor/participating Lender and/or the assignee/Participant and the taxing jurisdiction (other than a connection arising solely from any Credit Documents or any transactions contemplated thereunder), except to the extent that any such action described in this proviso is requested or required by the Borrower or Holdings or (ii) Excluded Taxes.</w:t>
      </w:r>
    </w:p>
    <w:p>
      <w:pPr>
        <w:spacing w:after="0" w:line="172" w:lineRule="exact"/>
        <w:rPr>
          <w:sz w:val="20"/>
          <w:szCs w:val="20"/>
          <w:color w:val="auto"/>
        </w:rPr>
      </w:pPr>
    </w:p>
    <w:p>
      <w:pPr>
        <w:ind w:right="5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Rate</w:t>
      </w:r>
      <w:r>
        <w:rPr>
          <w:rFonts w:ascii="Arial" w:cs="Arial" w:eastAsia="Arial" w:hAnsi="Arial"/>
          <w:sz w:val="18"/>
          <w:szCs w:val="18"/>
          <w:color w:val="auto"/>
        </w:rPr>
        <w:t>” shall mean, for any day, the greater of (a) the Federal Funds Effective Rate and (b) an overnight rate determined by the Administrative Agent, the Letter of Credit Issuer, or the Swingline Lender, as the case may be, in accordance with banking industry rules on interbank compensation.</w:t>
      </w:r>
    </w:p>
    <w:p>
      <w:pPr>
        <w:spacing w:after="0" w:line="17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shall mean National Vision Holdings, Inc. or any other Person that is a direct or indirect parent company (which may be organized as, among other things, a partnership) of Holdings and/or the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13.6(c)(ii)</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shall mean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13.18</w:t>
      </w:r>
      <w:r>
        <w:rPr>
          <w:rFonts w:ascii="Arial" w:cs="Arial" w:eastAsia="Arial" w:hAnsi="Arial"/>
          <w:sz w:val="18"/>
          <w:szCs w:val="18"/>
          <w:color w:val="auto"/>
        </w:rPr>
        <w:t>.</w:t>
      </w:r>
    </w:p>
    <w:p>
      <w:pPr>
        <w:spacing w:after="0" w:line="225"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and any successor entity performing similar functions.</w:t>
      </w:r>
    </w:p>
    <w:p>
      <w:pPr>
        <w:spacing w:after="0" w:line="162"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any employee benefit pension plan (as defined in Section 3(2) of ERISA, but excluding any Multiemployer Plan) in respect of which any Credit Party or any ERISA Affiliate is (or, if such plan were terminated, would under Section 4062 or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definition of “Permitted Investment”.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Swap</w:t>
      </w:r>
      <w:r>
        <w:rPr>
          <w:rFonts w:ascii="Arial" w:cs="Arial" w:eastAsia="Arial" w:hAnsi="Arial"/>
          <w:sz w:val="18"/>
          <w:szCs w:val="18"/>
          <w:color w:val="auto"/>
        </w:rPr>
        <w:t xml:space="preserve">” shall mean the concurrent purchase and sale or exchange of Related Business Assets or a combination of Related Business Assets and cash or Cash Equivalents between Holdings or a Restricted Subsidiary and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cash or Cash Equivalents received must be applied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71" w:name="page72"/>
    <w:bookmarkEnd w:id="71"/>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Holders</w:t>
      </w:r>
      <w:r>
        <w:rPr>
          <w:rFonts w:ascii="Arial" w:cs="Arial" w:eastAsia="Arial" w:hAnsi="Arial"/>
          <w:sz w:val="17"/>
          <w:szCs w:val="17"/>
          <w:color w:val="auto"/>
        </w:rPr>
        <w:t xml:space="preserve">” shall mean each of (i) the Initial Investors and their respective Affiliates (other than any portfolio company of an Initial Investor) and members of management of Holdings or the Borrower (or any Parent Entity) who are holders of Equity Interests of Holdings (or any Parent Entity) on the Restatement Effective Date and any group (within the meaning of Section 13(d)(3) or Section 14(d)(2) of the Exchange Act or any successor provision) of which any of the foregoing are members;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such group and without giving effect to the existence of such group or any other group, such Initial Investors, their respective Affiliates (other than any portfolio company of an Initial Investor) and members of management, collectively, have beneficial ownership of more than 50% of the total voting power of the Voting Stock of Holdings or any Parent Entity and (ii) any Parent Entity formed not in connection with, or in contemplation of, a transaction (other than the Original Transactions) that, assuming such parent was not formed, after giving effect thereto would constitute a Change of Control.</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shall mean:</w:t>
      </w:r>
    </w:p>
    <w:p>
      <w:pPr>
        <w:spacing w:after="0" w:line="229" w:lineRule="exact"/>
        <w:rPr>
          <w:sz w:val="20"/>
          <w:szCs w:val="20"/>
          <w:color w:val="auto"/>
        </w:rPr>
      </w:pPr>
    </w:p>
    <w:p>
      <w:pPr>
        <w:jc w:val="both"/>
        <w:ind w:left="660" w:right="100" w:firstLine="645"/>
        <w:spacing w:after="0" w:line="259" w:lineRule="auto"/>
        <w:tabs>
          <w:tab w:leader="none" w:pos="19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any Investment in Holdings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Investments made by the Borrower and the Guarantors in Restricted Subsidiaries that are not the Borrower or a Guarantor shall not, at any time, exceed the greater of (x) $50.0 million and (y) 25% of Consolidated EBITDA for the most recently ended Test Period (calculated on a Pro Forma Basis) at the time of such Investment;</w:t>
      </w:r>
    </w:p>
    <w:p>
      <w:pPr>
        <w:spacing w:after="0" w:line="186" w:lineRule="exact"/>
        <w:rPr>
          <w:rFonts w:ascii="Arial" w:cs="Arial" w:eastAsia="Arial" w:hAnsi="Arial"/>
          <w:sz w:val="18"/>
          <w:szCs w:val="18"/>
          <w:color w:val="auto"/>
        </w:rPr>
      </w:pPr>
    </w:p>
    <w:p>
      <w:pPr>
        <w:ind w:left="1920" w:hanging="615"/>
        <w:spacing w:after="0"/>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Investment in cash, Cash Equivalents, or Investment Grade Securities at the time such Investment is made;</w:t>
      </w:r>
    </w:p>
    <w:p>
      <w:pPr>
        <w:spacing w:after="0" w:line="225" w:lineRule="exact"/>
        <w:rPr>
          <w:rFonts w:ascii="Arial" w:cs="Arial" w:eastAsia="Arial" w:hAnsi="Arial"/>
          <w:sz w:val="18"/>
          <w:szCs w:val="18"/>
          <w:color w:val="auto"/>
        </w:rPr>
      </w:pPr>
    </w:p>
    <w:p>
      <w:pPr>
        <w:ind w:left="660" w:firstLine="645"/>
        <w:spacing w:after="0" w:line="289" w:lineRule="auto"/>
        <w:tabs>
          <w:tab w:leader="none" w:pos="193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Investment by Holdings or any Restricted Subsidiary in a Person that is engaged in a Similar Business if as a result of such Investment (a “</w:t>
      </w:r>
      <w:r>
        <w:rPr>
          <w:rFonts w:ascii="Arial" w:cs="Arial" w:eastAsia="Arial" w:hAnsi="Arial"/>
          <w:sz w:val="16"/>
          <w:szCs w:val="16"/>
          <w:b w:val="1"/>
          <w:bCs w:val="1"/>
          <w:color w:val="auto"/>
        </w:rPr>
        <w:t>Permitted Acquisition</w:t>
      </w:r>
      <w:r>
        <w:rPr>
          <w:rFonts w:ascii="Arial" w:cs="Arial" w:eastAsia="Arial" w:hAnsi="Arial"/>
          <w:sz w:val="16"/>
          <w:szCs w:val="16"/>
          <w:color w:val="auto"/>
        </w:rPr>
        <w:t xml:space="preserve">”), (1) such Person becomes a Restricted Subsidiary or (2) such Person, in one transaction or a series of related transactions, is merged, consolidated, or amalgamated with or into, or transfers or conveys substantially all of its assets to, or is liquidated into, Holdings or a Restricted Subsidiary, and, in each case, any Investment held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was not acquired by such Person in contemplation of such acquisition, merger, consolidation, or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outstanding amount of consideration (excluding any consideration resulting from the incurrence of Indebtedness, other than under the Revolving Credit Facility) paid by the Borrower and the Guarantors in connection with Permitted Acquisitions where the assets acquired are not owned directly by the Borrower or a Guarantor or any Restricted Subsidiary that is acquired does not become a Guarantor shall not, at any time, exceed the greater of (x) $50.0 million and (y) 25.0% of Consolidated EBITDA for the most recently ended Test Period (calculated on a Pro Forma Basis) at the time of such Investment;</w:t>
      </w:r>
    </w:p>
    <w:p>
      <w:pPr>
        <w:spacing w:after="0" w:line="166" w:lineRule="exact"/>
        <w:rPr>
          <w:rFonts w:ascii="Arial" w:cs="Arial" w:eastAsia="Arial" w:hAnsi="Arial"/>
          <w:sz w:val="16"/>
          <w:szCs w:val="16"/>
          <w:color w:val="auto"/>
        </w:rPr>
      </w:pPr>
    </w:p>
    <w:p>
      <w:pPr>
        <w:ind w:left="660" w:right="40" w:firstLine="645"/>
        <w:spacing w:after="0" w:line="308" w:lineRule="auto"/>
        <w:tabs>
          <w:tab w:leader="none" w:pos="19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any Investment in securities or other assets not constituting cash, Cash Equivalents, or Investment Grade Securities and received in connection with an Asset Sale made pursuant to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any other disposition of assets not constituting an Asset Sale;</w:t>
      </w:r>
    </w:p>
    <w:p>
      <w:pPr>
        <w:spacing w:after="0" w:line="146" w:lineRule="exact"/>
        <w:rPr>
          <w:rFonts w:ascii="Arial" w:cs="Arial" w:eastAsia="Arial" w:hAnsi="Arial"/>
          <w:sz w:val="17"/>
          <w:szCs w:val="17"/>
          <w:color w:val="auto"/>
        </w:rPr>
      </w:pPr>
    </w:p>
    <w:p>
      <w:pPr>
        <w:ind w:left="660" w:right="20" w:firstLine="645"/>
        <w:spacing w:after="0" w:line="273" w:lineRule="auto"/>
        <w:tabs>
          <w:tab w:leader="none" w:pos="1923"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 any Investment existing or contemplated on the Restatement Effective Date and, in each case, listed on </w:t>
      </w:r>
      <w:r>
        <w:rPr>
          <w:rFonts w:ascii="Arial" w:cs="Arial" w:eastAsia="Arial" w:hAnsi="Arial"/>
          <w:sz w:val="17"/>
          <w:szCs w:val="17"/>
          <w:u w:val="single" w:color="auto"/>
          <w:color w:val="auto"/>
        </w:rPr>
        <w:t>Schedule 10.5</w:t>
      </w:r>
      <w:r>
        <w:rPr>
          <w:rFonts w:ascii="Arial" w:cs="Arial" w:eastAsia="Arial" w:hAnsi="Arial"/>
          <w:sz w:val="17"/>
          <w:szCs w:val="17"/>
          <w:color w:val="auto"/>
        </w:rPr>
        <w:t xml:space="preserve"> and (b) Investments consisting of any modification, replacement, renewal, reinvestment, or extension of any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such Investment is not increased from the amount of such Investment on the Restatement Effective Date except pursuant to the terms of such Investment (including in respect of any unused commitment),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Restatement Effective Date;</w:t>
      </w:r>
    </w:p>
    <w:p>
      <w:pPr>
        <w:spacing w:after="0" w:line="178" w:lineRule="exact"/>
        <w:rPr>
          <w:rFonts w:ascii="Arial" w:cs="Arial" w:eastAsia="Arial" w:hAnsi="Arial"/>
          <w:sz w:val="17"/>
          <w:szCs w:val="17"/>
          <w:color w:val="auto"/>
        </w:rPr>
      </w:pPr>
    </w:p>
    <w:p>
      <w:pPr>
        <w:ind w:left="660" w:right="60" w:firstLine="645"/>
        <w:spacing w:after="0" w:line="279" w:lineRule="auto"/>
        <w:tabs>
          <w:tab w:leader="none" w:pos="19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Investment acquired by Holdings or any Restricted Subsidiary (a) in exchange for any other Investment or accounts receivable held by Holdings or any such Restricted Subsidiary in connection with or as a result of a bankruptcy, workout, reorganization, or recapitalization of Holdings of such other Investment or accounts receivable or (b) as a result of a foreclosure by Holdings or any Restricted Subsidiary with respect to any secured Investment or other transfer of title with respect to any secured Investment in default;</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72" w:name="page73"/>
    <w:bookmarkEnd w:id="72"/>
    <w:p>
      <w:pPr>
        <w:ind w:left="1324" w:hanging="675"/>
        <w:spacing w:after="0"/>
        <w:tabs>
          <w:tab w:leader="none" w:pos="1324"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Hedging Obligations permitted under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Cash Management Services;</w:t>
      </w:r>
    </w:p>
    <w:p>
      <w:pPr>
        <w:spacing w:after="0" w:line="225" w:lineRule="exact"/>
        <w:rPr>
          <w:rFonts w:ascii="Arial" w:cs="Arial" w:eastAsia="Arial" w:hAnsi="Arial"/>
          <w:sz w:val="18"/>
          <w:szCs w:val="18"/>
          <w:color w:val="auto"/>
        </w:rPr>
      </w:pPr>
    </w:p>
    <w:p>
      <w:pPr>
        <w:ind w:left="4" w:right="140" w:firstLine="645"/>
        <w:spacing w:after="0" w:line="254" w:lineRule="auto"/>
        <w:tabs>
          <w:tab w:leader="none" w:pos="1327"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any Investment in a Similar Business having an aggregate Fair Market Value, taken together with all other Investments made pursuant to this </w:t>
      </w:r>
      <w:r>
        <w:rPr>
          <w:rFonts w:ascii="Arial" w:cs="Arial" w:eastAsia="Arial" w:hAnsi="Arial"/>
          <w:sz w:val="18"/>
          <w:szCs w:val="18"/>
          <w:u w:val="single" w:color="auto"/>
          <w:color w:val="auto"/>
        </w:rPr>
        <w:t>clause (viii)</w:t>
      </w:r>
      <w:r>
        <w:rPr>
          <w:rFonts w:ascii="Arial" w:cs="Arial" w:eastAsia="Arial" w:hAnsi="Arial"/>
          <w:sz w:val="18"/>
          <w:szCs w:val="18"/>
          <w:color w:val="auto"/>
        </w:rPr>
        <w:t xml:space="preserve"> that are at that time outstanding, not to exceed the greater of (a) $45,000,000 and (b) 40.0%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Investment pursuant to this </w:t>
      </w:r>
      <w:r>
        <w:rPr>
          <w:rFonts w:ascii="Arial" w:cs="Arial" w:eastAsia="Arial" w:hAnsi="Arial"/>
          <w:sz w:val="18"/>
          <w:szCs w:val="18"/>
          <w:u w:val="single" w:color="auto"/>
          <w:color w:val="auto"/>
        </w:rPr>
        <w:t>clause (viii)</w:t>
      </w:r>
      <w:r>
        <w:rPr>
          <w:rFonts w:ascii="Arial" w:cs="Arial" w:eastAsia="Arial" w:hAnsi="Arial"/>
          <w:sz w:val="18"/>
          <w:szCs w:val="18"/>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(to the extent permitted thereby) and shall cease to have been made pursuant to this </w:t>
      </w:r>
      <w:r>
        <w:rPr>
          <w:rFonts w:ascii="Arial" w:cs="Arial" w:eastAsia="Arial" w:hAnsi="Arial"/>
          <w:sz w:val="18"/>
          <w:szCs w:val="18"/>
          <w:u w:val="single" w:color="auto"/>
          <w:color w:val="auto"/>
        </w:rPr>
        <w:t>clause (viii)</w:t>
      </w:r>
      <w:r>
        <w:rPr>
          <w:rFonts w:ascii="Arial" w:cs="Arial" w:eastAsia="Arial" w:hAnsi="Arial"/>
          <w:sz w:val="18"/>
          <w:szCs w:val="18"/>
          <w:color w:val="auto"/>
        </w:rPr>
        <w:t xml:space="preserve"> for so long as such Person continues to be a Restricted Subsidiary;</w:t>
      </w:r>
    </w:p>
    <w:p>
      <w:pPr>
        <w:spacing w:after="0" w:line="192" w:lineRule="exact"/>
        <w:rPr>
          <w:rFonts w:ascii="Arial" w:cs="Arial" w:eastAsia="Arial" w:hAnsi="Arial"/>
          <w:sz w:val="18"/>
          <w:szCs w:val="18"/>
          <w:color w:val="auto"/>
        </w:rPr>
      </w:pPr>
    </w:p>
    <w:p>
      <w:pPr>
        <w:ind w:left="4" w:right="100" w:firstLine="645"/>
        <w:spacing w:after="0" w:line="291" w:lineRule="auto"/>
        <w:tabs>
          <w:tab w:leader="none" w:pos="13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Investments the payment for which consists of Equity Interests of Holdings or any direct or indirect parent company of Holdings (exclusive of Disqualified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Equity Interests will not increase the amount available for Restricted Payments under </w:t>
      </w:r>
      <w:r>
        <w:rPr>
          <w:rFonts w:ascii="Arial" w:cs="Arial" w:eastAsia="Arial" w:hAnsi="Arial"/>
          <w:sz w:val="16"/>
          <w:szCs w:val="16"/>
          <w:u w:val="single" w:color="auto"/>
          <w:color w:val="auto"/>
        </w:rPr>
        <w:t>clause</w:t>
      </w:r>
    </w:p>
    <w:p>
      <w:pPr>
        <w:ind w:left="324" w:hanging="324"/>
        <w:spacing w:after="0"/>
        <w:tabs>
          <w:tab w:leader="none" w:pos="324" w:val="left"/>
        </w:tabs>
        <w:numPr>
          <w:ilvl w:val="0"/>
          <w:numId w:val="42"/>
        </w:numPr>
        <w:rPr>
          <w:rFonts w:ascii="Arial" w:cs="Arial" w:eastAsia="Arial" w:hAnsi="Arial"/>
          <w:sz w:val="18"/>
          <w:szCs w:val="18"/>
          <w:u w:val="single" w:color="auto"/>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10" w:lineRule="exact"/>
        <w:rPr>
          <w:rFonts w:ascii="Arial" w:cs="Arial" w:eastAsia="Arial" w:hAnsi="Arial"/>
          <w:sz w:val="18"/>
          <w:szCs w:val="18"/>
          <w:u w:val="single" w:color="auto"/>
          <w:color w:val="auto"/>
        </w:rPr>
      </w:pPr>
    </w:p>
    <w:p>
      <w:pPr>
        <w:ind w:left="1344" w:hanging="695"/>
        <w:spacing w:after="0"/>
        <w:tabs>
          <w:tab w:leader="none" w:pos="1344"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20" w:firstLine="645"/>
        <w:spacing w:after="0" w:line="277" w:lineRule="auto"/>
        <w:tabs>
          <w:tab w:leader="none" w:pos="13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permitted and made in accordance with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9.9</w:t>
      </w:r>
      <w:r>
        <w:rPr>
          <w:rFonts w:ascii="Arial" w:cs="Arial" w:eastAsia="Arial" w:hAnsi="Arial"/>
          <w:sz w:val="18"/>
          <w:szCs w:val="18"/>
          <w:color w:val="auto"/>
        </w:rPr>
        <w:t xml:space="preserve"> (except transactions described in clause (b) of such paragraph);</w:t>
      </w:r>
    </w:p>
    <w:p>
      <w:pPr>
        <w:spacing w:after="0" w:line="170" w:lineRule="exact"/>
        <w:rPr>
          <w:rFonts w:ascii="Arial" w:cs="Arial" w:eastAsia="Arial" w:hAnsi="Arial"/>
          <w:sz w:val="18"/>
          <w:szCs w:val="18"/>
          <w:color w:val="auto"/>
        </w:rPr>
      </w:pPr>
    </w:p>
    <w:p>
      <w:pPr>
        <w:ind w:left="4" w:right="320" w:firstLine="645"/>
        <w:spacing w:after="0" w:line="277" w:lineRule="auto"/>
        <w:tabs>
          <w:tab w:leader="none" w:pos="1367"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equipment, or other similar assets in the ordinary course of business;</w:t>
      </w:r>
    </w:p>
    <w:p>
      <w:pPr>
        <w:spacing w:after="0" w:line="170" w:lineRule="exact"/>
        <w:rPr>
          <w:rFonts w:ascii="Arial" w:cs="Arial" w:eastAsia="Arial" w:hAnsi="Arial"/>
          <w:sz w:val="18"/>
          <w:szCs w:val="18"/>
          <w:color w:val="auto"/>
        </w:rPr>
      </w:pPr>
    </w:p>
    <w:p>
      <w:pPr>
        <w:ind w:left="4" w:firstLine="645"/>
        <w:spacing w:after="0" w:line="290" w:lineRule="auto"/>
        <w:tabs>
          <w:tab w:leader="none" w:pos="1372"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additional Investments having an aggregate Fair Market Value, taken together with all other Investments made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that are at that time outstanding (without giving effect to the sale of an Unrestricted Subsidiary to the extent the proceeds of such sale do not consist of cash or marketable securities), not to exceed the greater of (a) $40,000,000 and (b) 35.0%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Investment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(to the extent permitted thereby) and shall cease to have been made pursuant to this </w:t>
      </w:r>
      <w:r>
        <w:rPr>
          <w:rFonts w:ascii="Arial" w:cs="Arial" w:eastAsia="Arial" w:hAnsi="Arial"/>
          <w:sz w:val="16"/>
          <w:szCs w:val="16"/>
          <w:u w:val="single" w:color="auto"/>
          <w:color w:val="auto"/>
        </w:rPr>
        <w:t>clause (xiii)</w:t>
      </w:r>
      <w:r>
        <w:rPr>
          <w:rFonts w:ascii="Arial" w:cs="Arial" w:eastAsia="Arial" w:hAnsi="Arial"/>
          <w:sz w:val="16"/>
          <w:szCs w:val="16"/>
          <w:color w:val="auto"/>
        </w:rPr>
        <w:t xml:space="preserve"> for so long as such Person continues to be a Restricted Subsidiary;</w:t>
      </w:r>
    </w:p>
    <w:p>
      <w:pPr>
        <w:spacing w:after="0" w:line="166" w:lineRule="exact"/>
        <w:rPr>
          <w:rFonts w:ascii="Arial" w:cs="Arial" w:eastAsia="Arial" w:hAnsi="Arial"/>
          <w:sz w:val="16"/>
          <w:szCs w:val="16"/>
          <w:color w:val="auto"/>
        </w:rPr>
      </w:pPr>
    </w:p>
    <w:p>
      <w:pPr>
        <w:ind w:left="4" w:right="60" w:firstLine="645"/>
        <w:spacing w:after="0" w:line="277" w:lineRule="auto"/>
        <w:tabs>
          <w:tab w:leader="none" w:pos="13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Investments relating to any Receivables Subsidiary that, in the good faith determination of the board of directors of Holdings, are necessary or advisable to effect a Receivables Facility or any repurchases in connection therewith;</w:t>
      </w:r>
    </w:p>
    <w:p>
      <w:pPr>
        <w:spacing w:after="0" w:line="170" w:lineRule="exact"/>
        <w:rPr>
          <w:rFonts w:ascii="Arial" w:cs="Arial" w:eastAsia="Arial" w:hAnsi="Arial"/>
          <w:sz w:val="18"/>
          <w:szCs w:val="18"/>
          <w:color w:val="auto"/>
        </w:rPr>
      </w:pPr>
    </w:p>
    <w:p>
      <w:pPr>
        <w:ind w:left="4" w:right="700" w:firstLine="645"/>
        <w:spacing w:after="0" w:line="342" w:lineRule="auto"/>
        <w:tabs>
          <w:tab w:leader="none" w:pos="1357" w:val="left"/>
        </w:tabs>
        <w:numPr>
          <w:ilvl w:val="1"/>
          <w:numId w:val="42"/>
        </w:numPr>
        <w:rPr>
          <w:rFonts w:ascii="Arial" w:cs="Arial" w:eastAsia="Arial" w:hAnsi="Arial"/>
          <w:sz w:val="16"/>
          <w:szCs w:val="16"/>
          <w:color w:val="auto"/>
        </w:rPr>
      </w:pPr>
      <w:r>
        <w:rPr>
          <w:rFonts w:ascii="Arial" w:cs="Arial" w:eastAsia="Arial" w:hAnsi="Arial"/>
          <w:sz w:val="16"/>
          <w:szCs w:val="16"/>
          <w:color w:val="auto"/>
        </w:rPr>
        <w:t>advances to, or guarantees of Indebtedness of, employees not in excess of the greater of (a) $10,000,000 and (b) 5.0% of Consolidated EBITDA for the most recently ended Test Period (calculated on a Pro Forma Basis) at the time of such Investment;</w:t>
      </w:r>
    </w:p>
    <w:p>
      <w:pPr>
        <w:spacing w:after="0" w:line="123" w:lineRule="exact"/>
        <w:rPr>
          <w:rFonts w:ascii="Arial" w:cs="Arial" w:eastAsia="Arial" w:hAnsi="Arial"/>
          <w:sz w:val="16"/>
          <w:szCs w:val="16"/>
          <w:color w:val="auto"/>
        </w:rPr>
      </w:pPr>
    </w:p>
    <w:p>
      <w:pPr>
        <w:ind w:left="4" w:firstLine="645"/>
        <w:spacing w:after="0" w:line="276" w:lineRule="auto"/>
        <w:tabs>
          <w:tab w:leader="none" w:pos="1362" w:val="left"/>
        </w:tabs>
        <w:numPr>
          <w:ilvl w:val="1"/>
          <w:numId w:val="42"/>
        </w:numPr>
        <w:rPr>
          <w:rFonts w:ascii="Arial" w:cs="Arial" w:eastAsia="Arial" w:hAnsi="Arial"/>
          <w:sz w:val="17"/>
          <w:szCs w:val="17"/>
          <w:color w:val="auto"/>
        </w:rPr>
      </w:pPr>
      <w:r>
        <w:rPr>
          <w:rFonts w:ascii="Arial" w:cs="Arial" w:eastAsia="Arial" w:hAnsi="Arial"/>
          <w:sz w:val="17"/>
          <w:szCs w:val="17"/>
          <w:color w:val="auto"/>
        </w:rPr>
        <w:t>(a)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Holdings or any direct or indirect parent company thereof and (b) promissory notes received from stockholders of Holdings, any direct or indirect parent company of Holdings or any Subsidiary in connection with the exercise of stock options in respect of the Equity Interests of Holdings, any direct or indirect parent company of Holdings and the Subsidiaries;</w:t>
      </w:r>
    </w:p>
    <w:p>
      <w:pPr>
        <w:spacing w:after="0" w:line="38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4"/>
          </w:cols>
          <w:pgMar w:left="896" w:top="908" w:right="279" w:bottom="1440" w:gutter="0" w:footer="0" w:header="0"/>
        </w:sectPr>
      </w:pPr>
    </w:p>
    <w:bookmarkStart w:id="73" w:name="page74"/>
    <w:bookmarkEnd w:id="73"/>
    <w:p>
      <w:pPr>
        <w:ind w:left="1360" w:hanging="715"/>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in the ordinary course of business;</w:t>
      </w:r>
    </w:p>
    <w:p>
      <w:pPr>
        <w:spacing w:after="0" w:line="225" w:lineRule="exact"/>
        <w:rPr>
          <w:rFonts w:ascii="Arial" w:cs="Arial" w:eastAsia="Arial" w:hAnsi="Arial"/>
          <w:sz w:val="18"/>
          <w:szCs w:val="18"/>
          <w:color w:val="auto"/>
        </w:rPr>
      </w:pPr>
    </w:p>
    <w:p>
      <w:pPr>
        <w:ind w:right="140" w:firstLine="645"/>
        <w:spacing w:after="0" w:line="308" w:lineRule="auto"/>
        <w:tabs>
          <w:tab w:leader="none" w:pos="1368"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46" w:lineRule="exact"/>
        <w:rPr>
          <w:rFonts w:ascii="Arial" w:cs="Arial" w:eastAsia="Arial" w:hAnsi="Arial"/>
          <w:sz w:val="17"/>
          <w:szCs w:val="17"/>
          <w:color w:val="auto"/>
        </w:rPr>
      </w:pPr>
    </w:p>
    <w:p>
      <w:pPr>
        <w:ind w:right="200" w:firstLine="645"/>
        <w:spacing w:after="0" w:line="277" w:lineRule="auto"/>
        <w:tabs>
          <w:tab w:leader="none" w:pos="13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non-cash Investments in connection with tax planning and reorganization activities;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activities, the security interests of the Lenders in the Collateral, taken as a whole, would not be materially impaired;</w:t>
      </w:r>
    </w:p>
    <w:p>
      <w:pPr>
        <w:spacing w:after="0" w:line="170" w:lineRule="exact"/>
        <w:rPr>
          <w:rFonts w:ascii="Arial" w:cs="Arial" w:eastAsia="Arial" w:hAnsi="Arial"/>
          <w:sz w:val="18"/>
          <w:szCs w:val="18"/>
          <w:color w:val="auto"/>
        </w:rPr>
      </w:pPr>
    </w:p>
    <w:p>
      <w:pPr>
        <w:ind w:right="80" w:firstLine="645"/>
        <w:spacing w:after="0" w:line="259"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in connection with obtaining, maintaining or renewing client, franchisee and customer contracts and loans or advances made to, and guarantees with respect to obligations of, independent eye care professionals (or to professional corporations owned by such professionals), franchisees, distributors, suppliers, licensors and licensees in the ordinary course of business;</w:t>
      </w:r>
    </w:p>
    <w:p>
      <w:pPr>
        <w:spacing w:after="0" w:line="186" w:lineRule="exact"/>
        <w:rPr>
          <w:rFonts w:ascii="Arial" w:cs="Arial" w:eastAsia="Arial" w:hAnsi="Arial"/>
          <w:sz w:val="18"/>
          <w:szCs w:val="18"/>
          <w:color w:val="auto"/>
        </w:rPr>
      </w:pPr>
    </w:p>
    <w:p>
      <w:pPr>
        <w:ind w:right="600" w:firstLine="645"/>
        <w:spacing w:after="0" w:line="277" w:lineRule="auto"/>
        <w:tabs>
          <w:tab w:leader="none" w:pos="13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licensing and contribution of Intellectual Property pursuant to joint marketing arrangements with other Persons, in the ordinary course of business;</w:t>
      </w:r>
    </w:p>
    <w:p>
      <w:pPr>
        <w:spacing w:after="0" w:line="170" w:lineRule="exact"/>
        <w:rPr>
          <w:rFonts w:ascii="Arial" w:cs="Arial" w:eastAsia="Arial" w:hAnsi="Arial"/>
          <w:sz w:val="18"/>
          <w:szCs w:val="18"/>
          <w:color w:val="auto"/>
        </w:rPr>
      </w:pPr>
    </w:p>
    <w:p>
      <w:pPr>
        <w:ind w:left="1360" w:hanging="715"/>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extent constituting Investments, transactions pursuant to the Wal-Mart Agreements;</w:t>
      </w:r>
    </w:p>
    <w:p>
      <w:pPr>
        <w:spacing w:after="0" w:line="225" w:lineRule="exact"/>
        <w:rPr>
          <w:rFonts w:ascii="Arial" w:cs="Arial" w:eastAsia="Arial" w:hAnsi="Arial"/>
          <w:sz w:val="18"/>
          <w:szCs w:val="18"/>
          <w:color w:val="auto"/>
        </w:rPr>
      </w:pPr>
    </w:p>
    <w:p>
      <w:pPr>
        <w:jc w:val="both"/>
        <w:ind w:right="60" w:firstLine="645"/>
        <w:spacing w:after="0" w:line="264" w:lineRule="auto"/>
        <w:tabs>
          <w:tab w:leader="none" w:pos="13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other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Event of Default shall have occurred and be continuing or would occur as a consequence thereof and (B) after giving Pro Forma Effect to such Investment the Consolidated Total Debt to Consolidated EBITDA Ratio is equal to or less than 3.25:1.00; and</w:t>
      </w:r>
    </w:p>
    <w:p>
      <w:pPr>
        <w:spacing w:after="0" w:line="181" w:lineRule="exact"/>
        <w:rPr>
          <w:rFonts w:ascii="Arial" w:cs="Arial" w:eastAsia="Arial" w:hAnsi="Arial"/>
          <w:sz w:val="18"/>
          <w:szCs w:val="18"/>
          <w:color w:val="auto"/>
        </w:rPr>
      </w:pPr>
    </w:p>
    <w:p>
      <w:pPr>
        <w:ind w:right="120" w:firstLine="645"/>
        <w:spacing w:after="0" w:line="259" w:lineRule="auto"/>
        <w:tabs>
          <w:tab w:leader="none" w:pos="13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Investments of a Subsidiary acquired after the Closing Date or of a Person merged or consolidated with any Subsidiary in accordance with this definition of “Permitted Investments”,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after the Closing Date to the extent that such investments were not made in contemplation of or in connection with such acquisition, merger or consolidation and were in existence on the date of such acquisition, merger or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mean, with respect to any Person:</w:t>
      </w:r>
    </w:p>
    <w:p>
      <w:pPr>
        <w:spacing w:after="0" w:line="229" w:lineRule="exact"/>
        <w:rPr>
          <w:sz w:val="20"/>
          <w:szCs w:val="20"/>
          <w:color w:val="auto"/>
        </w:rPr>
      </w:pPr>
    </w:p>
    <w:p>
      <w:pPr>
        <w:ind w:right="20" w:firstLine="645"/>
        <w:spacing w:after="0" w:line="276" w:lineRule="auto"/>
        <w:tabs>
          <w:tab w:leader="none" w:pos="1268" w:val="left"/>
        </w:tabs>
        <w:numPr>
          <w:ilvl w:val="0"/>
          <w:numId w:val="44"/>
        </w:numPr>
        <w:rPr>
          <w:rFonts w:ascii="Arial" w:cs="Arial" w:eastAsia="Arial" w:hAnsi="Arial"/>
          <w:sz w:val="17"/>
          <w:szCs w:val="17"/>
          <w:color w:val="auto"/>
        </w:rPr>
      </w:pPr>
      <w:r>
        <w:rPr>
          <w:rFonts w:ascii="Arial" w:cs="Arial" w:eastAsia="Arial" w:hAnsi="Arial"/>
          <w:sz w:val="17"/>
          <w:szCs w:val="17"/>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the payment of rent or deposits made to secure obligations arising from contractual or warranty refunds, in each case incurred in the ordinary course of business;</w:t>
      </w:r>
    </w:p>
    <w:p>
      <w:pPr>
        <w:spacing w:after="0" w:line="172" w:lineRule="exact"/>
        <w:rPr>
          <w:rFonts w:ascii="Arial" w:cs="Arial" w:eastAsia="Arial" w:hAnsi="Arial"/>
          <w:sz w:val="17"/>
          <w:szCs w:val="17"/>
          <w:color w:val="auto"/>
        </w:rPr>
      </w:pPr>
    </w:p>
    <w:p>
      <w:pPr>
        <w:jc w:val="both"/>
        <w:ind w:firstLine="645"/>
        <w:spacing w:after="0" w:line="279" w:lineRule="auto"/>
        <w:tabs>
          <w:tab w:leader="none" w:pos="1273" w:val="left"/>
        </w:tabs>
        <w:numPr>
          <w:ilvl w:val="0"/>
          <w:numId w:val="44"/>
        </w:numPr>
        <w:rPr>
          <w:rFonts w:ascii="Arial" w:cs="Arial" w:eastAsia="Arial" w:hAnsi="Arial"/>
          <w:sz w:val="17"/>
          <w:szCs w:val="17"/>
          <w:color w:val="auto"/>
        </w:rPr>
      </w:pPr>
      <w:r>
        <w:rPr>
          <w:rFonts w:ascii="Arial" w:cs="Arial" w:eastAsia="Arial" w:hAnsi="Arial"/>
          <w:sz w:val="17"/>
          <w:szCs w:val="17"/>
          <w:color w:val="auto"/>
        </w:rPr>
        <w:t>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38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74" w:name="page75"/>
    <w:bookmarkEnd w:id="74"/>
    <w:p>
      <w:pPr>
        <w:ind w:left="4" w:right="140" w:firstLine="645"/>
        <w:spacing w:after="0" w:line="302" w:lineRule="auto"/>
        <w:tabs>
          <w:tab w:leader="none" w:pos="1282"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Arial" w:cs="Arial" w:eastAsia="Arial" w:hAnsi="Arial"/>
          <w:sz w:val="16"/>
          <w:szCs w:val="16"/>
          <w:u w:val="single" w:color="auto"/>
          <w:color w:val="auto"/>
        </w:rPr>
        <w:t>Section 8.12</w:t>
      </w:r>
      <w:r>
        <w:rPr>
          <w:rFonts w:ascii="Arial" w:cs="Arial" w:eastAsia="Arial" w:hAnsi="Arial"/>
          <w:sz w:val="16"/>
          <w:szCs w:val="16"/>
          <w:color w:val="auto"/>
        </w:rPr>
        <w:t>, or for property taxes on property Holdings or one of its Subsidiaries has determined to abandon if the sole recourse for such tax, assessment, charge, levy, or claim is to such property;</w:t>
      </w:r>
    </w:p>
    <w:p>
      <w:pPr>
        <w:spacing w:after="0" w:line="154" w:lineRule="exact"/>
        <w:rPr>
          <w:rFonts w:ascii="Arial" w:cs="Arial" w:eastAsia="Arial" w:hAnsi="Arial"/>
          <w:sz w:val="16"/>
          <w:szCs w:val="16"/>
          <w:color w:val="auto"/>
        </w:rPr>
      </w:pPr>
    </w:p>
    <w:p>
      <w:pPr>
        <w:ind w:left="4" w:right="80" w:firstLine="645"/>
        <w:spacing w:after="0" w:line="264" w:lineRule="auto"/>
        <w:tabs>
          <w:tab w:leader="none" w:pos="1272" w:val="left"/>
        </w:tabs>
        <w:numPr>
          <w:ilvl w:val="1"/>
          <w:numId w:val="45"/>
        </w:numPr>
        <w:rPr>
          <w:rFonts w:ascii="Arial" w:cs="Arial" w:eastAsia="Arial" w:hAnsi="Arial"/>
          <w:sz w:val="18"/>
          <w:szCs w:val="18"/>
          <w:color w:val="auto"/>
        </w:rPr>
      </w:pPr>
      <w:r>
        <w:rPr>
          <w:rFonts w:ascii="Arial" w:cs="Arial" w:eastAsia="Arial" w:hAnsi="Arial"/>
          <w:sz w:val="18"/>
          <w:szCs w:val="18"/>
          <w:color w:val="auto"/>
        </w:rPr>
        <w:t>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spacing w:after="0" w:line="181" w:lineRule="exact"/>
        <w:rPr>
          <w:rFonts w:ascii="Arial" w:cs="Arial" w:eastAsia="Arial" w:hAnsi="Arial"/>
          <w:sz w:val="18"/>
          <w:szCs w:val="18"/>
          <w:color w:val="auto"/>
        </w:rPr>
      </w:pPr>
    </w:p>
    <w:p>
      <w:pPr>
        <w:ind w:left="4" w:firstLine="645"/>
        <w:spacing w:after="0" w:line="273" w:lineRule="auto"/>
        <w:tabs>
          <w:tab w:leader="none" w:pos="1267" w:val="left"/>
        </w:tabs>
        <w:numPr>
          <w:ilvl w:val="1"/>
          <w:numId w:val="45"/>
        </w:numPr>
        <w:rPr>
          <w:rFonts w:ascii="Arial" w:cs="Arial" w:eastAsia="Arial" w:hAnsi="Arial"/>
          <w:sz w:val="17"/>
          <w:szCs w:val="17"/>
          <w:color w:val="auto"/>
        </w:rPr>
      </w:pPr>
      <w:r>
        <w:rPr>
          <w:rFonts w:ascii="Arial" w:cs="Arial" w:eastAsia="Arial" w:hAnsi="Arial"/>
          <w:sz w:val="17"/>
          <w:szCs w:val="17"/>
          <w:color w:val="auto"/>
        </w:rPr>
        <w:t>minor survey exceptions, minor encumbrances, ground leases, easements, or reservations of, or rights of others for, licenses, 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78" w:lineRule="exact"/>
        <w:rPr>
          <w:rFonts w:ascii="Arial" w:cs="Arial" w:eastAsia="Arial" w:hAnsi="Arial"/>
          <w:sz w:val="17"/>
          <w:szCs w:val="17"/>
          <w:color w:val="auto"/>
        </w:rPr>
      </w:pPr>
    </w:p>
    <w:p>
      <w:pPr>
        <w:ind w:left="4" w:right="60" w:firstLine="645"/>
        <w:spacing w:after="0" w:line="282" w:lineRule="auto"/>
        <w:tabs>
          <w:tab w:leader="none" w:pos="1272"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to be outstanding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(l)(ii)</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(w)</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property or equipment (or assets affixed or appurtenant thereto) other than the property or equipment being financed or refinanced under such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replacements of such property, equipment or assets, and additions and accessions and in the case of multiple financings of equipment provided by any lender, other equipment financed by such lender; (b) in the case of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assets other than the assets owned by the Restricted Subsidiaries incurring such Indebtedness; (c) in the case of Liens securing Permitted Other Indebtedness Obligations that constitute First Lien Obligations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(1) in the case of the first such issuance of Permitted Other Indebtedness constituting First Lien Obligations, the Collateral Agent, the Administrative Agent and the representative for the holders of such Permitted Other Indebtedness Obligations shall have entered into the First Lien Intercreditor Agreement and (2) in the case of subsequent issuances of Permitted Other Indebtedness constituting First Lien Obligations, the representative for the holders of such Permitted Other Indebtedness Obligations shall have become a party to the First Lien Intercreditor Agreement in accordance with the terms thereof; and (d) in the case of Liens securing Permitted Other Indebtedness Obligations that do not constitute First Lien Obligations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w:t>
      </w:r>
    </w:p>
    <w:p>
      <w:pPr>
        <w:spacing w:after="0" w:line="12" w:lineRule="exact"/>
        <w:rPr>
          <w:rFonts w:ascii="Arial" w:cs="Arial" w:eastAsia="Arial" w:hAnsi="Arial"/>
          <w:sz w:val="16"/>
          <w:szCs w:val="16"/>
          <w:color w:val="auto"/>
        </w:rPr>
      </w:pPr>
    </w:p>
    <w:p>
      <w:pPr>
        <w:ind w:left="264" w:hanging="264"/>
        <w:spacing w:after="0"/>
        <w:tabs>
          <w:tab w:leader="none" w:pos="264"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case of subsequent issuances of Permitted Other Indebtedness that do not constitute First Lien Obligations, the representative for the</w:t>
      </w:r>
    </w:p>
    <w:p>
      <w:pPr>
        <w:spacing w:after="0" w:line="32" w:lineRule="exact"/>
        <w:rPr>
          <w:rFonts w:ascii="Arial" w:cs="Arial" w:eastAsia="Arial" w:hAnsi="Arial"/>
          <w:sz w:val="16"/>
          <w:szCs w:val="16"/>
          <w:color w:val="auto"/>
        </w:rPr>
      </w:pPr>
    </w:p>
    <w:p>
      <w:pPr>
        <w:ind w:left="4" w:right="60"/>
        <w:spacing w:after="0" w:line="302" w:lineRule="auto"/>
        <w:rPr>
          <w:rFonts w:ascii="Arial" w:cs="Arial" w:eastAsia="Arial" w:hAnsi="Arial"/>
          <w:sz w:val="16"/>
          <w:szCs w:val="16"/>
          <w:color w:val="auto"/>
        </w:rPr>
      </w:pPr>
      <w:r>
        <w:rPr>
          <w:rFonts w:ascii="Arial" w:cs="Arial" w:eastAsia="Arial" w:hAnsi="Arial"/>
          <w:sz w:val="16"/>
          <w:szCs w:val="16"/>
          <w:color w:val="auto"/>
        </w:rPr>
        <w:t>holders of such Permitted Other Indebtedness shall have become a party to the Second Lien Intercreditor Agreement in accordance with the terms thereof; without any further consent of the Lenders, the Administrative Agent and the Collateral Agent shall be authorized to execute and deliver on behalf of the Secured Parties the First Lien Intercreditor Agreement and the Second Lien Intercreditor Agreement contemplated by this clause (vi);</w:t>
      </w:r>
    </w:p>
    <w:p>
      <w:pPr>
        <w:spacing w:after="0" w:line="37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4"/>
          </w:cols>
          <w:pgMar w:left="896" w:top="909" w:right="279" w:bottom="1440" w:gutter="0" w:footer="0" w:header="0"/>
        </w:sectPr>
      </w:pPr>
    </w:p>
    <w:bookmarkStart w:id="75" w:name="page76"/>
    <w:bookmarkEnd w:id="75"/>
    <w:p>
      <w:pPr>
        <w:ind w:left="-540" w:right="40" w:firstLine="645"/>
        <w:spacing w:after="0" w:line="279" w:lineRule="auto"/>
        <w:tabs>
          <w:tab w:leader="none" w:pos="733"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other than with respect to Mortgaged Property, Liens existing on the Restatement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Lien securing Indebtedness or other obligations in excess of (a) $5,000,000 individually or (b) $10,000,000 in the aggregate (when taken together with all other Liens securing obligations outstanding in reliance on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that are not listed on </w:t>
      </w:r>
      <w:r>
        <w:rPr>
          <w:rFonts w:ascii="Arial" w:cs="Arial" w:eastAsia="Arial" w:hAnsi="Arial"/>
          <w:sz w:val="17"/>
          <w:szCs w:val="17"/>
          <w:u w:val="single" w:color="auto"/>
          <w:color w:val="auto"/>
        </w:rPr>
        <w:t>Schedule 10.2</w:t>
      </w:r>
      <w:r>
        <w:rPr>
          <w:rFonts w:ascii="Arial" w:cs="Arial" w:eastAsia="Arial" w:hAnsi="Arial"/>
          <w:sz w:val="17"/>
          <w:szCs w:val="17"/>
          <w:color w:val="auto"/>
        </w:rPr>
        <w:t xml:space="preserve">) shall only be permitted if set forth on </w:t>
      </w:r>
      <w:r>
        <w:rPr>
          <w:rFonts w:ascii="Arial" w:cs="Arial" w:eastAsia="Arial" w:hAnsi="Arial"/>
          <w:sz w:val="17"/>
          <w:szCs w:val="17"/>
          <w:u w:val="single" w:color="auto"/>
          <w:color w:val="auto"/>
        </w:rPr>
        <w:t>Schedule 10.2</w:t>
      </w:r>
      <w:r>
        <w:rPr>
          <w:rFonts w:ascii="Arial" w:cs="Arial" w:eastAsia="Arial" w:hAnsi="Arial"/>
          <w:sz w:val="17"/>
          <w:szCs w:val="17"/>
          <w:color w:val="auto"/>
        </w:rPr>
        <w:t>, and, in each case, any modifications, replacements, renewals, or extensions thereof;</w:t>
      </w:r>
    </w:p>
    <w:p>
      <w:pPr>
        <w:spacing w:after="0" w:line="171" w:lineRule="exact"/>
        <w:rPr>
          <w:rFonts w:ascii="Arial" w:cs="Arial" w:eastAsia="Arial" w:hAnsi="Arial"/>
          <w:sz w:val="17"/>
          <w:szCs w:val="17"/>
          <w:color w:val="auto"/>
        </w:rPr>
      </w:pPr>
    </w:p>
    <w:p>
      <w:pPr>
        <w:ind w:left="-540" w:firstLine="645"/>
        <w:spacing w:after="0" w:line="290" w:lineRule="auto"/>
        <w:tabs>
          <w:tab w:leader="none" w:pos="738"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Liens on property or shares of stock of a Person at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Liens are not created or incurred in connection with, or in contemplation of, such other Person becoming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Liens may not extend to any other property owned by Holdings or any 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66" w:lineRule="exact"/>
        <w:rPr>
          <w:rFonts w:ascii="Arial" w:cs="Arial" w:eastAsia="Arial" w:hAnsi="Arial"/>
          <w:sz w:val="16"/>
          <w:szCs w:val="16"/>
          <w:color w:val="auto"/>
        </w:rPr>
      </w:pPr>
    </w:p>
    <w:p>
      <w:pPr>
        <w:ind w:left="-540" w:firstLine="645"/>
        <w:spacing w:after="0" w:line="270" w:lineRule="auto"/>
        <w:tabs>
          <w:tab w:leader="none" w:pos="773"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Liens on property at the time Holdings or a Restricted Subsidiary acquired the property, including any acquisition by means of a merger or consolidation with or into Holdings or any Restricted Subsidiary or the designation of an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are not created or incurred in connection with, or in contemplation of, such acquisition, merger, consolidation, or designation;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Holdings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77" w:lineRule="exact"/>
        <w:rPr>
          <w:rFonts w:ascii="Arial" w:cs="Arial" w:eastAsia="Arial" w:hAnsi="Arial"/>
          <w:sz w:val="17"/>
          <w:szCs w:val="17"/>
          <w:color w:val="auto"/>
        </w:rPr>
      </w:pPr>
    </w:p>
    <w:p>
      <w:pPr>
        <w:ind w:left="-540" w:right="240" w:firstLine="645"/>
        <w:spacing w:after="0" w:line="277" w:lineRule="auto"/>
        <w:tabs>
          <w:tab w:leader="none" w:pos="7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of a Restricted Subsidiary owing to Holdings or another Restricted Subsidiary permitted to be incurred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40" w:right="480" w:firstLine="645"/>
        <w:spacing w:after="0" w:line="342" w:lineRule="auto"/>
        <w:tabs>
          <w:tab w:leader="none" w:pos="773" w:val="left"/>
        </w:tabs>
        <w:numPr>
          <w:ilvl w:val="0"/>
          <w:numId w:val="47"/>
        </w:numPr>
        <w:rPr>
          <w:rFonts w:ascii="Arial" w:cs="Arial" w:eastAsia="Arial" w:hAnsi="Arial"/>
          <w:sz w:val="16"/>
          <w:szCs w:val="16"/>
          <w:color w:val="auto"/>
        </w:rPr>
      </w:pPr>
      <w:r>
        <w:rPr>
          <w:rFonts w:ascii="Arial" w:cs="Arial" w:eastAsia="Arial" w:hAnsi="Arial"/>
          <w:sz w:val="16"/>
          <w:szCs w:val="16"/>
          <w:color w:val="auto"/>
        </w:rPr>
        <w:t>Liens securing Hedging Obligations and Cash Management Services so long as the related Indebtedness is, and is permitted hereunder to be, secured by a Lien on the same property securing such Hedging Obligations and Cash Management Services;</w:t>
      </w:r>
    </w:p>
    <w:p>
      <w:pPr>
        <w:spacing w:after="0" w:line="123" w:lineRule="exact"/>
        <w:rPr>
          <w:rFonts w:ascii="Arial" w:cs="Arial" w:eastAsia="Arial" w:hAnsi="Arial"/>
          <w:sz w:val="16"/>
          <w:szCs w:val="16"/>
          <w:color w:val="auto"/>
        </w:rPr>
      </w:pPr>
    </w:p>
    <w:p>
      <w:pPr>
        <w:ind w:left="-540" w:right="220" w:firstLine="645"/>
        <w:spacing w:after="0" w:line="264" w:lineRule="auto"/>
        <w:tabs>
          <w:tab w:leader="none" w:pos="7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81" w:lineRule="exact"/>
        <w:rPr>
          <w:rFonts w:ascii="Arial" w:cs="Arial" w:eastAsia="Arial" w:hAnsi="Arial"/>
          <w:sz w:val="18"/>
          <w:szCs w:val="18"/>
          <w:color w:val="auto"/>
        </w:rPr>
      </w:pPr>
    </w:p>
    <w:p>
      <w:pPr>
        <w:ind w:left="-540" w:right="140" w:firstLine="645"/>
        <w:spacing w:after="0" w:line="264" w:lineRule="auto"/>
        <w:tabs>
          <w:tab w:leader="none" w:pos="783"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leases, subleases, licenses, or sublicenses (including of Intellectual Property) granted to others in the ordinary course of business which do not materially interfere with the ordinary conduct of the business of Holdings or any Restricted Subsidiary and do not secure any Indebtedness;</w:t>
      </w:r>
    </w:p>
    <w:p>
      <w:pPr>
        <w:spacing w:after="0" w:line="181" w:lineRule="exact"/>
        <w:rPr>
          <w:rFonts w:ascii="Arial" w:cs="Arial" w:eastAsia="Arial" w:hAnsi="Arial"/>
          <w:sz w:val="18"/>
          <w:szCs w:val="18"/>
          <w:color w:val="auto"/>
        </w:rPr>
      </w:pPr>
    </w:p>
    <w:p>
      <w:pPr>
        <w:ind w:left="-540" w:firstLine="645"/>
        <w:spacing w:after="0" w:line="277" w:lineRule="auto"/>
        <w:tabs>
          <w:tab w:leader="none" w:pos="7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Holdings or any Restricted Subsidiary in the ordinary course of business;</w:t>
      </w:r>
    </w:p>
    <w:p>
      <w:pPr>
        <w:spacing w:after="0" w:line="170" w:lineRule="exact"/>
        <w:rPr>
          <w:rFonts w:ascii="Arial" w:cs="Arial" w:eastAsia="Arial" w:hAnsi="Arial"/>
          <w:sz w:val="18"/>
          <w:szCs w:val="18"/>
          <w:color w:val="auto"/>
        </w:rPr>
      </w:pPr>
    </w:p>
    <w:p>
      <w:pPr>
        <w:ind w:left="760" w:hanging="655"/>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in favor of Holdings, the Borrower, or any other Guarantor;</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60"/>
          </w:cols>
          <w:pgMar w:left="1440" w:top="909" w:right="299" w:bottom="1440" w:gutter="0" w:footer="0" w:header="0"/>
        </w:sectPr>
      </w:pPr>
    </w:p>
    <w:bookmarkStart w:id="76" w:name="page77"/>
    <w:bookmarkEnd w:id="76"/>
    <w:p>
      <w:pPr>
        <w:ind w:left="-540" w:right="440" w:firstLine="645"/>
        <w:spacing w:after="0" w:line="277" w:lineRule="auto"/>
        <w:tabs>
          <w:tab w:leader="none" w:pos="7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on equipment of Holdings or any Restricted Subsidiary granted in the ordinary course of business to Holdings’ or such Restricted Subsidiary’s client at which such equipment is located;</w:t>
      </w:r>
    </w:p>
    <w:p>
      <w:pPr>
        <w:spacing w:after="0" w:line="170" w:lineRule="exact"/>
        <w:rPr>
          <w:rFonts w:ascii="Arial" w:cs="Arial" w:eastAsia="Arial" w:hAnsi="Arial"/>
          <w:sz w:val="18"/>
          <w:szCs w:val="18"/>
          <w:color w:val="auto"/>
        </w:rPr>
      </w:pPr>
    </w:p>
    <w:p>
      <w:pPr>
        <w:ind w:left="780" w:hanging="675"/>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on accounts receivable and related assets incurred in connection with a Receivables Facility;</w:t>
      </w:r>
    </w:p>
    <w:p>
      <w:pPr>
        <w:spacing w:after="0" w:line="225" w:lineRule="exact"/>
        <w:rPr>
          <w:rFonts w:ascii="Arial" w:cs="Arial" w:eastAsia="Arial" w:hAnsi="Arial"/>
          <w:sz w:val="18"/>
          <w:szCs w:val="18"/>
          <w:color w:val="auto"/>
        </w:rPr>
      </w:pPr>
    </w:p>
    <w:p>
      <w:pPr>
        <w:ind w:left="-540" w:firstLine="645"/>
        <w:spacing w:after="0" w:line="254" w:lineRule="auto"/>
        <w:tabs>
          <w:tab w:leader="none" w:pos="7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Liens to secure any refinancing, refunding, extension, renewal, or replacement (or successive refinancing, refunding, extensions, renewals, or replacements) as a whole, or in part, of any Indebtedness secured by any Lien referred to in </w:t>
      </w:r>
      <w:r>
        <w:rPr>
          <w:rFonts w:ascii="Arial" w:cs="Arial" w:eastAsia="Arial" w:hAnsi="Arial"/>
          <w:sz w:val="18"/>
          <w:szCs w:val="18"/>
          <w:u w:val="single" w:color="auto"/>
          <w:color w:val="auto"/>
        </w:rPr>
        <w:t>clauses (vi)</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10.1(l)(ii)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(xv)</w:t>
      </w:r>
      <w:r>
        <w:rPr>
          <w:rFonts w:ascii="Arial" w:cs="Arial" w:eastAsia="Arial" w:hAnsi="Arial"/>
          <w:sz w:val="18"/>
          <w:szCs w:val="18"/>
          <w:color w:val="auto"/>
        </w:rPr>
        <w:t xml:space="preserve"> of this definition of “Permitted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new Lien shall be limited to all or part of the same property that secured the original Lien (plus improvements on such property), and (b) the Indebtedness secured by such Lien at such time is not increased to any amount greater than the sum of (1) the outstanding principal amount or, if greater, committed amount of the Indebtedness described under </w:t>
      </w:r>
      <w:r>
        <w:rPr>
          <w:rFonts w:ascii="Arial" w:cs="Arial" w:eastAsia="Arial" w:hAnsi="Arial"/>
          <w:sz w:val="18"/>
          <w:szCs w:val="18"/>
          <w:u w:val="single" w:color="auto"/>
          <w:color w:val="auto"/>
        </w:rPr>
        <w:t>clauses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(xv)</w:t>
      </w:r>
      <w:r>
        <w:rPr>
          <w:rFonts w:ascii="Arial" w:cs="Arial" w:eastAsia="Arial" w:hAnsi="Arial"/>
          <w:sz w:val="18"/>
          <w:szCs w:val="18"/>
          <w:color w:val="auto"/>
        </w:rPr>
        <w:t xml:space="preserve"> at the time the original Lien became a Permitted Lien under this Agreement, and (2) an amount necessary to pay any fees and expenses, including premiums and accrued and unpaid interest, related to such refinancing, refunding, extension, renewal, or replacement;</w:t>
      </w:r>
    </w:p>
    <w:p>
      <w:pPr>
        <w:spacing w:after="0" w:line="192" w:lineRule="exact"/>
        <w:rPr>
          <w:rFonts w:ascii="Arial" w:cs="Arial" w:eastAsia="Arial" w:hAnsi="Arial"/>
          <w:sz w:val="18"/>
          <w:szCs w:val="18"/>
          <w:color w:val="auto"/>
        </w:rPr>
      </w:pPr>
    </w:p>
    <w:p>
      <w:pPr>
        <w:ind w:left="-540" w:right="140" w:firstLine="645"/>
        <w:spacing w:after="0" w:line="277" w:lineRule="auto"/>
        <w:tabs>
          <w:tab w:leader="none" w:pos="7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deposits made or other security provided to secure liabilities to insurance carriers under insurance or self-insurance arrangements in the ordinary course of business;</w:t>
      </w:r>
    </w:p>
    <w:p>
      <w:pPr>
        <w:spacing w:after="0" w:line="170" w:lineRule="exact"/>
        <w:rPr>
          <w:rFonts w:ascii="Arial" w:cs="Arial" w:eastAsia="Arial" w:hAnsi="Arial"/>
          <w:sz w:val="18"/>
          <w:szCs w:val="18"/>
          <w:color w:val="auto"/>
        </w:rPr>
      </w:pPr>
    </w:p>
    <w:p>
      <w:pPr>
        <w:ind w:left="-540" w:right="180" w:firstLine="645"/>
        <w:spacing w:after="0" w:line="277" w:lineRule="auto"/>
        <w:tabs>
          <w:tab w:leader="none" w:pos="7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Liens securing obligations which do not exceed the greater of (a) $45,000,000 and (b) 40.0% of Consolidated EBITDA for the most recently ended Test Period (calculated on a Pro Forma Basis) at the time of the incurrence of such Lien;</w:t>
      </w:r>
    </w:p>
    <w:p>
      <w:pPr>
        <w:spacing w:after="0" w:line="170" w:lineRule="exact"/>
        <w:rPr>
          <w:rFonts w:ascii="Arial" w:cs="Arial" w:eastAsia="Arial" w:hAnsi="Arial"/>
          <w:sz w:val="18"/>
          <w:szCs w:val="18"/>
          <w:color w:val="auto"/>
        </w:rPr>
      </w:pPr>
    </w:p>
    <w:p>
      <w:pPr>
        <w:ind w:left="760" w:hanging="655"/>
        <w:spacing w:after="0"/>
        <w:tabs>
          <w:tab w:leader="none" w:pos="7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Liens securing judgments for the payment of money not constituting an Event of Default under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11.10</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540" w:right="320" w:firstLine="645"/>
        <w:spacing w:after="0" w:line="277" w:lineRule="auto"/>
        <w:tabs>
          <w:tab w:leader="none" w:pos="778"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540" w:right="100" w:firstLine="645"/>
        <w:spacing w:after="0" w:line="257" w:lineRule="auto"/>
        <w:tabs>
          <w:tab w:leader="none" w:pos="7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set-off) and which are within the general parameters customary in the banking or finance industry;</w:t>
      </w:r>
    </w:p>
    <w:p>
      <w:pPr>
        <w:spacing w:after="0" w:line="188" w:lineRule="exact"/>
        <w:rPr>
          <w:rFonts w:ascii="Arial" w:cs="Arial" w:eastAsia="Arial" w:hAnsi="Arial"/>
          <w:sz w:val="18"/>
          <w:szCs w:val="18"/>
          <w:color w:val="auto"/>
        </w:rPr>
      </w:pPr>
    </w:p>
    <w:p>
      <w:pPr>
        <w:ind w:left="-540" w:right="120" w:firstLine="645"/>
        <w:spacing w:after="0" w:line="277" w:lineRule="auto"/>
        <w:tabs>
          <w:tab w:leader="none" w:pos="7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extend to any assets other than those that are the subject of such repurchase agreement;</w:t>
      </w:r>
    </w:p>
    <w:p>
      <w:pPr>
        <w:spacing w:after="0" w:line="170" w:lineRule="exact"/>
        <w:rPr>
          <w:rFonts w:ascii="Arial" w:cs="Arial" w:eastAsia="Arial" w:hAnsi="Arial"/>
          <w:sz w:val="18"/>
          <w:szCs w:val="18"/>
          <w:color w:val="auto"/>
        </w:rPr>
      </w:pPr>
    </w:p>
    <w:p>
      <w:pPr>
        <w:ind w:left="-540" w:right="240" w:firstLine="645"/>
        <w:spacing w:after="0" w:line="308" w:lineRule="auto"/>
        <w:tabs>
          <w:tab w:leader="none" w:pos="768" w:val="left"/>
        </w:tabs>
        <w:numPr>
          <w:ilvl w:val="0"/>
          <w:numId w:val="48"/>
        </w:numPr>
        <w:rPr>
          <w:rFonts w:ascii="Arial" w:cs="Arial" w:eastAsia="Arial" w:hAnsi="Arial"/>
          <w:sz w:val="17"/>
          <w:szCs w:val="17"/>
          <w:color w:val="auto"/>
        </w:rPr>
      </w:pPr>
      <w:r>
        <w:rPr>
          <w:rFonts w:ascii="Arial" w:cs="Arial" w:eastAsia="Arial" w:hAnsi="Arial"/>
          <w:sz w:val="17"/>
          <w:szCs w:val="17"/>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46" w:lineRule="exact"/>
        <w:rPr>
          <w:rFonts w:ascii="Arial" w:cs="Arial" w:eastAsia="Arial" w:hAnsi="Arial"/>
          <w:sz w:val="17"/>
          <w:szCs w:val="17"/>
          <w:color w:val="auto"/>
        </w:rPr>
      </w:pPr>
    </w:p>
    <w:p>
      <w:pPr>
        <w:ind w:left="-540" w:right="160" w:firstLine="645"/>
        <w:spacing w:after="0" w:line="302" w:lineRule="auto"/>
        <w:tabs>
          <w:tab w:leader="none" w:pos="773" w:val="left"/>
        </w:tabs>
        <w:numPr>
          <w:ilvl w:val="0"/>
          <w:numId w:val="48"/>
        </w:numPr>
        <w:rPr>
          <w:rFonts w:ascii="Arial" w:cs="Arial" w:eastAsia="Arial" w:hAnsi="Arial"/>
          <w:sz w:val="16"/>
          <w:szCs w:val="16"/>
          <w:color w:val="auto"/>
        </w:rPr>
      </w:pPr>
      <w:r>
        <w:rPr>
          <w:rFonts w:ascii="Arial" w:cs="Arial" w:eastAsia="Arial" w:hAnsi="Arial"/>
          <w:sz w:val="16"/>
          <w:szCs w:val="16"/>
          <w:color w:val="auto"/>
        </w:rPr>
        <w:t>Liens that are contractual rights of set-off (a) relating to the establishment of depository relations with banks not given in connection with the issuance of Indebtedness, (b) relating to pooled deposit or sweep accounts of Holdings or any of the Restricted Subsidiaries to permit satisfaction of overdraft or similar obligations incurred in the ordinary course of business of Holdings and the Restricted Subsidiaries, or (c) relating to purchase orders and other agreements entered into by Holdings or any of the Restricted Subsidiaries in the ordinary course of business;</w:t>
      </w:r>
    </w:p>
    <w:p>
      <w:pPr>
        <w:spacing w:after="0" w:line="154" w:lineRule="exact"/>
        <w:rPr>
          <w:rFonts w:ascii="Arial" w:cs="Arial" w:eastAsia="Arial" w:hAnsi="Arial"/>
          <w:sz w:val="16"/>
          <w:szCs w:val="16"/>
          <w:color w:val="auto"/>
        </w:rPr>
      </w:pPr>
    </w:p>
    <w:p>
      <w:pPr>
        <w:ind w:left="-540" w:right="80" w:firstLine="645"/>
        <w:spacing w:after="0" w:line="264" w:lineRule="auto"/>
        <w:tabs>
          <w:tab w:leader="none" w:pos="778"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(a) solely on any cash earnest money deposits made by Holdings or any of the Restricted Subsidiaries in connection with any letter of intent or purchase agreement permitted under this Agreement or (b) consisting of an agreement to dispose of any property pursuant to a disposition permitted hereunder;</w:t>
      </w:r>
    </w:p>
    <w:p>
      <w:pPr>
        <w:spacing w:after="0" w:line="39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77" w:name="page78"/>
    <w:bookmarkEnd w:id="77"/>
    <w:p>
      <w:pPr>
        <w:ind w:left="660" w:firstLine="645"/>
        <w:spacing w:after="0" w:line="264" w:lineRule="auto"/>
        <w:tabs>
          <w:tab w:leader="none" w:pos="19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rights reserved or vested in any Person by the terms of any lease, license, franchise, grant, or permit held by Holdings or any of the Restricted Subsidiaries or by a statutory provision, to terminate any such lease, license, franchise, grant, or permit, or to require annual or periodic payments as a condition to the continuance thereof;</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restrictive covenants affecting the use to which real property may be put;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covenants are complied with;</w:t>
      </w:r>
    </w:p>
    <w:p>
      <w:pPr>
        <w:spacing w:after="0" w:line="236" w:lineRule="exact"/>
        <w:rPr>
          <w:rFonts w:ascii="Arial" w:cs="Arial" w:eastAsia="Arial" w:hAnsi="Arial"/>
          <w:sz w:val="17"/>
          <w:szCs w:val="17"/>
          <w:color w:val="auto"/>
        </w:rPr>
      </w:pPr>
    </w:p>
    <w:p>
      <w:pPr>
        <w:ind w:left="660" w:right="480" w:firstLine="645"/>
        <w:spacing w:after="0" w:line="277" w:lineRule="auto"/>
        <w:tabs>
          <w:tab w:leader="none" w:pos="20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security given to a public utility or any municipality or governmental authority when required by such utility or authority in connection with the operations of that Person in the ordinary course of business;</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20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zoning by-laws and other land use restrictions, including, without limitation, site plan agreements, development agreements, and contract zoning agreements;</w:t>
      </w:r>
    </w:p>
    <w:p>
      <w:pPr>
        <w:spacing w:after="0" w:line="170" w:lineRule="exact"/>
        <w:rPr>
          <w:rFonts w:ascii="Arial" w:cs="Arial" w:eastAsia="Arial" w:hAnsi="Arial"/>
          <w:sz w:val="18"/>
          <w:szCs w:val="18"/>
          <w:color w:val="auto"/>
        </w:rPr>
      </w:pPr>
    </w:p>
    <w:p>
      <w:pPr>
        <w:ind w:left="660" w:right="560" w:firstLine="645"/>
        <w:spacing w:after="0" w:line="277" w:lineRule="auto"/>
        <w:tabs>
          <w:tab w:leader="none" w:pos="20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Holdings or any Restricted Subsidiary in the ordinary course of business;</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arising under the Security Documents;</w:t>
      </w:r>
    </w:p>
    <w:p>
      <w:pPr>
        <w:spacing w:after="0" w:line="225" w:lineRule="exact"/>
        <w:rPr>
          <w:rFonts w:ascii="Arial" w:cs="Arial" w:eastAsia="Arial" w:hAnsi="Arial"/>
          <w:sz w:val="18"/>
          <w:szCs w:val="18"/>
          <w:color w:val="auto"/>
        </w:rPr>
      </w:pPr>
    </w:p>
    <w:p>
      <w:pPr>
        <w:ind w:left="660" w:right="240" w:firstLine="645"/>
        <w:spacing w:after="0" w:line="277" w:lineRule="auto"/>
        <w:tabs>
          <w:tab w:leader="none" w:pos="20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on goods purchased in the ordinary course of business the purchase price of which is financed by a documentary letter of credit issued for the account of Holdings, the Borrower or any of their Subsidiaries;</w:t>
      </w:r>
    </w:p>
    <w:p>
      <w:pPr>
        <w:spacing w:after="0" w:line="170" w:lineRule="exact"/>
        <w:rPr>
          <w:rFonts w:ascii="Arial" w:cs="Arial" w:eastAsia="Arial" w:hAnsi="Arial"/>
          <w:sz w:val="18"/>
          <w:szCs w:val="18"/>
          <w:color w:val="auto"/>
        </w:rPr>
      </w:pPr>
    </w:p>
    <w:p>
      <w:pPr>
        <w:jc w:val="both"/>
        <w:ind w:left="660" w:right="100" w:firstLine="645"/>
        <w:spacing w:after="0" w:line="286" w:lineRule="auto"/>
        <w:tabs>
          <w:tab w:leader="none" w:pos="2013"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 Liens on Equity Interests in joint ventures;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 is in favor of a creditor of such joint venture and such creditor is not an Affiliate of any partner to such joint venture and (b) purchase options, call, and similar rights of, and restrictions for the benefit of, a third party with respect to Equity Interests held by Holdings or any Restricted Subsidiary in joint ventures;</w:t>
      </w:r>
    </w:p>
    <w:p>
      <w:pPr>
        <w:spacing w:after="0" w:line="165" w:lineRule="exact"/>
        <w:rPr>
          <w:rFonts w:ascii="Arial" w:cs="Arial" w:eastAsia="Arial" w:hAnsi="Arial"/>
          <w:sz w:val="17"/>
          <w:szCs w:val="17"/>
          <w:color w:val="auto"/>
        </w:rPr>
      </w:pPr>
    </w:p>
    <w:p>
      <w:pPr>
        <w:ind w:left="660" w:right="40" w:firstLine="645"/>
        <w:spacing w:after="0" w:line="276" w:lineRule="auto"/>
        <w:tabs>
          <w:tab w:leader="none" w:pos="20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Liens on cash and Cash Equivalents that are earmarked to be used to satisfy or discharge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spacing w:after="0" w:line="172" w:lineRule="exact"/>
        <w:rPr>
          <w:rFonts w:ascii="Arial" w:cs="Arial" w:eastAsia="Arial" w:hAnsi="Arial"/>
          <w:sz w:val="17"/>
          <w:szCs w:val="17"/>
          <w:color w:val="auto"/>
        </w:rPr>
      </w:pPr>
    </w:p>
    <w:p>
      <w:pPr>
        <w:ind w:left="2020" w:hanging="71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any Foreign Subsidiary, other Liens and privileges arising mandatorily by any Requirement of Law;</w:t>
      </w:r>
    </w:p>
    <w:p>
      <w:pPr>
        <w:spacing w:after="0" w:line="225" w:lineRule="exact"/>
        <w:rPr>
          <w:rFonts w:ascii="Arial" w:cs="Arial" w:eastAsia="Arial" w:hAnsi="Arial"/>
          <w:sz w:val="18"/>
          <w:szCs w:val="18"/>
          <w:color w:val="auto"/>
        </w:rPr>
      </w:pPr>
    </w:p>
    <w:p>
      <w:pPr>
        <w:ind w:left="660" w:right="260" w:firstLine="645"/>
        <w:spacing w:after="0" w:line="286" w:lineRule="auto"/>
        <w:tabs>
          <w:tab w:leader="none" w:pos="202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the extent pursuant to a Requirements of Law, Liens on cash or Permitted Investments securing Swap Obligations in the ordinary course of business; and Liens on the assets of a Managed Care Subsidiary pursuant to applicable rules, or regulations of, or undertakings made to, any Governmental Authority having jurisdiction and authority over such Managed Care Subsidiary; and</w:t>
      </w:r>
    </w:p>
    <w:p>
      <w:pPr>
        <w:spacing w:after="0" w:line="165" w:lineRule="exact"/>
        <w:rPr>
          <w:rFonts w:ascii="Arial" w:cs="Arial" w:eastAsia="Arial" w:hAnsi="Arial"/>
          <w:sz w:val="17"/>
          <w:szCs w:val="17"/>
          <w:color w:val="auto"/>
        </w:rPr>
      </w:pPr>
    </w:p>
    <w:p>
      <w:pPr>
        <w:ind w:left="2020" w:hanging="715"/>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Liens arising pursuant to the Wal-Mart Agreements.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purposes of this definition, the term :Indebtedness” shall be deemed to include interest on, and fees, expenses and other obligations payable with respect to, such Indebtedness.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8" w:name="page79"/>
    <w:bookmarkEnd w:id="78"/>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Other Indebtedness</w:t>
      </w:r>
      <w:r>
        <w:rPr>
          <w:rFonts w:ascii="Arial" w:cs="Arial" w:eastAsia="Arial" w:hAnsi="Arial"/>
          <w:sz w:val="17"/>
          <w:szCs w:val="17"/>
          <w:color w:val="auto"/>
        </w:rPr>
        <w:t xml:space="preserve">” shall mean subordinated or senior Indebtedness (which Indebtedness may (i) be unsecured, (ii) have the same lien priority as the First Lien Obligations (without regard to control of remedies); provided such Permitted Other Indebtedness is in the form of secured first lien notes, or (iii) be secured by a Lien ranking junior to the Lien securing the First Lien Obligations), in each case issued or incurred by the Borrower or other Guarantor, (a) the terms of which do not provide for any scheduled repayment, mandatory repayment, or redemption or sinking fund obligations prior to, at the time of incurrence, the Latest Maturity Date (other than, in each case, customary offers or obligations to repurchase upon a change of control, asset sale, or casualty or condemnation event, AHYDO payments and customary acceleration rights after an event of default), (b) the covenants, taken as a whole, are not more restrictive to the Borrower and the other Restricted Subsidiaries than those herein (taken as a whole) (except for covenants applicable only to periods after the Latest Maturity Date at the time of such refinancing)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the Lenders or (2) no consent shall be required by the Administrative Agent or any of the Lenders if any covenants are only applicable after the Latest Maturity Date at the time of such refinancing);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 (c) of which no Subsidiary of Holdings (other than the Borrower or a Guarantor) is an obligor, and (d) that, if secured, is not secured by a lien any assets other than the Collateral.</w:t>
      </w:r>
    </w:p>
    <w:p>
      <w:pPr>
        <w:spacing w:after="0" w:line="177"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Documents</w:t>
      </w:r>
      <w:r>
        <w:rPr>
          <w:rFonts w:ascii="Arial" w:cs="Arial" w:eastAsia="Arial" w:hAnsi="Arial"/>
          <w:sz w:val="18"/>
          <w:szCs w:val="18"/>
          <w:color w:val="auto"/>
        </w:rPr>
        <w:t>” shall mean any document or instrument (including any guarantee, security agreement, or mortgage and which may include any or all of the Credit Documents) issued or executed and delivered with respect to any Permitted Other Indebtedness by any Credit Party.</w:t>
      </w:r>
    </w:p>
    <w:p>
      <w:pPr>
        <w:spacing w:after="0" w:line="17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Other Indebtedness Obligations</w:t>
      </w:r>
      <w:r>
        <w:rPr>
          <w:rFonts w:ascii="Arial" w:cs="Arial" w:eastAsia="Arial" w:hAnsi="Arial"/>
          <w:sz w:val="17"/>
          <w:szCs w:val="17"/>
          <w:color w:val="auto"/>
        </w:rPr>
        <w:t>” shall mean, if any Permitted Other Indebtedness is issued or incurred, all advances to, and debts, liabilities, obligations, covenants, and duties of,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Credit Party under any Permitted Other Indebtedness Document.</w:t>
      </w:r>
    </w:p>
    <w:p>
      <w:pPr>
        <w:spacing w:after="0" w:line="174"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Secured Parties</w:t>
      </w:r>
      <w:r>
        <w:rPr>
          <w:rFonts w:ascii="Arial" w:cs="Arial" w:eastAsia="Arial" w:hAnsi="Arial"/>
          <w:sz w:val="18"/>
          <w:szCs w:val="18"/>
          <w:color w:val="auto"/>
        </w:rPr>
        <w:t>” shall mean the holders from time to time of secured Permitted Other Indebtedness Obligations (and any representative on their behalf).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Provision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Sale Leaseback</w:t>
      </w:r>
      <w:r>
        <w:rPr>
          <w:rFonts w:ascii="Arial" w:cs="Arial" w:eastAsia="Arial" w:hAnsi="Arial"/>
          <w:sz w:val="17"/>
          <w:szCs w:val="17"/>
          <w:color w:val="auto"/>
        </w:rPr>
        <w:t xml:space="preserve">” shall mean any Sale Leaseback consummated by Holdings or any of the Restricted Subsidiaries after the Restatement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Sale Leaseback not between Holdings and a Restricted Subsidiary is consummated for fair value as determined at the time of consummation in good faith by (i) Holdings or such Restricted Subsidiary or (ii) in the case of any Sale Leaseback (or series of related Sales Leasebacks) the aggregate proceeds of which exceed the greater of (a) $40,000,000 and (b) 35.0% of Consolidated EBITDA for the most recently ended Test Period (calculated on a Pro Forma Basis) at the time of the incurrence of such Sale Leaseback, the board of directors (or analogous governing body) of Holdings or such Restricted Subsidiary (which such determination may take into account any retained interest or other Investment of Holdings or such Restricted Subsidiary in connection with, and any other material economic terms of, such Sale Leaseback).</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9" w:name="page80"/>
    <w:bookmarkEnd w:id="79"/>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partnership, joint venture, firm, corporation, limited liability company, association, trust, or other enterprise or any Governmental Authority.</w:t>
      </w:r>
    </w:p>
    <w:p>
      <w:pPr>
        <w:spacing w:after="0" w:line="16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other than any Multiemployer Plan,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any ERISA Affiliate is (or, if such plan were terminated, would under Section 4062 or Section 4069 of ERISA be reasonably likely to be deemed to be) an “employer” as defined in Section 3(5)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13.17(a)</w:t>
      </w:r>
      <w:r>
        <w:rPr>
          <w:rFonts w:ascii="Arial" w:cs="Arial" w:eastAsia="Arial" w:hAnsi="Arial"/>
          <w:sz w:val="18"/>
          <w:szCs w:val="18"/>
          <w:color w:val="auto"/>
        </w:rPr>
        <w:t>.</w:t>
      </w:r>
    </w:p>
    <w:p>
      <w:pPr>
        <w:spacing w:after="0" w:line="225"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shall mean the Pledge Agreement, dated as of the Closing Date, entered into by the Credit Parties party thereto and the Collateral Agent for the benefit of the Secured Parties.</w:t>
      </w:r>
    </w:p>
    <w:p>
      <w:pPr>
        <w:spacing w:after="0" w:line="162" w:lineRule="exact"/>
        <w:rPr>
          <w:sz w:val="20"/>
          <w:szCs w:val="20"/>
          <w:color w:val="auto"/>
        </w:rPr>
      </w:pPr>
    </w:p>
    <w:p>
      <w:pPr>
        <w:jc w:val="both"/>
        <w:ind w:right="2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Post-Acquisition Period</w:t>
      </w:r>
      <w:r>
        <w:rPr>
          <w:rFonts w:ascii="Arial" w:cs="Arial" w:eastAsia="Arial" w:hAnsi="Arial"/>
          <w:sz w:val="18"/>
          <w:szCs w:val="18"/>
          <w:color w:val="auto"/>
        </w:rPr>
        <w:t>” shall mean, with respect to any Permitted Acquisition, the period beginning on the date such Permitted Acquisition is consummated and ending on the last day of the sixth full consecutive fiscal quarter immediately following the date on which such Permitted Acquisition is consummated.</w:t>
      </w:r>
    </w:p>
    <w:p>
      <w:pPr>
        <w:spacing w:after="0" w:line="176"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Event</w:t>
      </w:r>
      <w:r>
        <w:rPr>
          <w:rFonts w:ascii="Arial" w:cs="Arial" w:eastAsia="Arial" w:hAnsi="Arial"/>
          <w:sz w:val="18"/>
          <w:szCs w:val="18"/>
          <w:color w:val="auto"/>
        </w:rPr>
        <w:t>” shall mean any Asset Sale Prepayment Event, Debt Incurrence Prepayment Event, Casualty Event, or any Permitted Sale Leaseback.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obligor</w:t>
      </w:r>
      <w:r>
        <w:rPr>
          <w:rFonts w:ascii="Arial" w:cs="Arial" w:eastAsia="Arial" w:hAnsi="Arial"/>
          <w:sz w:val="18"/>
          <w:szCs w:val="18"/>
          <w:color w:val="auto"/>
        </w:rPr>
        <w:t>” shall have the meaning provided such term in the definition of “Contingent Obligations”.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Adjustment</w:t>
      </w:r>
      <w:r>
        <w:rPr>
          <w:rFonts w:ascii="Arial" w:cs="Arial" w:eastAsia="Arial" w:hAnsi="Arial"/>
          <w:sz w:val="16"/>
          <w:szCs w:val="16"/>
          <w:color w:val="auto"/>
        </w:rPr>
        <w:t xml:space="preserve">” shall mean, for any Test Period that includes all or any part of a fiscal quarter included in any Post-Acquisition Period, with respect to the Acquired EBITDA of the applicable Acquired Entity or Business or Converted Restricted Subsidiary or the Consolidated EBITDA of Holdings, the pro forma increase or decrease in such Acquired EBITDA or such Consolidated EBITDA, as the case may be, projected by Holdings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Holdings and the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at the election of Holdings,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 and (ii) the aggregate increase to Consolidated EBITDA for any period pursuant to this definition and clauses (i)(i), (i)(q) and (i)(r) of the definition of “Consolidated EBITDA” shall not exceed 25% of Consolidated EBITDA for such period (after giving effect to any increase in Consolidated EBITDA pursuant to the definition of “Acquired EBITDA”).</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0" w:name="page81"/>
    <w:bookmarkEnd w:id="80"/>
    <w:p>
      <w:pPr>
        <w:ind w:right="4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Basis</w:t>
      </w:r>
      <w:r>
        <w:rPr>
          <w:rFonts w:ascii="Arial" w:cs="Arial" w:eastAsia="Arial" w:hAnsi="Arial"/>
          <w:sz w:val="16"/>
          <w:szCs w:val="16"/>
          <w:color w:val="auto"/>
        </w:rPr>
        <w:t>,” “</w:t>
      </w:r>
      <w:r>
        <w:rPr>
          <w:rFonts w:ascii="Arial" w:cs="Arial" w:eastAsia="Arial" w:hAnsi="Arial"/>
          <w:sz w:val="16"/>
          <w:szCs w:val="16"/>
          <w:b w:val="1"/>
          <w:bCs w:val="1"/>
          <w:color w:val="auto"/>
        </w:rPr>
        <w:t>Pro Forma Compliance</w:t>
      </w:r>
      <w:r>
        <w:rPr>
          <w:rFonts w:ascii="Arial" w:cs="Arial" w:eastAsia="Arial" w:hAnsi="Arial"/>
          <w:sz w:val="16"/>
          <w:szCs w:val="16"/>
          <w:color w:val="auto"/>
        </w:rPr>
        <w:t>,” and “</w:t>
      </w:r>
      <w:r>
        <w:rPr>
          <w:rFonts w:ascii="Arial" w:cs="Arial" w:eastAsia="Arial" w:hAnsi="Arial"/>
          <w:sz w:val="16"/>
          <w:szCs w:val="16"/>
          <w:b w:val="1"/>
          <w:bCs w:val="1"/>
          <w:color w:val="auto"/>
        </w:rPr>
        <w:t>Pro Forma Effect</w:t>
      </w:r>
      <w:r>
        <w:rPr>
          <w:rFonts w:ascii="Arial" w:cs="Arial" w:eastAsia="Arial" w:hAnsi="Arial"/>
          <w:sz w:val="16"/>
          <w:szCs w:val="16"/>
          <w:color w:val="auto"/>
        </w:rPr>
        <w:t xml:space="preserve">” shall mean, with respect to compliance with any test, financial ratio, or covenant hereunder, that (i) to the extent applicable, the Pro Forma Adjustment shall have been made and (ii)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substantially all Capital Stock in any Subsidiary of Holdings or any division, product line, or facility used for operations of Holdings or any of its Subsidiaries, shall be excluded, and (2) in the case of a Permitted Acquisition or Investment described in the definition of “Specified Transaction”, shall be included, (b) any retirement of Indebtedness, and (c) other than as set forth in the definition of “Maximum Incremental Facilities Amount”, any incurrence or assumption of Indebtedness by Holdings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the application of the Pro Forma Adjustment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foregoing pro forma adjustments may be applied to any such test or covenant solely to the extent that such adjustments are consistent with the definition of “Consolidated EBITDA” and give effect to operating expense reductions that are (x)(1) directly attributable to such transaction, (2) expected to have a continuing impact on Holdings, the Borrower or any of the other Restricted Subsidiaries, and (3) factually supportable or (y) otherwise consistent with the definition of “Pro Forma Adjustment”.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Entity</w:t>
      </w:r>
      <w:r>
        <w:rPr>
          <w:rFonts w:ascii="Arial" w:cs="Arial" w:eastAsia="Arial" w:hAnsi="Arial"/>
          <w:sz w:val="18"/>
          <w:szCs w:val="18"/>
          <w:color w:val="auto"/>
        </w:rPr>
        <w:t>” shall have the meaning provided in the definition of the term “Acquired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Transaction</w:t>
      </w:r>
      <w:r>
        <w:rPr>
          <w:rFonts w:ascii="Arial" w:cs="Arial" w:eastAsia="Arial" w:hAnsi="Arial"/>
          <w:sz w:val="18"/>
          <w:szCs w:val="18"/>
          <w:color w:val="auto"/>
        </w:rPr>
        <w:t>” shall have the meaning assigned to such term in Section 406 of ERISA and Section 4975(c) of the Code.</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PTE</w:t>
      </w:r>
      <w:r>
        <w:rPr>
          <w:rFonts w:ascii="Arial" w:cs="Arial" w:eastAsia="Arial" w:hAnsi="Arial"/>
          <w:sz w:val="18"/>
          <w:szCs w:val="18"/>
          <w:color w:val="auto"/>
        </w:rPr>
        <w:t>” shall mean a prohibited transaction class exemption issued by the U.S. Department of Labor, as any such exemption may be amended from time to time.</w:t>
      </w:r>
    </w:p>
    <w:p>
      <w:pPr>
        <w:spacing w:after="0" w:line="16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Company Costs</w:t>
      </w:r>
      <w:r>
        <w:rPr>
          <w:rFonts w:ascii="Arial" w:cs="Arial" w:eastAsia="Arial" w:hAnsi="Arial"/>
          <w:sz w:val="18"/>
          <w:szCs w:val="18"/>
          <w:color w:val="auto"/>
        </w:rPr>
        <w:t>” 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Proceeds</w:t>
      </w:r>
      <w:r>
        <w:rPr>
          <w:rFonts w:ascii="Arial" w:cs="Arial" w:eastAsia="Arial" w:hAnsi="Arial"/>
          <w:sz w:val="18"/>
          <w:szCs w:val="18"/>
          <w:color w:val="auto"/>
        </w:rPr>
        <w:t>” shall mean assets that are used or useful in, or Capital Stock of any Person engaged in, a Similar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Stock</w:t>
      </w:r>
      <w:r>
        <w:rPr>
          <w:rFonts w:ascii="Arial" w:cs="Arial" w:eastAsia="Arial" w:hAnsi="Arial"/>
          <w:sz w:val="18"/>
          <w:szCs w:val="18"/>
          <w:color w:val="auto"/>
        </w:rPr>
        <w:t>” of any Person shall mean Capital Stock of such Person other than Disqualified Stock of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9.1(f)</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Facility</w:t>
      </w:r>
      <w:r>
        <w:rPr>
          <w:rFonts w:ascii="Arial" w:cs="Arial" w:eastAsia="Arial" w:hAnsi="Arial"/>
          <w:sz w:val="17"/>
          <w:szCs w:val="17"/>
          <w:color w:val="auto"/>
        </w:rPr>
        <w:t>” 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Holdings and the Restricted Subsidiaries (other than a Receivables Subsidiary) pursuant to which Holdings or any Restricted Subsidiary sells, directly or indirectly, grants a security interest in or otherwise transfers its accounts receivable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w:t>
      </w:r>
    </w:p>
    <w:p>
      <w:pPr>
        <w:spacing w:after="0" w:line="17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Fee</w:t>
      </w:r>
      <w:r>
        <w:rPr>
          <w:rFonts w:ascii="Arial" w:cs="Arial" w:eastAsia="Arial" w:hAnsi="Arial"/>
          <w:sz w:val="18"/>
          <w:szCs w:val="18"/>
          <w:color w:val="auto"/>
        </w:rPr>
        <w:t>”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1" w:name="page82"/>
    <w:bookmarkEnd w:id="81"/>
    <w:p>
      <w:pPr>
        <w:ind w:right="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Receivables Subsidiary</w:t>
      </w:r>
      <w:r>
        <w:rPr>
          <w:rFonts w:ascii="Arial" w:cs="Arial" w:eastAsia="Arial" w:hAnsi="Arial"/>
          <w:sz w:val="16"/>
          <w:szCs w:val="16"/>
          <w:color w:val="auto"/>
        </w:rPr>
        <w:t>”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Holdings or any Subsidiary makes an Investment and to which Holdings or any Subsidiary transfers accounts receivables and related assets.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Indebtedness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10.1(m)</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Refunding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13.6(b)(iv)</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of the Board as from time to time in effect and any successor to all or a portion thereof establishing margin requirements.</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of the Board as from time to time in effect and any successor to all or a portion thereof establishing margin requirements.</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of the Board as from time to time in effect and any successor to all or a portion thereof establishing margin requirements.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Obligations</w:t>
      </w:r>
      <w:r>
        <w:rPr>
          <w:rFonts w:ascii="Arial" w:cs="Arial" w:eastAsia="Arial" w:hAnsi="Arial"/>
          <w:sz w:val="18"/>
          <w:szCs w:val="18"/>
          <w:color w:val="auto"/>
        </w:rPr>
        <w:t xml:space="preserve">” shall mean the Borrower’s obligations to reimburse Unpaid Drawings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Period</w:t>
      </w:r>
      <w:r>
        <w:rPr>
          <w:rFonts w:ascii="Arial" w:cs="Arial" w:eastAsia="Arial" w:hAnsi="Arial"/>
          <w:sz w:val="18"/>
          <w:szCs w:val="18"/>
          <w:color w:val="auto"/>
        </w:rPr>
        <w:t>” shall mean 450 days following the date of receipt of Net Cash Proceeds of an Asset Sale Prepayment Event, Casualty Event, or Permitted Sale Leaseback.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Rejection Notice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Business Assets</w:t>
      </w:r>
      <w:r>
        <w:rPr>
          <w:rFonts w:ascii="Arial" w:cs="Arial" w:eastAsia="Arial" w:hAnsi="Arial"/>
          <w:sz w:val="18"/>
          <w:szCs w:val="18"/>
          <w:color w:val="auto"/>
        </w:rPr>
        <w:t xml:space="preserve">” shall mean assets (other than cash or Cash Equivalents) used or useful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assets received by Holdings or the Restricted Subsidiaries in exchange for assets transferred by Holdings or a Restricted Subsidiary shall not be deemed to be Related Business Assets if they consist of securities of a Person, unless upon receipt of the securities of such Person, such Person would become a Restricted Subsidiary.</w:t>
      </w:r>
    </w:p>
    <w:p>
      <w:pPr>
        <w:spacing w:after="0" w:line="18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shall mean, with respect to any Lender that is a Fund, any other Fund that is advised or managed by (a) such Lender, (b) an Affiliate of such Lender or (c) an entity or an Affiliate of such entity that administers, advises or manages such Lender.</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76"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release, spill, emission, discharge, disposal, escaping, leaking, pumping, pouring, dumping, emptying, injection, or leaching into the environment.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12.9(b)</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Amount</w:t>
      </w:r>
      <w:r>
        <w:rPr>
          <w:rFonts w:ascii="Arial" w:cs="Arial" w:eastAsia="Arial" w:hAnsi="Arial"/>
          <w:sz w:val="18"/>
          <w:szCs w:val="18"/>
          <w:color w:val="auto"/>
        </w:rPr>
        <w:t>” shall mean the Term A Loan Repayment Amount, a New Term Loan Repayment Amount with respect to any Series, or an Extended Term Loan Repayment Amount with respect to any Extension Series,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 Commitment</w:t>
      </w:r>
      <w:r>
        <w:rPr>
          <w:rFonts w:ascii="Arial" w:cs="Arial" w:eastAsia="Arial" w:hAnsi="Arial"/>
          <w:sz w:val="18"/>
          <w:szCs w:val="18"/>
          <w:color w:val="auto"/>
        </w:rPr>
        <w:t>” means the commitments of the Lenders to make Replacement Term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PBGC Reg. § 4043.</w:t>
      </w:r>
    </w:p>
    <w:p>
      <w:pPr>
        <w:spacing w:after="0" w:line="176"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xml:space="preserve">” shall mean, at any date, (i) Non-Defaulting Lenders having or holding a majority of the sum of (a) the Adjusted Total Revolving Credit Commitment at such date, (b) the Adjusted Total Term Loan Commitment at such date, and (c) the outstanding principal amount of the Term Loans (excluding Term Loans held by Defaulting Lenders) at such date or (ii) if the Total Revolving Credit Commitment and the Total Term Loan Commitment have been terminated or for the purposes of acceleration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Non-Defaulting Lenders having or holding a majority of the outstanding principal amount of the Loans and Letter of Credit Exposure (excluding the Loans and Letter of Credit Exposure of Defaulting Lenders) in the aggregate at such date.</w:t>
      </w:r>
    </w:p>
    <w:p>
      <w:pPr>
        <w:spacing w:after="0" w:line="188"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Credit Lenders</w:t>
      </w:r>
      <w:r>
        <w:rPr>
          <w:rFonts w:ascii="Arial" w:cs="Arial" w:eastAsia="Arial" w:hAnsi="Arial"/>
          <w:sz w:val="18"/>
          <w:szCs w:val="18"/>
          <w:color w:val="auto"/>
        </w:rPr>
        <w:t>” shall mean, at any date, Non-Defaulting Lenders holding a majority of the Adjusted Total Revolving Credit Commitment at such date (or, if the Total Revolving Credit Commitment has been terminated at such time, a majority of the Revolving Credit Exposure (excluding Revolving Credit Exposure of Defaulting Lenders) at such time).</w:t>
      </w:r>
    </w:p>
    <w:p>
      <w:pPr>
        <w:spacing w:after="0" w:line="176" w:lineRule="exact"/>
        <w:rPr>
          <w:sz w:val="20"/>
          <w:szCs w:val="20"/>
          <w:color w:val="auto"/>
        </w:rPr>
      </w:pPr>
    </w:p>
    <w:p>
      <w:pPr>
        <w:jc w:val="both"/>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Term A Loan Lenders</w:t>
      </w:r>
      <w:r>
        <w:rPr>
          <w:rFonts w:ascii="Arial" w:cs="Arial" w:eastAsia="Arial" w:hAnsi="Arial"/>
          <w:sz w:val="18"/>
          <w:szCs w:val="18"/>
          <w:color w:val="auto"/>
        </w:rPr>
        <w:t>” shall mean, at any date, Non-Defaulting Lenders having or holding a majority of the sum of (i) the Adjusted Total Term A Loan Commitment at such date and (ii) the aggregate outstanding principal amount of the Term A Loans (excluding Term A Loans held by Defaulting Lenders) at such date.</w:t>
      </w:r>
    </w:p>
    <w:p>
      <w:pPr>
        <w:spacing w:after="0" w:line="17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Term Loan Lenders</w:t>
      </w:r>
      <w:r>
        <w:rPr>
          <w:rFonts w:ascii="Arial" w:cs="Arial" w:eastAsia="Arial" w:hAnsi="Arial"/>
          <w:sz w:val="18"/>
          <w:szCs w:val="18"/>
          <w:color w:val="auto"/>
        </w:rPr>
        <w:t>” shall mean, at any date, Non-Defaulting Lenders having or holding a majority of the sum of (i) the Adjusted Total Term Loan Commitment at such date and (ii) the aggregate outstanding principal amount of the Term Loans (excluding Term Loans held by Defaulting Lenders) at such date.</w:t>
      </w:r>
    </w:p>
    <w:p>
      <w:pPr>
        <w:spacing w:after="0" w:line="176" w:lineRule="exact"/>
        <w:rPr>
          <w:sz w:val="20"/>
          <w:szCs w:val="20"/>
          <w:color w:val="auto"/>
        </w:rPr>
      </w:pPr>
    </w:p>
    <w:p>
      <w:pPr>
        <w:jc w:val="both"/>
        <w:ind w:right="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Requirement of Law</w:t>
      </w:r>
      <w:r>
        <w:rPr>
          <w:rFonts w:ascii="Arial" w:cs="Arial" w:eastAsia="Arial" w:hAnsi="Arial"/>
          <w:sz w:val="17"/>
          <w:szCs w:val="17"/>
          <w:color w:val="auto"/>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Agreement</w:t>
      </w:r>
      <w:r>
        <w:rPr>
          <w:rFonts w:ascii="Arial" w:cs="Arial" w:eastAsia="Arial" w:hAnsi="Arial"/>
          <w:sz w:val="18"/>
          <w:szCs w:val="18"/>
          <w:color w:val="auto"/>
        </w:rPr>
        <w:t>” shall mean the Joinder and Amendment and Restatement Agreement, dated as of July 18, 2019, by and among the Credit Parties, the Administrative Agent, the Collateral Agent, the Former Agent and the Lenders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Refinancing</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Restatement Effective Date</w:t>
      </w:r>
      <w:r>
        <w:rPr>
          <w:rFonts w:ascii="Arial" w:cs="Arial" w:eastAsia="Arial" w:hAnsi="Arial"/>
          <w:sz w:val="17"/>
          <w:szCs w:val="17"/>
          <w:color w:val="auto"/>
        </w:rPr>
        <w:t xml:space="preserve">” shall mean July 18, 2019, the date on which the conditions precedent to effectiveness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satisfied.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Investment</w:t>
      </w:r>
      <w:r>
        <w:rPr>
          <w:rFonts w:ascii="Arial" w:cs="Arial" w:eastAsia="Arial" w:hAnsi="Arial"/>
          <w:sz w:val="18"/>
          <w:szCs w:val="18"/>
          <w:color w:val="auto"/>
        </w:rPr>
        <w:t>” shall mean an Investment other than a Permitted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shall mean any Subsidiary of Holdings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Retired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Commitment</w:t>
      </w:r>
      <w:r>
        <w:rPr>
          <w:rFonts w:ascii="Arial" w:cs="Arial" w:eastAsia="Arial" w:hAnsi="Arial"/>
          <w:sz w:val="17"/>
          <w:szCs w:val="17"/>
          <w:color w:val="auto"/>
        </w:rPr>
        <w:t xml:space="preserve">” shall mean, as to each Revolving Credit Lender, its obligation to make Revolving Credit Loans to the Borrower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in an aggregate principal amount (carried out to the ninth decimal place) at any one time outstanding not to exceed the amount set forth, and opposite such Lender’s name on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under the caption Revolving Credit Commitment or in the Assignment and Acceptance pursuant to which such Lender becomes a party hereto, as applicable, as such amount may be adjusted from time to time in accordance with this Agreement (including </w:t>
      </w:r>
      <w:r>
        <w:rPr>
          <w:rFonts w:ascii="Arial" w:cs="Arial" w:eastAsia="Arial" w:hAnsi="Arial"/>
          <w:sz w:val="17"/>
          <w:szCs w:val="17"/>
          <w:u w:val="single" w:color="auto"/>
          <w:color w:val="auto"/>
        </w:rPr>
        <w:t>Section 2.14</w:t>
      </w:r>
      <w:r>
        <w:rPr>
          <w:rFonts w:ascii="Arial" w:cs="Arial" w:eastAsia="Arial" w:hAnsi="Arial"/>
          <w:sz w:val="17"/>
          <w:szCs w:val="17"/>
          <w:color w:val="auto"/>
        </w:rPr>
        <w:t>). The aggregate Revolving Credit Commitments of all Revolving Credit Lenders, as of the Restatement Effective Date, shall be $300,000,000, as such amount may be adjusted from time to time in accordance with the terms of this Agreement.</w:t>
      </w:r>
    </w:p>
    <w:p>
      <w:pPr>
        <w:spacing w:after="0" w:line="174"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Commitment Percentage</w:t>
      </w:r>
      <w:r>
        <w:rPr>
          <w:rFonts w:ascii="Arial" w:cs="Arial" w:eastAsia="Arial" w:hAnsi="Arial"/>
          <w:sz w:val="18"/>
          <w:szCs w:val="18"/>
          <w:color w:val="auto"/>
        </w:rPr>
        <w:t xml:space="preserve">” shall mean at any time, for each Lender, the percentage (carried out to the ninth decimal place) obtained by dividing (i) such Lender’s Revolving Credit Commitment at such time by (ii) the amount of the Total Revolving Credit Commitment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w:t>
      </w:r>
    </w:p>
    <w:p>
      <w:pPr>
        <w:spacing w:after="0" w:line="184"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Exposure</w:t>
      </w:r>
      <w:r>
        <w:rPr>
          <w:rFonts w:ascii="Arial" w:cs="Arial" w:eastAsia="Arial" w:hAnsi="Arial"/>
          <w:sz w:val="18"/>
          <w:szCs w:val="18"/>
          <w:color w:val="auto"/>
        </w:rPr>
        <w:t>” shall mean, with respect to any Lender at any time, the sum of (i) the aggregate principal amount of Revolving Credit Loans of such Lender then outstanding, (ii) such Lender’s Letter of Credit Exposure at such time, and (iii) such Lender’s Revolving Credit Commitment Percentage of the aggregate principal amount of all outstanding Swingline Loans at such time.</w:t>
      </w:r>
    </w:p>
    <w:p>
      <w:pPr>
        <w:spacing w:after="0" w:line="17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shall mean, at any time, the aggregate amount of the Revolving Credit Lenders’ Revolving Credit Commitments at such time.</w:t>
      </w:r>
    </w:p>
    <w:p>
      <w:pPr>
        <w:spacing w:after="0" w:line="162"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w:t>
      </w:r>
      <w:r>
        <w:rPr>
          <w:rFonts w:ascii="Arial" w:cs="Arial" w:eastAsia="Arial" w:hAnsi="Arial"/>
          <w:sz w:val="18"/>
          <w:szCs w:val="18"/>
          <w:color w:val="auto"/>
        </w:rPr>
        <w:t>” shall mean, at any time, any Lender that has a Revolving Credit Commitment or Extended Revolving Credit Commitment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Maturity Date</w:t>
      </w:r>
      <w:r>
        <w:rPr>
          <w:rFonts w:ascii="Arial" w:cs="Arial" w:eastAsia="Arial" w:hAnsi="Arial"/>
          <w:sz w:val="17"/>
          <w:szCs w:val="17"/>
          <w:color w:val="auto"/>
        </w:rPr>
        <w:t>” shall mean July 18, 2024 or, if such date is not a Business Day, the immediately preceding Business Day.</w:t>
      </w:r>
    </w:p>
    <w:p>
      <w:pPr>
        <w:spacing w:after="0" w:line="237" w:lineRule="exact"/>
        <w:rPr>
          <w:sz w:val="20"/>
          <w:szCs w:val="20"/>
          <w:color w:val="auto"/>
        </w:rPr>
      </w:pPr>
    </w:p>
    <w:p>
      <w:pPr>
        <w:ind w:right="4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Termination Date</w:t>
      </w:r>
      <w:r>
        <w:rPr>
          <w:rFonts w:ascii="Arial" w:cs="Arial" w:eastAsia="Arial" w:hAnsi="Arial"/>
          <w:sz w:val="16"/>
          <w:szCs w:val="16"/>
          <w:color w:val="auto"/>
        </w:rPr>
        <w:t>” shall mean the date on which the Revolving Credit Commitments shall have terminated, no Revolving Credit Loans or Swingline Loans shall be outstanding and the Letters of Credit Outstanding shall have been reduced to zero or Cash Collateralized.</w:t>
      </w:r>
    </w:p>
    <w:p>
      <w:pPr>
        <w:spacing w:after="0" w:line="11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shall mean, collectively or individually as the context may require, any (i) Revolving Credit Loan or (ii) Extended Revolving Credit Loan, in each case made pursuant to and in accordance with the terms and conditions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Ratings Services or any successor by merger or consolidation to its business.</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Leaseback</w:t>
      </w:r>
      <w:r>
        <w:rPr>
          <w:rFonts w:ascii="Arial" w:cs="Arial" w:eastAsia="Arial" w:hAnsi="Arial"/>
          <w:sz w:val="18"/>
          <w:szCs w:val="18"/>
          <w:color w:val="auto"/>
        </w:rPr>
        <w:t>” shall mean any arrangement with any Person providing for the leasing by Holdings or any Restricted Subsidiary of any real or tangible personal property, which property has been or is to be sold or transferred by Holdings or such Restricted Subsidiary to such Person in contemplation of such leasing.</w:t>
      </w:r>
    </w:p>
    <w:p>
      <w:pPr>
        <w:spacing w:after="0" w:line="176"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sanction administered or enforced by the United States Government (including without limitation, OFAC), the United Nations Security Council, the European Union or any member state thereof, Her Majesty’s Treasury of the United Kingdom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or any successor thereto.</w:t>
      </w:r>
    </w:p>
    <w:p>
      <w:pPr>
        <w:spacing w:after="0" w:line="225"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Lien Intercreditor Agreement</w:t>
      </w:r>
      <w:r>
        <w:rPr>
          <w:rFonts w:ascii="Arial" w:cs="Arial" w:eastAsia="Arial" w:hAnsi="Arial"/>
          <w:sz w:val="17"/>
          <w:szCs w:val="17"/>
          <w:color w:val="auto"/>
        </w:rPr>
        <w:t>” shall mean a First Lien/Second Lien Intercreditor Agreement substantially in the form of Exhibit I (with such changes to such form as may be reasonably acceptable to the Administrative Agent and the Borrower) among the Administrative Agent, the Collateral Agent and the representatives for purposes thereof for any Permitted Other Indebtedness Secured Parties that are holders of Permitted Other Indebtedness Obligations having a Lien on the Collateral ranking junior to the Lien securing the Obligations.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2.14 Additional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9.1 Financials</w:t>
      </w:r>
      <w:r>
        <w:rPr>
          <w:rFonts w:ascii="Arial" w:cs="Arial" w:eastAsia="Arial" w:hAnsi="Arial"/>
          <w:sz w:val="18"/>
          <w:szCs w:val="18"/>
          <w:color w:val="auto"/>
        </w:rPr>
        <w:t xml:space="preserve">” shall mean the financial statements delivered, or required to be delivered,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together with the accompanying officer’s certificate delivered, or required to be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Holdings or any of the Restricted Subsidiaries and any Cash Management Bank, which is specified in writing by the Borrower to the Administrative Agent as constituting a Secured Cash Management Agreement 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Obligations</w:t>
      </w:r>
      <w:r>
        <w:rPr>
          <w:rFonts w:ascii="Arial" w:cs="Arial" w:eastAsia="Arial" w:hAnsi="Arial"/>
          <w:sz w:val="18"/>
          <w:szCs w:val="18"/>
          <w:color w:val="auto"/>
        </w:rPr>
        <w:t>” shall mean Obligations under Secured Cash Management Agreements.</w:t>
      </w:r>
    </w:p>
    <w:p>
      <w:pPr>
        <w:spacing w:after="0" w:line="225"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Agreement</w:t>
      </w:r>
      <w:r>
        <w:rPr>
          <w:rFonts w:ascii="Arial" w:cs="Arial" w:eastAsia="Arial" w:hAnsi="Arial"/>
          <w:sz w:val="18"/>
          <w:szCs w:val="18"/>
          <w:color w:val="auto"/>
        </w:rPr>
        <w:t>” shall mean any Hedge Agreement that is entered into by and between Holdings,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Obligations</w:t>
      </w:r>
      <w:r>
        <w:rPr>
          <w:rFonts w:ascii="Arial" w:cs="Arial" w:eastAsia="Arial" w:hAnsi="Arial"/>
          <w:sz w:val="18"/>
          <w:szCs w:val="18"/>
          <w:color w:val="auto"/>
        </w:rPr>
        <w:t>” shall mean Obligations under Secured Hedge Agreements.</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xml:space="preserve">” shall mean the Administrative Agent, the Collateral Agent, the Letter of Credit Issuer, and each Lender, in each case with respect to the Credit Facilities, each Hedge Bank that is party to any Secured Hedge Agreement with Holdings, the Borrower or any Restricted Subsidiary, each Cash Management Bank that is party to a Secured Cash Management Agreement with the Borrower or any Restricted Subsidiary and each sub-agent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appointed by the Administrative Agent with respect to matters relating to the Credit Facilities or the Collateral Agent with respect to matters relating to any Security Document.</w:t>
      </w:r>
    </w:p>
    <w:p>
      <w:pPr>
        <w:spacing w:after="0" w:line="184"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shall mean the Security Agreement, dated as of the Closing Date, entered into by the Borrower, the other grantors party thereto, and the Collateral Agent for the benefit of the Secured Parties.</w:t>
      </w:r>
    </w:p>
    <w:p>
      <w:pPr>
        <w:spacing w:after="0" w:line="162"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xml:space="preserve">” shall mean, collectively, the Pledge Agreement, the Security Agreement, the Mortgages, if executed, the First Lien Intercreditor Agreement, if executed, and each other security agreement or other instrument or document executed and delivered pursuant to </w:t>
      </w:r>
      <w:r>
        <w:rPr>
          <w:rFonts w:ascii="Arial" w:cs="Arial" w:eastAsia="Arial" w:hAnsi="Arial"/>
          <w:sz w:val="18"/>
          <w:szCs w:val="18"/>
          <w:u w:val="single" w:color="auto"/>
          <w:color w:val="auto"/>
        </w:rPr>
        <w:t>Sections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9.14</w:t>
      </w:r>
      <w:r>
        <w:rPr>
          <w:rFonts w:ascii="Arial" w:cs="Arial" w:eastAsia="Arial" w:hAnsi="Arial"/>
          <w:sz w:val="18"/>
          <w:szCs w:val="18"/>
          <w:color w:val="auto"/>
        </w:rPr>
        <w:t xml:space="preserve"> or pursuant to any other such Security Documents to secure the Obligations or to govern the lien priorities of the holders of Liens on the Collateral.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Holdings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Section 11.5 would constitute a “Significant Subsidiary” under clause (a) above.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Similar Business</w:t>
      </w:r>
      <w:r>
        <w:rPr>
          <w:rFonts w:ascii="Arial" w:cs="Arial" w:eastAsia="Arial" w:hAnsi="Arial"/>
          <w:sz w:val="18"/>
          <w:szCs w:val="18"/>
          <w:color w:val="auto"/>
        </w:rPr>
        <w:t>” shall mean any business conducted or proposed to be conducted by Holdings and the Restricted Subsidiaries on the Restatement Effective Date or any business that is similar, reasonably related, synergistic, incidental, or ancillary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Sold Entity or Business</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shall mean, after giving effect to the consummation of the Transactions, (i) the sum of the liabilities (including contingent liabilities) of Holdings and its Subsidiaries, on a consolidated basis, does not exceed the present fair saleable value of the present assets of Holdings and its Subsidiaries, on a consolidated basis; (ii) the fair value of the property of Holdings and its Subsidiaries, on a consolidated basis, is greater than the total amount of liabilities (including contingent liabilities) of Holdings and its Subsidiaries, on a consolidated basis; (iii) the capital of Holdings and its Subsidiaries, on a consolidated basis, is not unreasonably small in relation to their business as contemplated on the date hereof; and (iv) Holdings and its Subsidiaries, on a consolidated basis, have not incurred and do not intend to incur, or believe that they will incur, debts including current obligations beyond their ability to pay such debts as they become due (whether at maturity or otherwise).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Existing Revolving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shall mean, with respect to any period, any Investment (including a Permitted Acquisition), any asset sale, incurrence or repayment of Indebtedness, Restricted Payment, Subsidiary designation, New Term Loan, New Revolving Credit Commitment, or other event or action that in each case by the terms of this Agreement requires Pro Forma Compliance with a test or covenant hereunder or requires such test or covenant to be calculated on a Pro Forma Basis.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shall mean any of KKR and its Affiliates but excluding portfolio companies of any of the foregoing.</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designated by the Administrative Agent if it does not have as of the date of determination a spot buying rate for any such currency.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SPV</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Stated Amount</w:t>
      </w:r>
      <w:r>
        <w:rPr>
          <w:rFonts w:ascii="Arial" w:cs="Arial" w:eastAsia="Arial" w:hAnsi="Arial"/>
          <w:sz w:val="16"/>
          <w:szCs w:val="16"/>
          <w:color w:val="auto"/>
        </w:rPr>
        <w:t xml:space="preserve">” of any Letter of Credit shall mean the maximum amount from time to time available to be drawn thereunder, determined without regard to whether any conditions to drawing could then be met;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Letter of Credit that by its terms or the terms of any Issuer Document provides for one or more automatic increases in the stated amount thereof, the Stated Amount shall be deemed to be the maximum stated amount of such Letter of Credit after giving effect to all such increases, whether or not such maximum stated amount is in effect at such time.</w:t>
      </w:r>
    </w:p>
    <w:p>
      <w:pPr>
        <w:spacing w:after="0" w:line="151"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Equivalents</w:t>
      </w:r>
      <w:r>
        <w:rPr>
          <w:rFonts w:ascii="Arial" w:cs="Arial" w:eastAsia="Arial" w:hAnsi="Arial"/>
          <w:sz w:val="18"/>
          <w:szCs w:val="18"/>
          <w:color w:val="auto"/>
        </w:rPr>
        <w:t>” shall mean all securities convertible into or exchangeable for Capital Stock and all warrants, options, or other rights to purchase or subscribe for any Capital Stock, whether or not presently convertible, exchangeable, or exercisable.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6" w:name="page87"/>
    <w:bookmarkEnd w:id="86"/>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Stores</w:t>
      </w:r>
      <w:r>
        <w:rPr>
          <w:rFonts w:ascii="Arial" w:cs="Arial" w:eastAsia="Arial" w:hAnsi="Arial"/>
          <w:sz w:val="18"/>
          <w:szCs w:val="18"/>
          <w:color w:val="auto"/>
        </w:rPr>
        <w:t>” shall mean any retail store (which may include any real property, fixtures, equipment, inventory and other property related thereto) operated, or to be operated, by Holdings or any Restricted Subsidiary.</w:t>
      </w:r>
    </w:p>
    <w:p>
      <w:pPr>
        <w:spacing w:after="0" w:line="162"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Indebtedness</w:t>
      </w:r>
      <w:r>
        <w:rPr>
          <w:rFonts w:ascii="Arial" w:cs="Arial" w:eastAsia="Arial" w:hAnsi="Arial"/>
          <w:sz w:val="16"/>
          <w:szCs w:val="16"/>
          <w:color w:val="auto"/>
        </w:rPr>
        <w:t>” shall mean Indebtedness of Holdings, the Borrower, or any other Guarantor that is by its terms subordinated in right of payment to the obligations of Holdings, the Borrower, or such Guarantor, as applicable, under this Agreement or the Guarantee, as applicable.</w:t>
      </w:r>
    </w:p>
    <w:p>
      <w:pPr>
        <w:spacing w:after="0" w:line="116"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Holdings.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Borrower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Credit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Commitment</w:t>
      </w:r>
      <w:r>
        <w:rPr>
          <w:rFonts w:ascii="Arial" w:cs="Arial" w:eastAsia="Arial" w:hAnsi="Arial"/>
          <w:sz w:val="16"/>
          <w:szCs w:val="16"/>
          <w:color w:val="auto"/>
        </w:rPr>
        <w:t>” shall mean $20,000,000. The Swingline Commitment is part of and not in addition to the Revolving Credit Commitment.</w:t>
      </w:r>
    </w:p>
    <w:p>
      <w:pPr>
        <w:spacing w:after="0" w:line="248"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Exposure</w:t>
      </w:r>
      <w:r>
        <w:rPr>
          <w:rFonts w:ascii="Arial" w:cs="Arial" w:eastAsia="Arial" w:hAnsi="Arial"/>
          <w:sz w:val="18"/>
          <w:szCs w:val="18"/>
          <w:color w:val="auto"/>
        </w:rPr>
        <w:t>” shall mean at any time the aggregate principal amount at such time of all outstanding Swingline Loans. The Swingline Exposure of any Revolving Credit Lender at any time shall equal its Revolving Credit Commitment Percentage of the aggregate Swingline Exposure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Lender</w:t>
      </w:r>
      <w:r>
        <w:rPr>
          <w:rFonts w:ascii="Arial" w:cs="Arial" w:eastAsia="Arial" w:hAnsi="Arial"/>
          <w:sz w:val="16"/>
          <w:szCs w:val="16"/>
          <w:color w:val="auto"/>
        </w:rPr>
        <w:t>” shall mean Bank of America, N.A., in its capacity as lender of Swingline Loans hereunder or any replacement or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Maturity Date</w:t>
      </w:r>
      <w:r>
        <w:rPr>
          <w:rFonts w:ascii="Arial" w:cs="Arial" w:eastAsia="Arial" w:hAnsi="Arial"/>
          <w:sz w:val="18"/>
          <w:szCs w:val="18"/>
          <w:color w:val="auto"/>
        </w:rPr>
        <w:t>” shall mean, with respect to any Swingline Loan, the date that is five Business Days prior to the Revolving Credit Maturity Date.</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Agents</w:t>
      </w:r>
      <w:r>
        <w:rPr>
          <w:rFonts w:ascii="Arial" w:cs="Arial" w:eastAsia="Arial" w:hAnsi="Arial"/>
          <w:sz w:val="18"/>
          <w:szCs w:val="18"/>
          <w:color w:val="auto"/>
        </w:rPr>
        <w:t>” shall mean JPMorgan Chase Bank, N.A. and Wells Fargo Securities, LLC, as syndication agents for the Lenders under this Agreement and the other Credit Documents.</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Lender</w:t>
      </w:r>
      <w:r>
        <w:rPr>
          <w:rFonts w:ascii="Arial" w:cs="Arial" w:eastAsia="Arial" w:hAnsi="Arial"/>
          <w:sz w:val="18"/>
          <w:szCs w:val="18"/>
          <w:color w:val="auto"/>
        </w:rPr>
        <w:t>” shall mean a Lender with a Term A Loan Commitment or an outstanding Term A Loan.</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Commitment</w:t>
      </w:r>
      <w:r>
        <w:rPr>
          <w:rFonts w:ascii="Arial" w:cs="Arial" w:eastAsia="Arial" w:hAnsi="Arial"/>
          <w:sz w:val="18"/>
          <w:szCs w:val="18"/>
          <w:color w:val="auto"/>
        </w:rPr>
        <w:t xml:space="preserve">” shall mean, in the case of each Lender that is a Lender on the Restatement Effective Date, the amount (carried out to the ninth decimal place) set forth opposite such Lender’s name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as such Lender’s “Term A Loan Commitment”. The aggregate amount of the Term A Loan Commitments as of the Restatement Effective Date is $420,000,000.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A Loan Maturity Date</w:t>
      </w:r>
      <w:r>
        <w:rPr>
          <w:rFonts w:ascii="Arial" w:cs="Arial" w:eastAsia="Arial" w:hAnsi="Arial"/>
          <w:sz w:val="17"/>
          <w:szCs w:val="17"/>
          <w:color w:val="auto"/>
        </w:rPr>
        <w:t>” shall mean July 18, 2024 or, if such date is not a Business Day, the immediately preceding Business Day.</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Loans</w:t>
      </w:r>
      <w:r>
        <w:rPr>
          <w:rFonts w:ascii="Arial" w:cs="Arial" w:eastAsia="Arial" w:hAnsi="Arial"/>
          <w:sz w:val="18"/>
          <w:szCs w:val="18"/>
          <w:color w:val="auto"/>
        </w:rPr>
        <w:t xml:space="preserve">” shall mean the Term A Loans funded on the Restatement Effective Date pursuant to the terms and conditions of the Restatement Agreement and this Agreement (including </w:t>
      </w:r>
      <w:r>
        <w:rPr>
          <w:rFonts w:ascii="Arial" w:cs="Arial" w:eastAsia="Arial" w:hAnsi="Arial"/>
          <w:sz w:val="18"/>
          <w:szCs w:val="18"/>
          <w:u w:val="single" w:color="auto"/>
          <w:color w:val="auto"/>
        </w:rPr>
        <w:t>Section 2.1(a)(ii)</w:t>
      </w:r>
      <w:r>
        <w:rPr>
          <w:rFonts w:ascii="Arial" w:cs="Arial" w:eastAsia="Arial" w:hAnsi="Arial"/>
          <w:sz w:val="18"/>
          <w:szCs w:val="18"/>
          <w:color w:val="auto"/>
        </w:rPr>
        <w:t>).</w:t>
      </w:r>
    </w:p>
    <w:p>
      <w:pPr>
        <w:spacing w:after="0" w:line="16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shall mean, with respect to each Lender, such Lender’s A Loan Commitment, and, if applicable, New Term Loan Commitment with respect to any Series and Replacement Term Loan Commitment with respect to any Series.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 (g)(i)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Lender</w:t>
      </w:r>
      <w:r>
        <w:rPr>
          <w:rFonts w:ascii="Arial" w:cs="Arial" w:eastAsia="Arial" w:hAnsi="Arial"/>
          <w:sz w:val="18"/>
          <w:szCs w:val="18"/>
          <w:color w:val="auto"/>
        </w:rPr>
        <w:t>” shall mean, at any time, any Lender that has a Term Loan Commitment or an outstanding Term Loan.</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shall mean the Term A Loans, any New Term Loans, any Replacement Term Loans, and any Extended Term Loans, collectively or individually, as the context may require.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Terminated Contracts</w:t>
      </w:r>
      <w:r>
        <w:rPr>
          <w:rFonts w:ascii="Arial" w:cs="Arial" w:eastAsia="Arial" w:hAnsi="Arial"/>
          <w:sz w:val="17"/>
          <w:szCs w:val="17"/>
          <w:color w:val="auto"/>
        </w:rPr>
        <w:t>” shall mean binding contracts with Counterparties that have terminated (whether on or before their stated expiration).</w:t>
      </w:r>
    </w:p>
    <w:p>
      <w:pPr>
        <w:spacing w:after="0" w:line="237"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Test Period</w:t>
      </w:r>
      <w:r>
        <w:rPr>
          <w:rFonts w:ascii="Arial" w:cs="Arial" w:eastAsia="Arial" w:hAnsi="Arial"/>
          <w:sz w:val="17"/>
          <w:szCs w:val="17"/>
          <w:color w:val="auto"/>
        </w:rPr>
        <w:t>” shall mean, for any determination under this Agreement, the four consecutive fiscal quarters of Holdings then last ended and for which Section 9.1 Financials shall have been delivered (or were required to be delivered) to the Administrative Agent (or, before the first delivery of Section 9.1 Financials, the most recent period of four fiscal quarters at the end of which financial statements are available).</w:t>
      </w:r>
    </w:p>
    <w:p>
      <w:pPr>
        <w:spacing w:after="0" w:line="158"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Credit Exposure</w:t>
      </w:r>
      <w:r>
        <w:rPr>
          <w:rFonts w:ascii="Arial" w:cs="Arial" w:eastAsia="Arial" w:hAnsi="Arial"/>
          <w:sz w:val="16"/>
          <w:szCs w:val="16"/>
          <w:color w:val="auto"/>
        </w:rPr>
        <w:t xml:space="preserve">” shall mean, at any date, the sum, without duplication, of (i) the Total Revolving Credit Commitment at such date (or, if the Total Revolving Credit Commitment shall have terminated on such date, the aggregate Revolving Credit Exposure of all Lenders at such date), (ii) the Total Term Loan Commitment at such date, and (iii) without duplication of </w:t>
      </w:r>
      <w:r>
        <w:rPr>
          <w:rFonts w:ascii="Arial" w:cs="Arial" w:eastAsia="Arial" w:hAnsi="Arial"/>
          <w:sz w:val="16"/>
          <w:szCs w:val="16"/>
          <w:u w:val="single" w:color="auto"/>
          <w:color w:val="auto"/>
        </w:rPr>
        <w:t>clause (ii)</w:t>
      </w:r>
      <w:r>
        <w:rPr>
          <w:rFonts w:ascii="Arial" w:cs="Arial" w:eastAsia="Arial" w:hAnsi="Arial"/>
          <w:sz w:val="16"/>
          <w:szCs w:val="16"/>
          <w:color w:val="auto"/>
        </w:rPr>
        <w:t>, the aggregate outstanding principal amount of all Term Loans at such date.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Credit Commitment</w:t>
      </w:r>
      <w:r>
        <w:rPr>
          <w:rFonts w:ascii="Arial" w:cs="Arial" w:eastAsia="Arial" w:hAnsi="Arial"/>
          <w:sz w:val="18"/>
          <w:szCs w:val="18"/>
          <w:color w:val="auto"/>
        </w:rPr>
        <w:t>” shall mean the sum of the Revolving Credit Commitments of all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Term A Loan Commitment</w:t>
      </w:r>
      <w:r>
        <w:rPr>
          <w:rFonts w:ascii="Arial" w:cs="Arial" w:eastAsia="Arial" w:hAnsi="Arial"/>
          <w:sz w:val="18"/>
          <w:szCs w:val="18"/>
          <w:color w:val="auto"/>
        </w:rPr>
        <w:t>” shall mean the sum of the Term A Loan Commitments of all Lenders.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Term Loan Commitment</w:t>
      </w:r>
      <w:r>
        <w:rPr>
          <w:rFonts w:ascii="Arial" w:cs="Arial" w:eastAsia="Arial" w:hAnsi="Arial"/>
          <w:sz w:val="18"/>
          <w:szCs w:val="18"/>
          <w:color w:val="auto"/>
        </w:rPr>
        <w:t>” shall mean the sum of the Term A Loan Commitments and the New Term Loan Commitments, if applicable, of all the Lenders.</w:t>
      </w:r>
    </w:p>
    <w:p>
      <w:pPr>
        <w:spacing w:after="0" w:line="162"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Expenses</w:t>
      </w:r>
      <w:r>
        <w:rPr>
          <w:rFonts w:ascii="Arial" w:cs="Arial" w:eastAsia="Arial" w:hAnsi="Arial"/>
          <w:sz w:val="16"/>
          <w:szCs w:val="16"/>
          <w:color w:val="auto"/>
        </w:rPr>
        <w:t>” shall mean any fees, costs, or expenses incurred or paid by Holdings, the Borrower, or any of their respective Affiliates in connection with the Transactions, this Agreement, and the other Credit Documents, and the transactions contemplated hereby and thereby.</w:t>
      </w:r>
    </w:p>
    <w:p>
      <w:pPr>
        <w:spacing w:after="0" w:line="116" w:lineRule="exact"/>
        <w:rPr>
          <w:sz w:val="20"/>
          <w:szCs w:val="20"/>
          <w:color w:val="auto"/>
        </w:rPr>
      </w:pPr>
    </w:p>
    <w:p>
      <w:pPr>
        <w:jc w:val="both"/>
        <w:ind w:right="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Transactions</w:t>
      </w:r>
      <w:r>
        <w:rPr>
          <w:rFonts w:ascii="Arial" w:cs="Arial" w:eastAsia="Arial" w:hAnsi="Arial"/>
          <w:sz w:val="16"/>
          <w:szCs w:val="16"/>
          <w:color w:val="auto"/>
        </w:rPr>
        <w:t>” shall mean, collectively, the transactions contemplated by this Agreement to occur on the Restatement Effective Date, including the repayment of Indebtedness under the Original Credit Agreement in connection therewith, the consummation of any other transactions in connection with the foregoing (including the payment of the fees and expenses incurred in connection with any of the foregoing (including the Transaction Expenses)).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13.6(e)</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88" w:name="page89"/>
    <w:bookmarkEnd w:id="88"/>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shall mean (i) as to any Term Loan, its nature as an ABR Loan or a LIBOR Loan and (ii) as to any Revolving Loan, its nature as an ABR Loan or a LIBOR Revolving Credit Loan.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Drawing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right="8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Subsidiary</w:t>
      </w:r>
      <w:r>
        <w:rPr>
          <w:rFonts w:ascii="Arial" w:cs="Arial" w:eastAsia="Arial" w:hAnsi="Arial"/>
          <w:sz w:val="17"/>
          <w:szCs w:val="17"/>
          <w:color w:val="auto"/>
        </w:rPr>
        <w:t>” shall mean (i) any Subsidiary of Holdings which at the time of determination is an Unrestricted Subsidiary (as designated by the board of directors of Holdings, as provided below) and (ii) any Subsidiary of an Unrestricted Subsidiary.</w:t>
      </w:r>
    </w:p>
    <w:p>
      <w:pPr>
        <w:spacing w:after="0" w:line="14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The board of directors of Holdings may designate any Subsidiary of Holdings (including any existing Subsidiary and any newly acquired or newly formed Subsidiary) other than the Borrower or a Subsidiary of Holdings that is a direct or indirect parent of the Borrower to be an Unrestricted Subsidiary unless such Subsidiary or any of its Subsidiaries owns any Equity Interests or Indebtedness of, or owns or holds any Lien on, any property of, Holdings or any Subsidiary of Holdings (other than any Subsidiary of the Subsidiary to be so designated or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54" w:lineRule="exact"/>
        <w:rPr>
          <w:sz w:val="20"/>
          <w:szCs w:val="20"/>
          <w:color w:val="auto"/>
        </w:rPr>
      </w:pPr>
    </w:p>
    <w:p>
      <w:pPr>
        <w:ind w:left="1820" w:hanging="515"/>
        <w:spacing w:after="0"/>
        <w:tabs>
          <w:tab w:leader="none" w:pos="1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such designation complies with </w:t>
      </w:r>
      <w:r>
        <w:rPr>
          <w:rFonts w:ascii="Arial" w:cs="Arial" w:eastAsia="Arial" w:hAnsi="Arial"/>
          <w:sz w:val="18"/>
          <w:szCs w:val="18"/>
          <w:u w:val="single" w:color="auto"/>
          <w:color w:val="auto"/>
        </w:rPr>
        <w:t>Section 10.5</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right="400" w:firstLine="645"/>
        <w:spacing w:after="0" w:line="264" w:lineRule="auto"/>
        <w:tabs>
          <w:tab w:leader="none" w:pos="18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(1) the Subsidiary to be so designated and (2) its Subsidiaries has not at the time of designation, and does not thereafter, create, incur, issue, assume, guarantee, or otherwise become directly or indirectly liable with respect to any Indebtedness pursuant to which the lender has recourse to any of the assets of Holdings or any Restricted Subsidiary.</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The board of directors of Holdings may designate any Unrestricted Subsidiary to be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such designation no Event of Default shall have occurred and be continuing and either: (i) Holdings could incur at least $1.00 of additional Indebtedness pursuant to the Fixed Charge Coverage Ratio test set forth in the first paragraph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(ii) the Fixed Charge Coverage Ratio for Holdings and the Restricted Subsidiaries would be greater than such ratio for Holdings and the Restricted Subsidiaries immediately prior to such designation, in each case on a Pro Forma Basis taking into account such designation.</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Any such designation by the board of directors of Holdings shall be notified by Holdings to the Administrative Agent by promptly delivering to the Administrative Agent a copy of the Board resolution giving effect to such designation and a certificate of an Authorized Officer of Holdings certifying that such designation complied with the foregoing provisions.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5.4(e)(ii)(A)</w:t>
      </w:r>
      <w:r>
        <w:rPr>
          <w:rFonts w:ascii="Arial" w:cs="Arial" w:eastAsia="Arial" w:hAnsi="Arial"/>
          <w:sz w:val="18"/>
          <w:szCs w:val="18"/>
          <w:color w:val="auto"/>
        </w:rPr>
        <w:t>.</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as of any date, the Capital Stock of such Person that is at the time entitled to vote in the election of the board of directors of such Person.</w:t>
      </w:r>
    </w:p>
    <w:p>
      <w:pPr>
        <w:spacing w:after="0" w:line="16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Wal-Mart Agreements</w:t>
      </w:r>
      <w:r>
        <w:rPr>
          <w:rFonts w:ascii="Arial" w:cs="Arial" w:eastAsia="Arial" w:hAnsi="Arial"/>
          <w:sz w:val="16"/>
          <w:szCs w:val="16"/>
          <w:color w:val="auto"/>
        </w:rPr>
        <w:t>” shall mean (i) the Management &amp; Services Agreement, dated as of May 1, 2012, by and among Wal-Mart Stores, Inc., a Delaware corporation (“</w:t>
      </w:r>
      <w:r>
        <w:rPr>
          <w:rFonts w:ascii="Arial" w:cs="Arial" w:eastAsia="Arial" w:hAnsi="Arial"/>
          <w:sz w:val="16"/>
          <w:szCs w:val="16"/>
          <w:u w:val="single" w:color="auto"/>
          <w:color w:val="auto"/>
        </w:rPr>
        <w:t>Wal-Mart</w:t>
      </w:r>
      <w:r>
        <w:rPr>
          <w:rFonts w:ascii="Arial" w:cs="Arial" w:eastAsia="Arial" w:hAnsi="Arial"/>
          <w:sz w:val="16"/>
          <w:szCs w:val="16"/>
          <w:color w:val="auto"/>
        </w:rPr>
        <w:t>”), its U.S. operating subsidiaries, including Sam’s West, Inc., and the Borrower, (ii) the Lease of Premises and License of Equipment, dated May 2, 2009, by and among Wal-Mart, its affiliates and subsidiaries and FirstSight, as amended by the First Amendment to FirstSight Lease, dated as of March 31, 2012, (iii) the Management and Services Agreement, dated as of December 17, 2012, by and between Wal-Mart, but excluding its United States operating subsidiaries Sam’s West, Inc., a Delaware corporation, and Sam’s East Inc., a Delaware corporation (together with Sam’s West, Inc., “Sam’s”) and Arlington Contact Lens Services, Inc., an Ohio corporation (“</w:t>
      </w:r>
      <w:r>
        <w:rPr>
          <w:rFonts w:ascii="Arial" w:cs="Arial" w:eastAsia="Arial" w:hAnsi="Arial"/>
          <w:sz w:val="16"/>
          <w:szCs w:val="16"/>
          <w:u w:val="single" w:color="auto"/>
          <w:color w:val="auto"/>
        </w:rPr>
        <w:t>AC Lens</w:t>
      </w:r>
      <w:r>
        <w:rPr>
          <w:rFonts w:ascii="Arial" w:cs="Arial" w:eastAsia="Arial" w:hAnsi="Arial"/>
          <w:sz w:val="16"/>
          <w:szCs w:val="16"/>
          <w:color w:val="auto"/>
        </w:rPr>
        <w:t>”), (iv) the Management and Services Agreement, dated as of December 17, 2012, by and among Sam’s and its operating subsidiaries and AC Lens, (v) the Professional Office Lease Agreement, dated as of May 1, 2012, by and among Wal-Mart, its affiliates and subsidiaries and the Borrower and (vi) the Supplier Agreement, dated as of May 1, 2012, by and among the Borrower and Wal-Mart, in each case, as amended, restated, amended and restated, supplemented, otherwise modified or replaced from time to time.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jc w:val="both"/>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Restricted Subsidiary</w:t>
      </w:r>
      <w:r>
        <w:rPr>
          <w:rFonts w:ascii="Arial" w:cs="Arial" w:eastAsia="Arial" w:hAnsi="Arial"/>
          <w:sz w:val="18"/>
          <w:szCs w:val="18"/>
          <w:color w:val="auto"/>
        </w:rPr>
        <w:t>” of any Person shall mean a Restricted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7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any Person shall mean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Title IV of ERISA.</w:t>
      </w:r>
    </w:p>
    <w:p>
      <w:pPr>
        <w:spacing w:after="0" w:line="162"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shall mean any Credit Party, the Administrative Agent and, in the case of any U.S. federal withholding Tax, any other applicable withholding agent.</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Credit Document, unless otherwise specified herein or in such other Credit Document:</w:t>
      </w:r>
    </w:p>
    <w:p>
      <w:pPr>
        <w:spacing w:after="0" w:line="170" w:lineRule="exact"/>
        <w:rPr>
          <w:sz w:val="20"/>
          <w:szCs w:val="20"/>
          <w:color w:val="auto"/>
        </w:rPr>
      </w:pPr>
    </w:p>
    <w:p>
      <w:pPr>
        <w:ind w:left="1900" w:hanging="595"/>
        <w:spacing w:after="0"/>
        <w:tabs>
          <w:tab w:leader="none" w:pos="1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25" w:lineRule="exact"/>
        <w:rPr>
          <w:rFonts w:ascii="Arial" w:cs="Arial" w:eastAsia="Arial" w:hAnsi="Arial"/>
          <w:sz w:val="18"/>
          <w:szCs w:val="18"/>
          <w:color w:val="auto"/>
        </w:rPr>
      </w:pPr>
    </w:p>
    <w:p>
      <w:pPr>
        <w:ind w:left="660" w:right="280" w:firstLine="645"/>
        <w:spacing w:after="0" w:line="277" w:lineRule="auto"/>
        <w:tabs>
          <w:tab w:leader="none" w:pos="1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any Credit Document shall refer to such Credit Document as a whole and not to any particular provision thereof.</w:t>
      </w:r>
    </w:p>
    <w:p>
      <w:pPr>
        <w:spacing w:after="0" w:line="170" w:lineRule="exact"/>
        <w:rPr>
          <w:rFonts w:ascii="Arial" w:cs="Arial" w:eastAsia="Arial" w:hAnsi="Arial"/>
          <w:sz w:val="18"/>
          <w:szCs w:val="18"/>
          <w:color w:val="auto"/>
        </w:rPr>
      </w:pPr>
    </w:p>
    <w:p>
      <w:pPr>
        <w:ind w:left="1900" w:hanging="595"/>
        <w:spacing w:after="0"/>
        <w:tabs>
          <w:tab w:leader="none" w:pos="1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Exhibit, and Schedule references are to the Credit Document in which such reference appears.</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225" w:lineRule="exact"/>
        <w:rPr>
          <w:rFonts w:ascii="Arial" w:cs="Arial" w:eastAsia="Arial" w:hAnsi="Arial"/>
          <w:sz w:val="18"/>
          <w:szCs w:val="18"/>
          <w:color w:val="auto"/>
        </w:rPr>
      </w:pPr>
    </w:p>
    <w:p>
      <w:pPr>
        <w:ind w:left="660" w:right="40" w:firstLine="645"/>
        <w:spacing w:after="0" w:line="277" w:lineRule="auto"/>
        <w:tabs>
          <w:tab w:leader="none" w:pos="19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70" w:lineRule="exact"/>
        <w:rPr>
          <w:rFonts w:ascii="Arial" w:cs="Arial" w:eastAsia="Arial" w:hAnsi="Arial"/>
          <w:sz w:val="18"/>
          <w:szCs w:val="18"/>
          <w:color w:val="auto"/>
        </w:rPr>
      </w:pPr>
    </w:p>
    <w:p>
      <w:pPr>
        <w:ind w:left="660" w:right="40" w:firstLine="645"/>
        <w:spacing w:after="0" w:line="277" w:lineRule="auto"/>
        <w:tabs>
          <w:tab w:leader="none" w:pos="18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Section headings herein and in the other Credit Documents are included for convenience of reference only and shall not affect the interpretation of this Agreement or any other Credit Document.</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90" w:name="page91"/>
    <w:bookmarkEnd w:id="90"/>
    <w:p>
      <w:pPr>
        <w:ind w:left="660" w:right="80" w:firstLine="645"/>
        <w:spacing w:after="0" w:line="277" w:lineRule="auto"/>
        <w:tabs>
          <w:tab w:leader="none" w:pos="18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references to “knowledge” or “awareness” of any Credit Party or any Restricted Subsidiary thereof means the actual knowledge of an Authorized Officer of such Credit Party or such Restricted Subsidiary.</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264" w:lineRule="auto"/>
        <w:tabs>
          <w:tab w:leader="none" w:pos="1298"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spacing w:after="0" w:line="181" w:lineRule="exact"/>
        <w:rPr>
          <w:rFonts w:ascii="Arial" w:cs="Arial" w:eastAsia="Arial" w:hAnsi="Arial"/>
          <w:sz w:val="18"/>
          <w:szCs w:val="18"/>
          <w:color w:val="auto"/>
        </w:rPr>
      </w:pPr>
    </w:p>
    <w:p>
      <w:pPr>
        <w:jc w:val="both"/>
        <w:ind w:right="100" w:firstLine="656"/>
        <w:spacing w:after="0" w:line="259" w:lineRule="auto"/>
        <w:tabs>
          <w:tab w:leader="none" w:pos="1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contained in this Agreement with respect to any period during which any Specified Transaction occurs, the Consolidated Total Debt to Consolidated EBITDA Ratio, the Consolidated First Lien Secured Debt to Consolidated EBITDA Ratio, and the First Lien Secured Leverage Test shall each be calculated with respect to such period and such Specified Transaction on a Pro Forma Basis.</w:t>
      </w:r>
    </w:p>
    <w:p>
      <w:pPr>
        <w:spacing w:after="0" w:line="186" w:lineRule="exact"/>
        <w:rPr>
          <w:rFonts w:ascii="Arial" w:cs="Arial" w:eastAsia="Arial" w:hAnsi="Arial"/>
          <w:sz w:val="18"/>
          <w:szCs w:val="18"/>
          <w:color w:val="auto"/>
        </w:rPr>
      </w:pPr>
    </w:p>
    <w:p>
      <w:pPr>
        <w:ind w:right="40" w:firstLine="656"/>
        <w:spacing w:after="0" w:line="277"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Where reference is made to “Holdings and the Restricted Subsidiaries on a consolidated basis” or similar language, such consolidation shall not include any Subsidiaries of Holdings other than Restricted Subsidiaries.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Rounding</w:t>
      </w:r>
      <w:r>
        <w:rPr>
          <w:rFonts w:ascii="Arial" w:cs="Arial" w:eastAsia="Arial" w:hAnsi="Arial"/>
          <w:sz w:val="17"/>
          <w:szCs w:val="17"/>
          <w:color w:val="auto"/>
        </w:rPr>
        <w:t>. Any financial ratios required to be maintained by Holdings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References to Agreements Laws, Etc</w:t>
      </w:r>
      <w:r>
        <w:rPr>
          <w:rFonts w:ascii="Arial" w:cs="Arial" w:eastAsia="Arial" w:hAnsi="Arial"/>
          <w:sz w:val="18"/>
          <w:szCs w:val="18"/>
          <w:color w:val="auto"/>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 of Law shall include all statutory and regulatory provisions consolidating, amending, replacing, supplementing, or interpreting such Requirement of Law.</w:t>
      </w:r>
    </w:p>
    <w:p>
      <w:pPr>
        <w:spacing w:after="0" w:line="19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Exchange Rates</w:t>
      </w:r>
      <w:r>
        <w:rPr>
          <w:rFonts w:ascii="Arial" w:cs="Arial" w:eastAsia="Arial" w:hAnsi="Arial"/>
          <w:sz w:val="16"/>
          <w:szCs w:val="16"/>
          <w:color w:val="auto"/>
        </w:rPr>
        <w:t xml:space="preserve">. Notwithstanding the foregoing, for purposes of any determination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determining compliance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Asset Sale or Restricted Payment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foregoing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otherwise apply to such Sections, including with respect to determining whether any Indebtedness, Lien, or Investment may be incurred or Asset Sale or Restricted Payment made at any time under such Sections. For purposes of any determination of Consolidated Total Debt or Consolidated First Lien Secured Debt, amounts in currencies other than Dollars shall be translated into Dollars at the currency exchange rates used in preparing the most recently delivered Section 9.1 Financials..</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Rates</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the rates in the definition of “LIBOR Rate” or with respect to any rate that is an alternative or replacement for or successor to any such rate (including, without limitation, any LIBOR Successor Rate) or the effect of any of the foregoing, or of any LIBOR Successor Rate Conforming Changes.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ind w:right="160" w:firstLine="648"/>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Timing of Payment or Performance</w:t>
      </w:r>
      <w:r>
        <w:rPr>
          <w:rFonts w:ascii="Arial" w:cs="Arial" w:eastAsia="Arial" w:hAnsi="Arial"/>
          <w:sz w:val="18"/>
          <w:szCs w:val="18"/>
          <w:color w:val="auto"/>
        </w:rPr>
        <w:t>.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spacing w:after="0" w:line="18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Certifications</w:t>
      </w:r>
      <w:r>
        <w:rPr>
          <w:rFonts w:ascii="Arial" w:cs="Arial" w:eastAsia="Arial" w:hAnsi="Arial"/>
          <w:sz w:val="16"/>
          <w:szCs w:val="16"/>
          <w:color w:val="auto"/>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spacing w:after="0" w:line="12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Compliance with Certain Sections</w:t>
      </w:r>
      <w:r>
        <w:rPr>
          <w:rFonts w:ascii="Arial" w:cs="Arial" w:eastAsia="Arial" w:hAnsi="Arial"/>
          <w:sz w:val="17"/>
          <w:szCs w:val="17"/>
          <w:color w:val="auto"/>
        </w:rPr>
        <w:t xml:space="preserve">.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or subsection of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or any clause or subsection of </w:t>
      </w:r>
      <w:r>
        <w:rPr>
          <w:rFonts w:ascii="Arial" w:cs="Arial" w:eastAsia="Arial" w:hAnsi="Arial"/>
          <w:sz w:val="17"/>
          <w:szCs w:val="17"/>
          <w:u w:val="single" w:color="auto"/>
          <w:color w:val="auto"/>
        </w:rPr>
        <w:t>Sections 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w:t>
      </w:r>
      <w:r>
        <w:rPr>
          <w:rFonts w:ascii="Arial" w:cs="Arial" w:eastAsia="Arial" w:hAnsi="Arial"/>
          <w:sz w:val="17"/>
          <w:szCs w:val="17"/>
          <w:u w:val="single" w:color="auto"/>
          <w:color w:val="auto"/>
        </w:rPr>
        <w:t>10.5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10.6</w:t>
      </w:r>
      <w:r>
        <w:rPr>
          <w:rFonts w:ascii="Arial" w:cs="Arial" w:eastAsia="Arial" w:hAnsi="Arial"/>
          <w:sz w:val="17"/>
          <w:szCs w:val="17"/>
          <w:color w:val="auto"/>
        </w:rPr>
        <w:t xml:space="preserve"> then, such transaction (or portion thereof) at any time shall be allocated to one or more of such clauses or subsections within the relevant sections as determined by the Borrower in its sole discretion at such time.</w:t>
      </w:r>
    </w:p>
    <w:p>
      <w:pPr>
        <w:spacing w:after="0" w:line="17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Pro Forma and Other Calculations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5" w:lineRule="auto"/>
        <w:tabs>
          <w:tab w:leader="none" w:pos="1298"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purposes of calculating the Fixed Charge Coverage Ratio, Investments, acquisitions, dispositions, mergers, consolidations, and disposed operations (as determined in accordance with GAAP) that have been made by Holdings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Holdings or any Restricted Subsidiary since the beginning of such period) shall have made any Investment, acquisition, disposition, merger, consolidation, or disposed operation that would have required adjustment pursuant to this definition, then the Fixed Charge Coverage Ratio shall be calculated giving Pro Forma Effect 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 the Fixed Charge Coverage Ratio, the Consolidated First Lien Secured Debt to Consolidated EBITDA Ratio and Consolidated Total Debt to Consolidated EBITDA Ratio) (any such amounts, the “</w:t>
      </w:r>
      <w:r>
        <w:rPr>
          <w:rFonts w:ascii="Arial" w:cs="Arial" w:eastAsia="Arial" w:hAnsi="Arial"/>
          <w:sz w:val="16"/>
          <w:szCs w:val="16"/>
          <w:b w:val="1"/>
          <w:bCs w:val="1"/>
          <w:color w:val="auto"/>
        </w:rPr>
        <w:t>Fixed Amounts</w:t>
      </w:r>
      <w:r>
        <w:rPr>
          <w:rFonts w:ascii="Arial" w:cs="Arial" w:eastAsia="Arial" w:hAnsi="Arial"/>
          <w:sz w:val="16"/>
          <w:szCs w:val="16"/>
          <w:color w:val="auto"/>
        </w:rPr>
        <w:t>”)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6"/>
          <w:szCs w:val="16"/>
          <w:b w:val="1"/>
          <w:bCs w:val="1"/>
          <w:color w:val="auto"/>
        </w:rPr>
        <w:t>Incurrence Based Amounts</w:t>
      </w:r>
      <w:r>
        <w:rPr>
          <w:rFonts w:ascii="Arial" w:cs="Arial" w:eastAsia="Arial" w:hAnsi="Arial"/>
          <w:sz w:val="16"/>
          <w:szCs w:val="16"/>
          <w:color w:val="auto"/>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ind w:right="80" w:firstLine="656"/>
        <w:spacing w:after="0" w:line="283" w:lineRule="auto"/>
        <w:tabs>
          <w:tab w:leader="none" w:pos="12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 Investment, acquisition, merger, or consolidation which is being given Pro Forma Effect that have been or are expected to be realized;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Holdings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w:t>
      </w:r>
    </w:p>
    <w:p>
      <w:pPr>
        <w:spacing w:after="0" w:line="3" w:lineRule="exact"/>
        <w:rPr>
          <w:rFonts w:ascii="Arial" w:cs="Arial" w:eastAsia="Arial" w:hAnsi="Arial"/>
          <w:sz w:val="16"/>
          <w:szCs w:val="16"/>
          <w:color w:val="auto"/>
        </w:rPr>
      </w:pPr>
    </w:p>
    <w:p>
      <w:pPr>
        <w:jc w:val="both"/>
        <w:ind w:right="80" w:firstLine="8"/>
        <w:spacing w:after="0" w:line="277" w:lineRule="auto"/>
        <w:tabs>
          <w:tab w:leader="none" w:pos="26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any action being taken solely in connection with a Limited Condition Transaction, for purposes of:</w:t>
      </w:r>
    </w:p>
    <w:p>
      <w:pPr>
        <w:spacing w:after="0" w:line="225" w:lineRule="exact"/>
        <w:rPr>
          <w:sz w:val="20"/>
          <w:szCs w:val="20"/>
          <w:color w:val="auto"/>
        </w:rPr>
      </w:pPr>
    </w:p>
    <w:p>
      <w:pPr>
        <w:jc w:val="both"/>
        <w:ind w:left="660" w:right="400" w:firstLine="904"/>
        <w:spacing w:after="0" w:line="342" w:lineRule="auto"/>
        <w:tabs>
          <w:tab w:leader="none" w:pos="2097"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determining compliance with any provision of this Agreement which requires the calculation of the Consolidated First Lien Secured Debt to Consolidated EBITDA Ratio, Consolidated Total Debt to Consolidated EBITDA Ratio or the Fixed Charge Coverage Ratio; or</w:t>
      </w:r>
    </w:p>
    <w:p>
      <w:pPr>
        <w:spacing w:after="0" w:line="123" w:lineRule="exact"/>
        <w:rPr>
          <w:rFonts w:ascii="Arial" w:cs="Arial" w:eastAsia="Arial" w:hAnsi="Arial"/>
          <w:sz w:val="16"/>
          <w:szCs w:val="16"/>
          <w:color w:val="auto"/>
        </w:rPr>
      </w:pPr>
    </w:p>
    <w:p>
      <w:pPr>
        <w:ind w:left="660" w:firstLine="904"/>
        <w:spacing w:after="0" w:line="264" w:lineRule="auto"/>
        <w:tabs>
          <w:tab w:leader="none" w:pos="2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other than for purposes of determining the satisfaction of the conditions precedent to extensions of credit under the Revolving Credit Commitment, determining the accuracy of representations and warranties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and/or whether a Default or Event of Default shall have occurred and be continuing under </w:t>
      </w:r>
      <w:r>
        <w:rPr>
          <w:rFonts w:ascii="Arial" w:cs="Arial" w:eastAsia="Arial" w:hAnsi="Arial"/>
          <w:sz w:val="18"/>
          <w:szCs w:val="18"/>
          <w:u w:val="single" w:color="auto"/>
          <w:color w:val="auto"/>
        </w:rPr>
        <w:t>Section 11</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660" w:right="480" w:firstLine="904"/>
        <w:spacing w:after="0" w:line="277" w:lineRule="auto"/>
        <w:tabs>
          <w:tab w:leader="none" w:pos="21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testing availability under baskets set forth in this agreement (including baskets measured as a percentage of Consolidated EBITDA or Consolidated Total Assets);</w:t>
      </w:r>
    </w:p>
    <w:p>
      <w:pPr>
        <w:spacing w:after="0" w:line="16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each case, at the option of the Borrower (the Borrower’s election to exercise such option in connection with any Limited Condition Transaction, an “</w:t>
      </w:r>
      <w:r>
        <w:rPr>
          <w:rFonts w:ascii="Arial" w:cs="Arial" w:eastAsia="Arial" w:hAnsi="Arial"/>
          <w:sz w:val="17"/>
          <w:szCs w:val="17"/>
          <w:b w:val="1"/>
          <w:bCs w:val="1"/>
          <w:color w:val="auto"/>
        </w:rPr>
        <w:t>LCT</w:t>
      </w:r>
      <w:r>
        <w:rPr>
          <w:rFonts w:ascii="Arial" w:cs="Arial" w:eastAsia="Arial" w:hAnsi="Arial"/>
          <w:sz w:val="17"/>
          <w:szCs w:val="17"/>
          <w:color w:val="auto"/>
        </w:rPr>
        <w:t xml:space="preserve"> </w:t>
      </w:r>
      <w:r>
        <w:rPr>
          <w:rFonts w:ascii="Arial" w:cs="Arial" w:eastAsia="Arial" w:hAnsi="Arial"/>
          <w:sz w:val="17"/>
          <w:szCs w:val="17"/>
          <w:b w:val="1"/>
          <w:bCs w:val="1"/>
          <w:color w:val="auto"/>
        </w:rPr>
        <w:t>Election</w:t>
      </w:r>
      <w:r>
        <w:rPr>
          <w:rFonts w:ascii="Arial" w:cs="Arial" w:eastAsia="Arial" w:hAnsi="Arial"/>
          <w:sz w:val="17"/>
          <w:szCs w:val="17"/>
          <w:color w:val="auto"/>
        </w:rPr>
        <w:t>”) (it being understood and agreed that the Borrower may elect to revoke any LCT Election in its sole discretion), the date of determination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whether any such action is permitted hereunder, shall be deemed to be the date the definitive agreements for such Limited Condition Transaction are entered into (the “</w:t>
      </w:r>
      <w:r>
        <w:rPr>
          <w:rFonts w:ascii="Arial" w:cs="Arial" w:eastAsia="Arial" w:hAnsi="Arial"/>
          <w:sz w:val="17"/>
          <w:szCs w:val="17"/>
          <w:b w:val="1"/>
          <w:bCs w:val="1"/>
          <w:color w:val="auto"/>
        </w:rPr>
        <w:t>LCT Test Date</w:t>
      </w:r>
      <w:r>
        <w:rPr>
          <w:rFonts w:ascii="Arial" w:cs="Arial" w:eastAsia="Arial" w:hAnsi="Arial"/>
          <w:sz w:val="17"/>
          <w:szCs w:val="17"/>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until such time as the Limited Condition Transaction has been consummated or the definitive agreement with respect thereto has been terminated or expires.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3" w:name="page94"/>
    <w:bookmarkEnd w:id="93"/>
    <w:p>
      <w:pPr>
        <w:ind w:right="200" w:firstLine="656"/>
        <w:spacing w:after="0" w:line="259" w:lineRule="auto"/>
        <w:tabs>
          <w:tab w:leader="none" w:pos="12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in any classification under GAAP of any Person, business, assets or operations in respect of which a definitive agreement for the disposition thereof has been entered into as discontinued operations, no Pro Forma Effect shall be given to any discontinued operations (and the EBITDA attributable to any such Person, business, assets or operations shall not be excluded for any purposes hereunder) until such disposition shall have been consummated.</w:t>
      </w:r>
    </w:p>
    <w:p>
      <w:pPr>
        <w:spacing w:after="0" w:line="186" w:lineRule="exact"/>
        <w:rPr>
          <w:rFonts w:ascii="Arial" w:cs="Arial" w:eastAsia="Arial" w:hAnsi="Arial"/>
          <w:sz w:val="18"/>
          <w:szCs w:val="18"/>
          <w:color w:val="auto"/>
        </w:rPr>
      </w:pPr>
    </w:p>
    <w:p>
      <w:pPr>
        <w:ind w:right="40" w:firstLine="656"/>
        <w:spacing w:after="0" w:line="277" w:lineRule="auto"/>
        <w:tabs>
          <w:tab w:leader="none" w:pos="12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determination of Consolidated Total Assets shall be made by reference to the last day of the Test Period most recently ended on or prior to the relevant date of determination.</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Credit Documents, in connection with any division or plan of division under Delaware law (or any comparable event under a different jurisdiction’s laws): (a) if any asset, right, obligation or liability of any Person becomes an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Amendment and Restatement</w:t>
      </w:r>
      <w:r>
        <w:rPr>
          <w:rFonts w:ascii="Arial" w:cs="Arial" w:eastAsia="Arial" w:hAnsi="Arial"/>
          <w:sz w:val="17"/>
          <w:szCs w:val="17"/>
          <w:color w:val="auto"/>
        </w:rPr>
        <w:t xml:space="preserve">. This Agreement shall amend and restate the Original Credit Agreement in its entirety, with the parties hereby agreeing that there is no novation of the Original Credit Agreement or any other Credit Document and from and after the effectiveness of this Agreement, the rights and obligations of the parties under the Original Credit Agreement shall be subsumed and governed by this Agreement. From and after the effectiveness of this Agreement, the Obligations under the Original Credit Agreement shall continue as Obligations under this Agreement and the Credit Documents until otherwise paid in accordance with the terms hereof. The Security Documents and the grant of Liens on all of the Collateral described therein do and shall continue to secure the payment of all Obligations. Without limiting the generality of the foregoing, the parties hereto acknowledge and agree that the Liens securing the “Obligations” as defined in the Original Credit Agreement, shall from and after the Restatement Effective Date secure the payment and performance of all Obligations for the benefit of the Collateral Agent and the Secured Parties, and all such Liens shall continue in full force and effect after giving effect to this Agreement and are hereby confirmed and reaffirmed by each of the Credit Parties. The parties hereto further acknowledge and agree that all “Collateral Documents” as defined in the Original Credit Agreement shall remain in full force and effect after the Restatement Effective Date in favor of and for the benefit of the Collateral Agent and the Secured Parties (with each reference therein to the collateral agent, the credit agreement or a credit document being a reference to the Collateral Agent, this Agreement or the other Credit Documents, as applicable), and each Credit Party hereby confirms and ratifies its obligations thereunder. For the avoidance of doubt, unless otherwise expressly provided herein, upon the Restatement Effective Date, any basket which permits a certain amount of a given type of transaction over the life of the Credit Agreement (however denominated) shall be reset such that any use of such baskets on or subsequent to the Closing Date but prior to the Restatement Effective Date shall be disregarded for purposes of testing such basket;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shall be construed to (i) prohibit any transaction occurring prior to the Restatement Effective Date utilizing the corresponding baskets under the Original Credit Agreement or (ii) apply to the calculation of any adjustment to Consolidated EBITDA (or any related definition).</w:t>
      </w:r>
    </w:p>
    <w:p>
      <w:pPr>
        <w:spacing w:after="0" w:line="19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Amount and Terms of Credit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54" w:lineRule="auto"/>
        <w:tabs>
          <w:tab w:leader="none" w:pos="125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 A Loans</w:t>
      </w:r>
      <w:r>
        <w:rPr>
          <w:rFonts w:ascii="Arial" w:cs="Arial" w:eastAsia="Arial" w:hAnsi="Arial"/>
          <w:sz w:val="18"/>
          <w:szCs w:val="18"/>
          <w:i w:val="1"/>
          <w:iCs w:val="1"/>
          <w:color w:val="auto"/>
        </w:rPr>
        <w:t>.</w:t>
      </w:r>
      <w:r>
        <w:rPr>
          <w:rFonts w:ascii="Arial" w:cs="Arial" w:eastAsia="Arial" w:hAnsi="Arial"/>
          <w:sz w:val="18"/>
          <w:szCs w:val="18"/>
          <w:color w:val="auto"/>
        </w:rPr>
        <w:t xml:space="preserve"> Subject to and upon the terms and conditions of the Restatement Agreement and this Agreement, the Term A Lenders agree to make the Term A Loans to the Borrower on the Restatement Effective Date, which Term A Loans shall not exceed for any such Term A Lender the Term A Loan Commitment of such Lender and in the aggregate shall not exceed $420,000,000. Such Term Loans (i) may at the option of the Borrower be incurred and maintained as, and/or converted into, ABR Loans or LIBOR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Term Loans made by each of the Lenders pursuant to the same Borrowing shall, unless otherwise specifically provided herein, consist entirely of Term Loans of the same Type, (ii) may be repaid or prepaid in accordance with the provisions hereof, but once repaid or prepaid, may not be reborrowed, (iii) shall not exceed for any such Lender the Term A Loan Commitment of such Lender, and (iv) shall not exceed in the aggregate the Total Term A Loan Commitments. On the Term A Loan Maturity Date, all then unpaid Term A Loans shall be repaid in full in Dollars.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ind w:left="-20" w:right="60" w:firstLine="656"/>
        <w:spacing w:after="0" w:line="286" w:lineRule="auto"/>
        <w:tabs>
          <w:tab w:leader="none" w:pos="1288"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Subject to and upon the terms and conditions herein set forth each Revolving Credit Lender severally agrees to make Revolving Credit Loans denominated in Dollars to the Borrower from its applicable lending office (each, a “</w:t>
      </w:r>
      <w:r>
        <w:rPr>
          <w:rFonts w:ascii="Arial" w:cs="Arial" w:eastAsia="Arial" w:hAnsi="Arial"/>
          <w:sz w:val="16"/>
          <w:szCs w:val="16"/>
          <w:b w:val="1"/>
          <w:bCs w:val="1"/>
          <w:color w:val="auto"/>
        </w:rPr>
        <w:t>Revolving Credit Loan</w:t>
      </w:r>
      <w:r>
        <w:rPr>
          <w:rFonts w:ascii="Arial" w:cs="Arial" w:eastAsia="Arial" w:hAnsi="Arial"/>
          <w:sz w:val="16"/>
          <w:szCs w:val="16"/>
          <w:color w:val="auto"/>
        </w:rPr>
        <w:t xml:space="preserve">”) in an aggregate principal amount not to exceed at any time outstanding the amount of such Revolving Credit Lender’s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of the foregoing such Revolving Credit Loans (A) shall be made at any time and from time to time on and after the Restatement Effective Date and prior to the Revolving Credit Maturity Date, (B) may, at the option of the Borrower be incurred and maintained as, and/or converted into, ABR Loans or LIBOR Loans that are Revolving Credit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Revolving Credit Loans made by each of the Lenders pursuant to the same Borrowing shall, unless otherwise specifically provided herein, consist entirely of Revolving Credit Loans of the same Type, (C) may be repaid (without premium or penalty) and reborrowed in accordance with the provisions hereof, (D) 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w:t>
      </w:r>
    </w:p>
    <w:p>
      <w:pPr>
        <w:spacing w:after="0" w:line="174" w:lineRule="exact"/>
        <w:rPr>
          <w:rFonts w:ascii="Arial" w:cs="Arial" w:eastAsia="Arial" w:hAnsi="Arial"/>
          <w:sz w:val="16"/>
          <w:szCs w:val="16"/>
          <w:color w:val="auto"/>
        </w:rPr>
      </w:pPr>
    </w:p>
    <w:p>
      <w:pPr>
        <w:ind w:left="-20" w:right="20" w:firstLine="656"/>
        <w:spacing w:after="0" w:line="270" w:lineRule="auto"/>
        <w:tabs>
          <w:tab w:leader="none" w:pos="1233"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Subject to and upon the terms and conditions herein set forth, the Swingline Lender in its individual capacity agrees, at any time and from time to time on and after the Restatement Effective Date and prior to the Swingline Maturity Date, to make a loan or loans (each, a “</w:t>
      </w:r>
      <w:r>
        <w:rPr>
          <w:rFonts w:ascii="Arial" w:cs="Arial" w:eastAsia="Arial" w:hAnsi="Arial"/>
          <w:sz w:val="17"/>
          <w:szCs w:val="17"/>
          <w:b w:val="1"/>
          <w:bCs w:val="1"/>
          <w:color w:val="auto"/>
        </w:rPr>
        <w:t>Swingline Loan</w:t>
      </w:r>
      <w:r>
        <w:rPr>
          <w:rFonts w:ascii="Arial" w:cs="Arial" w:eastAsia="Arial" w:hAnsi="Arial"/>
          <w:sz w:val="17"/>
          <w:szCs w:val="17"/>
          <w:color w:val="auto"/>
        </w:rPr>
        <w:t>” and, collectively the “</w:t>
      </w:r>
      <w:r>
        <w:rPr>
          <w:rFonts w:ascii="Arial" w:cs="Arial" w:eastAsia="Arial" w:hAnsi="Arial"/>
          <w:sz w:val="17"/>
          <w:szCs w:val="17"/>
          <w:b w:val="1"/>
          <w:bCs w:val="1"/>
          <w:color w:val="auto"/>
        </w:rPr>
        <w:t>Swingline Loans</w:t>
      </w:r>
      <w:r>
        <w:rPr>
          <w:rFonts w:ascii="Arial" w:cs="Arial" w:eastAsia="Arial" w:hAnsi="Arial"/>
          <w:sz w:val="17"/>
          <w:szCs w:val="17"/>
          <w:color w:val="auto"/>
        </w:rPr>
        <w:t xml:space="preserve">”) to the Borrower, which Swingline Loans (i) shall be ABR Loans, (ii) shall have the benefit of the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2.1(d)</w:t>
      </w:r>
      <w:r>
        <w:rPr>
          <w:rFonts w:ascii="Arial" w:cs="Arial" w:eastAsia="Arial" w:hAnsi="Arial"/>
          <w:sz w:val="17"/>
          <w:szCs w:val="17"/>
          <w:color w:val="auto"/>
        </w:rPr>
        <w:t xml:space="preserve">, (iii) shall not exceed at any time outstanding the Swingline Commitment, (iv) shall not, after giving effect thereto and to the application of the proceeds thereof, result at any time in the aggregate amount of the Revolving Credit Lenders’ Revolving Credit Exposures at such time exceeding the Revolving Credit Commitment then in effect, and (v) may be repaid and reborrowed in accordance with the provisions hereof. On the Swingline Maturity Date, all Swingline Loans shall be repaid in full. The Swingline Lender shall not make any Swingline Loan after receiving a written notice from Holdings, the Borrower, the Administrative Agent or the Required Revolving Credit Lenders stating that a Default or Event of Default exists and is continuing until such time as the Swingline Lender shall have received written notice of (i) rescission of all such notices from the party or parties originally delivering such notice or (ii) the waiver of such Default or Event of Default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20" w:firstLine="656"/>
        <w:spacing w:after="0" w:line="268" w:lineRule="auto"/>
        <w:tabs>
          <w:tab w:leader="none" w:pos="1243" w:val="left"/>
        </w:tabs>
        <w:numPr>
          <w:ilvl w:val="0"/>
          <w:numId w:val="60"/>
        </w:numPr>
        <w:rPr>
          <w:rFonts w:ascii="Arial" w:cs="Arial" w:eastAsia="Arial" w:hAnsi="Arial"/>
          <w:sz w:val="17"/>
          <w:szCs w:val="17"/>
          <w:color w:val="auto"/>
        </w:rPr>
      </w:pPr>
      <w:r>
        <w:rPr>
          <w:rFonts w:ascii="Arial" w:cs="Arial" w:eastAsia="Arial" w:hAnsi="Arial"/>
          <w:sz w:val="17"/>
          <w:szCs w:val="17"/>
          <w:color w:val="auto"/>
        </w:rPr>
        <w:t>On any Business Day, the Swingline Lender may, in its sole discretion, give notice to each Revolving Credit Lender that all then-outstanding Swingline Loans shall be funded with a Borrowing of Revolving Credit Loans, in which case (i) Revolving Credit Loans constituting ABR Loans shall be made on the immediately succeeding Business Day (each such Borrowing, a “</w:t>
      </w:r>
      <w:r>
        <w:rPr>
          <w:rFonts w:ascii="Arial" w:cs="Arial" w:eastAsia="Arial" w:hAnsi="Arial"/>
          <w:sz w:val="17"/>
          <w:szCs w:val="17"/>
          <w:b w:val="1"/>
          <w:bCs w:val="1"/>
          <w:color w:val="auto"/>
        </w:rPr>
        <w:t>Mandatory Borrowing</w:t>
      </w:r>
      <w:r>
        <w:rPr>
          <w:rFonts w:ascii="Arial" w:cs="Arial" w:eastAsia="Arial" w:hAnsi="Arial"/>
          <w:sz w:val="17"/>
          <w:szCs w:val="17"/>
          <w:color w:val="auto"/>
        </w:rPr>
        <w:t xml:space="preserve">”) by each Revolving Credit Lender pro rata based on each Revolving Credit Lender’s Revolving Credit Commitment Percentage, and the proceeds thereof shall be applied directly to the Swingline Lender to repay the Swingline Lender for such outstanding Swingline Loans. Each Revolving Credit Lender hereby irrevocably agrees to make such Revolving Credit Loans upon one Business Day’s notice pursuant to each Mandatory Borrowing in the amount and in the manner specified in the preceding sentence and on the date specified to it in writing by the Swingline Lender notwithstanding (i) that the amount of the Mandatory Borrowing may not comply with the minimum amount for each Borrowing specified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(ii) whether any conditions specified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are then satisfied, (iii) whether a Default or an Event of Default has occurred and is continuing, (iv) the date of such Mandatory Borrowing, or (v) any reduction in the Total Revolving Credit Commitment after any such Swingline Loans were made. In the event that, in the sole judgment of the Swingline Lender, any Mandatory Borrowing cannot for any reason be made on the date otherwise required above (including as a result of the commencement of a proceeding under the Bankruptcy Code in respect of the Borrower), each Revolving Credit Lender hereby agrees that it shall forthwith purchase from the Swingline Lender (without recourse or warranty) such participation of the outstanding Swingline Loans as shall be necessary to cause the Lenders to share in such Swingline Loans ratably based upon their respective Revolving Credit Commitment Percentages;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principal and interest payable on such Swingline Loans shall be for the account of the Swingline Lender until the date the respective participation is purchased and, to the extent attributable to the purchased participation, shall be payable to such Lender purchasing same from and after such date of purchase.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95" w:name="page96"/>
    <w:bookmarkEnd w:id="95"/>
    <w:p>
      <w:pPr>
        <w:ind w:right="20" w:firstLine="656"/>
        <w:spacing w:after="0" w:line="288" w:lineRule="auto"/>
        <w:tabs>
          <w:tab w:leader="none" w:pos="125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maturity date shall have occurred in respect of any tranche of Revolving Credit Commitments (the “</w:t>
      </w:r>
      <w:r>
        <w:rPr>
          <w:rFonts w:ascii="Arial" w:cs="Arial" w:eastAsia="Arial" w:hAnsi="Arial"/>
          <w:sz w:val="16"/>
          <w:szCs w:val="16"/>
          <w:b w:val="1"/>
          <w:bCs w:val="1"/>
          <w:color w:val="auto"/>
        </w:rPr>
        <w:t>Expiring Credit Commitment</w:t>
      </w:r>
      <w:r>
        <w:rPr>
          <w:rFonts w:ascii="Arial" w:cs="Arial" w:eastAsia="Arial" w:hAnsi="Arial"/>
          <w:sz w:val="16"/>
          <w:szCs w:val="16"/>
          <w:color w:val="auto"/>
        </w:rPr>
        <w:t>”) at a time when another tranche or tranches of Revolving Credit Commitments is or are in effect with a longer maturity date (each a “</w:t>
      </w:r>
      <w:r>
        <w:rPr>
          <w:rFonts w:ascii="Arial" w:cs="Arial" w:eastAsia="Arial" w:hAnsi="Arial"/>
          <w:sz w:val="16"/>
          <w:szCs w:val="16"/>
          <w:b w:val="1"/>
          <w:bCs w:val="1"/>
          <w:color w:val="auto"/>
        </w:rPr>
        <w:t>Non-Expiring Credit</w:t>
      </w:r>
      <w:r>
        <w:rPr>
          <w:rFonts w:ascii="Arial" w:cs="Arial" w:eastAsia="Arial" w:hAnsi="Arial"/>
          <w:sz w:val="16"/>
          <w:szCs w:val="16"/>
          <w:color w:val="auto"/>
        </w:rPr>
        <w:t xml:space="preserve"> </w:t>
      </w:r>
      <w:r>
        <w:rPr>
          <w:rFonts w:ascii="Arial" w:cs="Arial" w:eastAsia="Arial" w:hAnsi="Arial"/>
          <w:sz w:val="16"/>
          <w:szCs w:val="16"/>
          <w:b w:val="1"/>
          <w:bCs w:val="1"/>
          <w:color w:val="auto"/>
        </w:rPr>
        <w:t>Commitment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Non-Expiring Credit Commitments</w:t>
      </w:r>
      <w:r>
        <w:rPr>
          <w:rFonts w:ascii="Arial" w:cs="Arial" w:eastAsia="Arial" w:hAnsi="Arial"/>
          <w:sz w:val="16"/>
          <w:szCs w:val="16"/>
          <w:color w:val="auto"/>
        </w:rPr>
        <w:t>”), then with respect to each outstanding Swingline Loan, if consented to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Swingline Lender (such consent not to be unreasonably withheld, conditioned or delayed), on the earliest occurring maturity date such Swingline Loan shall be deemed reallocated to the tranche or tranches of the Non-Expiring Credit Commitments on a pro rata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to the extent that the amount of such reallocation would cause the aggregate credit exposure to exceed the aggregate amount of such Non-Expiring Credit Commitments, immediately prior to such reallocation the amount of Swing Line Loans to be reallocated equal to such excess shall be repaid or Cash Collateralized and (y) notwithstanding the foregoing, if a Default or Event of Default has occurred and is continuing, the Borrower shall still be obligated to pay Swingline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Swingline Loans may be reduced as agreed between the Swingline Lender and the Borrower, without the consent of any other Person.</w:t>
      </w:r>
    </w:p>
    <w:p>
      <w:pPr>
        <w:spacing w:after="0" w:line="16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Minimum Amount of Each Borrowing; Maximum Number of Borrowings</w:t>
      </w:r>
      <w:r>
        <w:rPr>
          <w:rFonts w:ascii="Arial" w:cs="Arial" w:eastAsia="Arial" w:hAnsi="Arial"/>
          <w:sz w:val="18"/>
          <w:szCs w:val="18"/>
          <w:color w:val="auto"/>
        </w:rPr>
        <w:t xml:space="preserve">. The aggregate principal amount of each Borrowing of Term Loans or Revolving Credit Loans shall be in a minimum amount of at least the Minimum Borrowing Amount for such Type of Loans and in a multiple of $100,000 in excess thereof and Swingline Loans shall be in a minimum amount of $500,000 and in a multiple of $100,000 in excess thereof (except that Mandatory Borrowings shall be made in the amounts required by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Revolving Credit Loans to reimburse the Letter of Credit Issuer with respect to any Unpaid Drawing shall be made in the amounts required by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as applicable). More than one Borrowing may be incurred on any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no time shall there be outstanding more than five Borrowings of LIBOR Loans that are Term Loans and ten Borrowings of LIBOR Loans that are Revolving Credit Loans under this Agreement.</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Notice of Borrowing</w:t>
      </w:r>
      <w:r>
        <w:rPr>
          <w:rFonts w:ascii="Arial" w:cs="Arial" w:eastAsia="Arial" w:hAnsi="Arial"/>
          <w:sz w:val="17"/>
          <w:szCs w:val="17"/>
          <w:color w:val="auto"/>
        </w:rPr>
        <w:t>.</w:t>
      </w:r>
    </w:p>
    <w:p>
      <w:pPr>
        <w:spacing w:after="0" w:line="225" w:lineRule="exact"/>
        <w:rPr>
          <w:sz w:val="20"/>
          <w:szCs w:val="20"/>
          <w:color w:val="auto"/>
        </w:rPr>
      </w:pPr>
    </w:p>
    <w:p>
      <w:pPr>
        <w:ind w:firstLine="656"/>
        <w:spacing w:after="0" w:line="268" w:lineRule="auto"/>
        <w:tabs>
          <w:tab w:leader="none" w:pos="125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Borrower shall give the Administrative Agent at the Administrative Agent’s Office prior to 12:00 p.m. (New York City time) (i) in the case of a Borrowing of Term A Loans that are to be ABR Loans, at least one Business Day’s prior written notice and (ii) in the case of a Borrowing of Term A Loans to be made on the Restatement Effective Date if such Term A Loans are to be LIBOR Loans, at least two Business Day’s prior written notice. Such notice (a “</w:t>
      </w:r>
      <w:r>
        <w:rPr>
          <w:rFonts w:ascii="Arial" w:cs="Arial" w:eastAsia="Arial" w:hAnsi="Arial"/>
          <w:sz w:val="17"/>
          <w:szCs w:val="17"/>
          <w:b w:val="1"/>
          <w:bCs w:val="1"/>
          <w:color w:val="auto"/>
        </w:rPr>
        <w:t>Notice of Borrowing</w:t>
      </w:r>
      <w:r>
        <w:rPr>
          <w:rFonts w:ascii="Arial" w:cs="Arial" w:eastAsia="Arial" w:hAnsi="Arial"/>
          <w:sz w:val="17"/>
          <w:szCs w:val="17"/>
          <w:color w:val="auto"/>
        </w:rPr>
        <w:t>”) shall specify (A) the aggregate principal amount of the Term Loans to be made, (B) the date of the Borrowing (which shall be the Restatement Effective Date) and (C) whether the Term A Loans shall consist of ABR Loans and/or LIBOR Loans and, if the Term A Loans are to include LIBOR Loans, the Interest Period to be initially applicable thereto. A Notice of Borrowing may be in such other form as may be approved by the Administrative Agent (including any form on an electronic platform or electronic transmission system as shall be approved by the Administrative Agent), appropriately completed and signed by an Authorized Officer of the Borrower. A Notice of Borrowing may be given by (x) telephone or (y) a written Notice of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Administrative Agent of a written Notice of Borrowing. If no election as to the Type of Borrowing is specified in any such notice, then the requested Borrowing shall be an ABR Borrowing. If no Interest Period with respect to any Borrowing of LIBOR Loans is specified in any such notice, then the Borrower shall be deemed to have selected an Interest Period of one month’s duration. The Administrative Agent shall promptly advise the applicable Lenders of any notice given pursuant to this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(and the contents thereof), and of each Lender’s pro rata share of the requested Borrowing.</w:t>
      </w:r>
    </w:p>
    <w:p>
      <w:pPr>
        <w:spacing w:after="0" w:line="187" w:lineRule="exact"/>
        <w:rPr>
          <w:rFonts w:ascii="Arial" w:cs="Arial" w:eastAsia="Arial" w:hAnsi="Arial"/>
          <w:sz w:val="17"/>
          <w:szCs w:val="17"/>
          <w:color w:val="auto"/>
        </w:rPr>
      </w:pPr>
    </w:p>
    <w:p>
      <w:pPr>
        <w:ind w:right="120" w:firstLine="656"/>
        <w:spacing w:after="0" w:line="269" w:lineRule="auto"/>
        <w:tabs>
          <w:tab w:leader="none" w:pos="12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Whenever the Borrower desires to incur Revolving Credit Loans (other than Mandatory Borrowings or borrowings to repay Unpaid Drawings), the Borrower shall give the Administrative Agent at the Administrative Agent’s Office, (i) prior to 12:00 noon (New York City Time) at least three Business Days’ prior written notice of each Borrowing of LIBOR Loans that are Revolving Credit Loans and (ii) prior to 10:00 a.m. (New York City time) on the day of such Borrowing prior written notice of each Borrowing of Revolving Credit Loans that are ABR Loans. Such Notice may be given by telephone;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Administrative Agent of a Notice of Borrowing. Each such Notice of Borrowing, except as otherwise expressly provided in </w:t>
      </w:r>
      <w:r>
        <w:rPr>
          <w:rFonts w:ascii="Arial" w:cs="Arial" w:eastAsia="Arial" w:hAnsi="Arial"/>
          <w:sz w:val="17"/>
          <w:szCs w:val="17"/>
          <w:u w:val="single" w:color="auto"/>
          <w:color w:val="auto"/>
        </w:rPr>
        <w:t>Section 2.10</w:t>
      </w:r>
      <w:r>
        <w:rPr>
          <w:rFonts w:ascii="Arial" w:cs="Arial" w:eastAsia="Arial" w:hAnsi="Arial"/>
          <w:sz w:val="17"/>
          <w:szCs w:val="17"/>
          <w:color w:val="auto"/>
        </w:rPr>
        <w:t>, shall specify (x) the aggregate principal amount of the Revolving Credit Loans to be made pursuant to such Borrowing, (y) the date of Borrowing (which shall be a Business Day) and (z) whether the respective Borrowing shall consist of ABR Loans or LIBOR Loans that are Revolving Credit Loans and, if LIBOR 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ind w:left="-40" w:right="120" w:firstLine="656"/>
        <w:spacing w:after="0" w:line="259" w:lineRule="auto"/>
        <w:tabs>
          <w:tab w:leader="none" w:pos="12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Whenever the Borrower desires to incur Swingline Loans hereunder, the Borrower shall give the Swingline Lender written notice with a copy to the Administrative Agent of each Borrowing of Swingline Loans prior to 2:00 p.m. (New York City time) on the date of such Borrowing. Each such notice shall specify (x) the aggregate principal amount of the Swingline Loans to be made pursuant to such Borrowing and (y) the date of Borrowing (which shall be a Business Day).</w:t>
      </w:r>
    </w:p>
    <w:p>
      <w:pPr>
        <w:spacing w:after="0" w:line="186" w:lineRule="exact"/>
        <w:rPr>
          <w:rFonts w:ascii="Arial" w:cs="Arial" w:eastAsia="Arial" w:hAnsi="Arial"/>
          <w:sz w:val="18"/>
          <w:szCs w:val="18"/>
          <w:color w:val="auto"/>
        </w:rPr>
      </w:pPr>
    </w:p>
    <w:p>
      <w:pPr>
        <w:ind w:left="-40" w:right="80" w:firstLine="656"/>
        <w:spacing w:after="0" w:line="277" w:lineRule="auto"/>
        <w:tabs>
          <w:tab w:leader="none" w:pos="12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Mandatory Borrowings shall be made upon the notice specified in </w:t>
      </w:r>
      <w:r>
        <w:rPr>
          <w:rFonts w:ascii="Arial" w:cs="Arial" w:eastAsia="Arial" w:hAnsi="Arial"/>
          <w:sz w:val="18"/>
          <w:szCs w:val="18"/>
          <w:u w:val="single" w:color="auto"/>
          <w:color w:val="auto"/>
        </w:rPr>
        <w:t>Section 2.1(d)</w:t>
      </w:r>
      <w:r>
        <w:rPr>
          <w:rFonts w:ascii="Arial" w:cs="Arial" w:eastAsia="Arial" w:hAnsi="Arial"/>
          <w:sz w:val="18"/>
          <w:szCs w:val="18"/>
          <w:color w:val="auto"/>
        </w:rPr>
        <w:t>, with the Borrower irrevocably agreeing, by its incurrence of any Swingline Loan, to the making of Mandatory Borrowings as set forth in such Section.</w:t>
      </w:r>
    </w:p>
    <w:p>
      <w:pPr>
        <w:spacing w:after="0" w:line="170" w:lineRule="exact"/>
        <w:rPr>
          <w:rFonts w:ascii="Arial" w:cs="Arial" w:eastAsia="Arial" w:hAnsi="Arial"/>
          <w:sz w:val="18"/>
          <w:szCs w:val="18"/>
          <w:color w:val="auto"/>
        </w:rPr>
      </w:pPr>
    </w:p>
    <w:p>
      <w:pPr>
        <w:ind w:left="1220" w:hanging="604"/>
        <w:spacing w:after="0"/>
        <w:tabs>
          <w:tab w:leader="none" w:pos="1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Borrowings to reimburse Unpaid Drawings shall be made upon the notice specified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300" w:firstLine="656"/>
        <w:spacing w:after="0" w:line="286" w:lineRule="auto"/>
        <w:tabs>
          <w:tab w:leader="none" w:pos="119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Holdings or the Borrower.</w:t>
      </w:r>
    </w:p>
    <w:p>
      <w:pPr>
        <w:spacing w:after="0" w:line="16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Disbursement of Funds</w:t>
      </w:r>
      <w:r>
        <w:rPr>
          <w:rFonts w:ascii="Arial" w:cs="Arial" w:eastAsia="Arial" w:hAnsi="Arial"/>
          <w:sz w:val="16"/>
          <w:szCs w:val="16"/>
          <w:color w:val="auto"/>
        </w:rPr>
        <w:t>.</w:t>
      </w:r>
    </w:p>
    <w:p>
      <w:pPr>
        <w:spacing w:after="0" w:line="225" w:lineRule="exact"/>
        <w:rPr>
          <w:sz w:val="20"/>
          <w:szCs w:val="20"/>
          <w:color w:val="auto"/>
        </w:rPr>
      </w:pPr>
    </w:p>
    <w:p>
      <w:pPr>
        <w:ind w:left="-40" w:right="60" w:firstLine="656"/>
        <w:spacing w:after="0" w:line="276" w:lineRule="auto"/>
        <w:tabs>
          <w:tab w:leader="none" w:pos="1213"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No later than 2:00 p.m. (New York City time) on the date specified in each Notice of Borrowing (including Mandatory Borrowings), each Lender shall make available its pro rata portion, if any, of each Borrowing requested to be made on such date in the manner provided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the Restatement Effective Date, such funds may be made available at such earlier time as may be agreed among the Lenders, Holdings, and the Administrative Agent for the purpose of consummating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all Swingline Loans shall be made available to the Borrower in the full amount thereof by the Swingline Lender no later than 4:00 p.m. (New York City time).</w:t>
      </w:r>
    </w:p>
    <w:p>
      <w:pPr>
        <w:spacing w:after="0" w:line="172" w:lineRule="exact"/>
        <w:rPr>
          <w:rFonts w:ascii="Arial" w:cs="Arial" w:eastAsia="Arial" w:hAnsi="Arial"/>
          <w:sz w:val="17"/>
          <w:szCs w:val="17"/>
          <w:color w:val="auto"/>
        </w:rPr>
      </w:pPr>
    </w:p>
    <w:p>
      <w:pPr>
        <w:ind w:left="-40" w:firstLine="656"/>
        <w:spacing w:after="0" w:line="286" w:lineRule="auto"/>
        <w:tabs>
          <w:tab w:leader="none" w:pos="1223"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Each Lender shall make available all amounts it is to fund to the Borrower under any Borrowing for its applicable Commitments, in Dollars and in immediately available funds, to the Administrative Agent at the Administrative Agent’s Office and the Administrative Agent will (except in the case of Mandatory Borrowings and Borrowings to repay Unpaid Drawings) make available to the Borrower, by depositing to an account designated by Holdings or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for the respective Loans.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97" w:name="page98"/>
    <w:bookmarkEnd w:id="97"/>
    <w:p>
      <w:pPr>
        <w:ind w:right="160" w:firstLine="656"/>
        <w:spacing w:after="0" w:line="264" w:lineRule="auto"/>
        <w:tabs>
          <w:tab w:leader="none" w:pos="12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4" w:lineRule="auto"/>
        <w:tabs>
          <w:tab w:leader="none" w:pos="12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Borrower shall repay to the Administrative Agent, for the benefit of the applicable Lenders, on the Term A Loan Maturity Date, the then outstanding Term A Loans. The Borrower shall repay to the Administrative Agent for the benefit of the Revolving Credit Lenders, on the Revolving Credit Maturity Date, the then outstanding Revolving Credit Loans.</w:t>
      </w:r>
    </w:p>
    <w:p>
      <w:pPr>
        <w:spacing w:after="0" w:line="181" w:lineRule="exact"/>
        <w:rPr>
          <w:rFonts w:ascii="Arial" w:cs="Arial" w:eastAsia="Arial" w:hAnsi="Arial"/>
          <w:sz w:val="18"/>
          <w:szCs w:val="18"/>
          <w:color w:val="auto"/>
        </w:rPr>
      </w:pPr>
    </w:p>
    <w:p>
      <w:pPr>
        <w:ind w:right="120" w:firstLine="656"/>
        <w:spacing w:after="0" w:line="259" w:lineRule="auto"/>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Borrower shall repay to the Administrative Agent for the benefit of the Term A Lenders, (x) on each date set forth below (or if not a Business Day the immediately succeeding Business Day) (each, a “</w:t>
      </w:r>
      <w:r>
        <w:rPr>
          <w:rFonts w:ascii="Arial" w:cs="Arial" w:eastAsia="Arial" w:hAnsi="Arial"/>
          <w:sz w:val="18"/>
          <w:szCs w:val="18"/>
          <w:b w:val="1"/>
          <w:bCs w:val="1"/>
          <w:color w:val="auto"/>
        </w:rPr>
        <w:t>Term A Loan Repayment Date</w:t>
      </w:r>
      <w:r>
        <w:rPr>
          <w:rFonts w:ascii="Arial" w:cs="Arial" w:eastAsia="Arial" w:hAnsi="Arial"/>
          <w:sz w:val="18"/>
          <w:szCs w:val="18"/>
          <w:color w:val="auto"/>
        </w:rPr>
        <w:t>”), a principal amount equal to the applicable amount set forth below opposite such Term A Loan Repayment Date and (y) on the Term A Loan Maturity Date, any remaining outstanding amount of Term A Loans (each, a “</w:t>
      </w:r>
      <w:r>
        <w:rPr>
          <w:rFonts w:ascii="Arial" w:cs="Arial" w:eastAsia="Arial" w:hAnsi="Arial"/>
          <w:sz w:val="18"/>
          <w:szCs w:val="18"/>
          <w:b w:val="1"/>
          <w:bCs w:val="1"/>
          <w:color w:val="auto"/>
        </w:rPr>
        <w:t>Term A Loan Repayment Amount</w:t>
      </w:r>
      <w:r>
        <w:rPr>
          <w:rFonts w:ascii="Arial" w:cs="Arial" w:eastAsia="Arial" w:hAnsi="Arial"/>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4100" w:type="dxa"/>
            <w:vAlign w:val="bottom"/>
          </w:tcPr>
          <w:p>
            <w:pPr>
              <w:jc w:val="center"/>
              <w:ind w:left="1550"/>
              <w:spacing w:after="0"/>
              <w:rPr>
                <w:sz w:val="20"/>
                <w:szCs w:val="20"/>
                <w:color w:val="auto"/>
              </w:rPr>
            </w:pPr>
            <w:r>
              <w:rPr>
                <w:rFonts w:ascii="Arial" w:cs="Arial" w:eastAsia="Arial" w:hAnsi="Arial"/>
                <w:sz w:val="18"/>
                <w:szCs w:val="18"/>
                <w:b w:val="1"/>
                <w:bCs w:val="1"/>
                <w:color w:val="auto"/>
                <w:w w:val="92"/>
              </w:rPr>
              <w:t>Term A Loan Repayment Date</w:t>
            </w:r>
          </w:p>
        </w:tc>
        <w:tc>
          <w:tcPr>
            <w:tcW w:w="4440" w:type="dxa"/>
            <w:vAlign w:val="bottom"/>
            <w:gridSpan w:val="2"/>
          </w:tcPr>
          <w:p>
            <w:pPr>
              <w:ind w:left="1720"/>
              <w:spacing w:after="0"/>
              <w:rPr>
                <w:sz w:val="20"/>
                <w:szCs w:val="20"/>
                <w:color w:val="auto"/>
              </w:rPr>
            </w:pPr>
            <w:r>
              <w:rPr>
                <w:rFonts w:ascii="Arial" w:cs="Arial" w:eastAsia="Arial" w:hAnsi="Arial"/>
                <w:sz w:val="18"/>
                <w:szCs w:val="18"/>
                <w:b w:val="1"/>
                <w:bCs w:val="1"/>
                <w:color w:val="auto"/>
                <w:w w:val="94"/>
              </w:rPr>
              <w:t>Term A Loan Repayment Amount</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89"/>
              </w:rPr>
              <w:t>December 31, 2019</w:t>
            </w:r>
          </w:p>
        </w:tc>
        <w:tc>
          <w:tcPr>
            <w:tcW w:w="27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91"/>
              </w:rPr>
              <w:t>March 31, 2020</w:t>
            </w:r>
          </w:p>
        </w:tc>
        <w:tc>
          <w:tcPr>
            <w:tcW w:w="27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89"/>
              </w:rPr>
              <w:t>June 30, 2020</w:t>
            </w:r>
          </w:p>
        </w:tc>
        <w:tc>
          <w:tcPr>
            <w:tcW w:w="27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89"/>
              </w:rPr>
              <w:t>September 30, 2020</w:t>
            </w:r>
          </w:p>
        </w:tc>
        <w:tc>
          <w:tcPr>
            <w:tcW w:w="27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89"/>
              </w:rPr>
              <w:t>December 31, 2020</w:t>
            </w:r>
          </w:p>
        </w:tc>
        <w:tc>
          <w:tcPr>
            <w:tcW w:w="27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91"/>
              </w:rPr>
              <w:t>March 31, 2021</w:t>
            </w:r>
          </w:p>
        </w:tc>
        <w:tc>
          <w:tcPr>
            <w:tcW w:w="27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89"/>
              </w:rPr>
              <w:t>June 30, 2021</w:t>
            </w:r>
          </w:p>
        </w:tc>
        <w:tc>
          <w:tcPr>
            <w:tcW w:w="27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89"/>
              </w:rPr>
              <w:t>September 30, 2021</w:t>
            </w:r>
          </w:p>
        </w:tc>
        <w:tc>
          <w:tcPr>
            <w:tcW w:w="27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89"/>
              </w:rPr>
              <w:t>December 31, 2021</w:t>
            </w:r>
          </w:p>
        </w:tc>
        <w:tc>
          <w:tcPr>
            <w:tcW w:w="27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10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91"/>
              </w:rPr>
              <w:t>March 31, 2022</w:t>
            </w:r>
          </w:p>
        </w:tc>
        <w:tc>
          <w:tcPr>
            <w:tcW w:w="27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1440" w:type="dxa"/>
            <w:vAlign w:val="bottom"/>
          </w:tcPr>
          <w:p>
            <w:pPr>
              <w:spacing w:after="0"/>
              <w:rPr>
                <w:sz w:val="18"/>
                <w:szCs w:val="18"/>
                <w:color w:val="auto"/>
              </w:rPr>
            </w:pPr>
          </w:p>
        </w:tc>
      </w:tr>
      <w:tr>
        <w:trPr>
          <w:trHeight w:val="675"/>
        </w:trPr>
        <w:tc>
          <w:tcPr>
            <w:tcW w:w="14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-64-</w:t>
            </w:r>
          </w:p>
        </w:tc>
        <w:tc>
          <w:tcPr>
            <w:tcW w:w="17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8" w:name="page99"/>
    <w:bookmarkEnd w:id="98"/>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4940" w:type="dxa"/>
            <w:vAlign w:val="bottom"/>
          </w:tcPr>
          <w:p>
            <w:pPr>
              <w:jc w:val="center"/>
              <w:ind w:left="710"/>
              <w:spacing w:after="0"/>
              <w:rPr>
                <w:sz w:val="20"/>
                <w:szCs w:val="20"/>
                <w:color w:val="auto"/>
              </w:rPr>
            </w:pPr>
            <w:r>
              <w:rPr>
                <w:rFonts w:ascii="Arial" w:cs="Arial" w:eastAsia="Arial" w:hAnsi="Arial"/>
                <w:sz w:val="18"/>
                <w:szCs w:val="18"/>
                <w:b w:val="1"/>
                <w:bCs w:val="1"/>
                <w:color w:val="auto"/>
                <w:w w:val="92"/>
              </w:rPr>
              <w:t>Term A Loan Repayment Date</w:t>
            </w:r>
          </w:p>
        </w:tc>
        <w:tc>
          <w:tcPr>
            <w:tcW w:w="3600" w:type="dxa"/>
            <w:vAlign w:val="bottom"/>
            <w:gridSpan w:val="2"/>
          </w:tcPr>
          <w:p>
            <w:pPr>
              <w:ind w:left="880"/>
              <w:spacing w:after="0"/>
              <w:rPr>
                <w:sz w:val="20"/>
                <w:szCs w:val="20"/>
                <w:color w:val="auto"/>
              </w:rPr>
            </w:pPr>
            <w:r>
              <w:rPr>
                <w:rFonts w:ascii="Arial" w:cs="Arial" w:eastAsia="Arial" w:hAnsi="Arial"/>
                <w:sz w:val="18"/>
                <w:szCs w:val="18"/>
                <w:b w:val="1"/>
                <w:bCs w:val="1"/>
                <w:color w:val="auto"/>
                <w:w w:val="94"/>
              </w:rPr>
              <w:t>Term A Loan Repayment Amount</w:t>
            </w: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49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June 30, 2022</w:t>
            </w:r>
          </w:p>
        </w:tc>
        <w:tc>
          <w:tcPr>
            <w:tcW w:w="1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49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September 30, 2022</w:t>
            </w:r>
          </w:p>
        </w:tc>
        <w:tc>
          <w:tcPr>
            <w:tcW w:w="1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w:t>
            </w: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49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December 31, 2022</w:t>
            </w:r>
          </w:p>
        </w:tc>
        <w:tc>
          <w:tcPr>
            <w:tcW w:w="1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49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1"/>
              </w:rPr>
              <w:t>March 31, 2023</w:t>
            </w:r>
          </w:p>
        </w:tc>
        <w:tc>
          <w:tcPr>
            <w:tcW w:w="1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49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June 30, 2023</w:t>
            </w:r>
          </w:p>
        </w:tc>
        <w:tc>
          <w:tcPr>
            <w:tcW w:w="1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49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September 30, 2023</w:t>
            </w:r>
          </w:p>
        </w:tc>
        <w:tc>
          <w:tcPr>
            <w:tcW w:w="1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49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December 31, 2023</w:t>
            </w:r>
          </w:p>
        </w:tc>
        <w:tc>
          <w:tcPr>
            <w:tcW w:w="1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49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1"/>
              </w:rPr>
              <w:t>March 31, 2024</w:t>
            </w:r>
          </w:p>
        </w:tc>
        <w:tc>
          <w:tcPr>
            <w:tcW w:w="1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49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June 30, 2024</w:t>
            </w:r>
          </w:p>
        </w:tc>
        <w:tc>
          <w:tcPr>
            <w:tcW w:w="1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w:t>
            </w:r>
          </w:p>
        </w:tc>
      </w:tr>
      <w:tr>
        <w:trPr>
          <w:trHeight w:val="216"/>
        </w:trPr>
        <w:tc>
          <w:tcPr>
            <w:tcW w:w="4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4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58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w w:val="93"/>
              </w:rPr>
              <w:t>Remaining outstanding principal</w:t>
            </w:r>
          </w:p>
        </w:tc>
      </w:tr>
      <w:tr>
        <w:trPr>
          <w:trHeight w:val="230"/>
        </w:trPr>
        <w:tc>
          <w:tcPr>
            <w:tcW w:w="494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3"/>
              </w:rPr>
              <w:t>Term A Loan Maturity Date</w:t>
            </w:r>
          </w:p>
        </w:tc>
        <w:tc>
          <w:tcPr>
            <w:tcW w:w="1020" w:type="dxa"/>
            <w:vAlign w:val="bottom"/>
            <w:shd w:val="clear" w:color="auto" w:fill="CCEEFF"/>
          </w:tcPr>
          <w:p>
            <w:pPr>
              <w:spacing w:after="0"/>
              <w:rPr>
                <w:sz w:val="20"/>
                <w:szCs w:val="20"/>
                <w:color w:val="auto"/>
              </w:rPr>
            </w:pPr>
          </w:p>
        </w:tc>
        <w:tc>
          <w:tcPr>
            <w:tcW w:w="2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amount of Term A Loans</w:t>
            </w:r>
          </w:p>
        </w:tc>
      </w:tr>
    </w:tbl>
    <w:p>
      <w:pPr>
        <w:spacing w:after="0" w:line="202" w:lineRule="exact"/>
        <w:rPr>
          <w:sz w:val="20"/>
          <w:szCs w:val="20"/>
          <w:color w:val="auto"/>
        </w:rPr>
      </w:pPr>
    </w:p>
    <w:p>
      <w:pPr>
        <w:ind w:left="-60" w:firstLine="656"/>
        <w:spacing w:after="0" w:line="273" w:lineRule="auto"/>
        <w:tabs>
          <w:tab w:leader="none" w:pos="1193"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In the event that any New Term Loans are made, such New Term Loans shall, subject to </w:t>
      </w:r>
      <w:r>
        <w:rPr>
          <w:rFonts w:ascii="Arial" w:cs="Arial" w:eastAsia="Arial" w:hAnsi="Arial"/>
          <w:sz w:val="17"/>
          <w:szCs w:val="17"/>
          <w:u w:val="single" w:color="auto"/>
          <w:color w:val="auto"/>
        </w:rPr>
        <w:t>Section 2.14(d)</w:t>
      </w:r>
      <w:r>
        <w:rPr>
          <w:rFonts w:ascii="Arial" w:cs="Arial" w:eastAsia="Arial" w:hAnsi="Arial"/>
          <w:sz w:val="17"/>
          <w:szCs w:val="17"/>
          <w:color w:val="auto"/>
        </w:rPr>
        <w:t>, be repaid by the Borrower in the amounts (each, a “</w:t>
      </w:r>
      <w:r>
        <w:rPr>
          <w:rFonts w:ascii="Arial" w:cs="Arial" w:eastAsia="Arial" w:hAnsi="Arial"/>
          <w:sz w:val="17"/>
          <w:szCs w:val="17"/>
          <w:b w:val="1"/>
          <w:bCs w:val="1"/>
          <w:color w:val="auto"/>
        </w:rPr>
        <w:t>New Term Loan Repayment Amount</w:t>
      </w:r>
      <w:r>
        <w:rPr>
          <w:rFonts w:ascii="Arial" w:cs="Arial" w:eastAsia="Arial" w:hAnsi="Arial"/>
          <w:sz w:val="17"/>
          <w:szCs w:val="17"/>
          <w:color w:val="auto"/>
        </w:rPr>
        <w:t>”) and on the dates (each a “</w:t>
      </w:r>
      <w:r>
        <w:rPr>
          <w:rFonts w:ascii="Arial" w:cs="Arial" w:eastAsia="Arial" w:hAnsi="Arial"/>
          <w:sz w:val="17"/>
          <w:szCs w:val="17"/>
          <w:b w:val="1"/>
          <w:bCs w:val="1"/>
          <w:color w:val="auto"/>
        </w:rPr>
        <w:t>New Term Loan Repayment Date</w:t>
      </w:r>
      <w:r>
        <w:rPr>
          <w:rFonts w:ascii="Arial" w:cs="Arial" w:eastAsia="Arial" w:hAnsi="Arial"/>
          <w:sz w:val="17"/>
          <w:szCs w:val="17"/>
          <w:color w:val="auto"/>
        </w:rPr>
        <w:t xml:space="preserve">”) set forth in the applicable Joinder Agreement and subject to any adjustment to ensure fungibility with the other Term Loans as reasonably determined by the Administrative Agent and the Borrower. In the event that any Extended Term Loans are established, such Extended Term Loans shall, subject to </w:t>
      </w:r>
      <w:r>
        <w:rPr>
          <w:rFonts w:ascii="Arial" w:cs="Arial" w:eastAsia="Arial" w:hAnsi="Arial"/>
          <w:sz w:val="17"/>
          <w:szCs w:val="17"/>
          <w:u w:val="single" w:color="auto"/>
          <w:color w:val="auto"/>
        </w:rPr>
        <w:t>Section 2.14(g)</w:t>
      </w:r>
      <w:r>
        <w:rPr>
          <w:rFonts w:ascii="Arial" w:cs="Arial" w:eastAsia="Arial" w:hAnsi="Arial"/>
          <w:sz w:val="17"/>
          <w:szCs w:val="17"/>
          <w:color w:val="auto"/>
        </w:rPr>
        <w:t>, be repaid by the Borrower in the amounts (each such amount with respect to any Extended Repayment Date, an “</w:t>
      </w:r>
      <w:r>
        <w:rPr>
          <w:rFonts w:ascii="Arial" w:cs="Arial" w:eastAsia="Arial" w:hAnsi="Arial"/>
          <w:sz w:val="17"/>
          <w:szCs w:val="17"/>
          <w:b w:val="1"/>
          <w:bCs w:val="1"/>
          <w:color w:val="auto"/>
        </w:rPr>
        <w:t>Extended Term Loan Repayment Amount</w:t>
      </w:r>
      <w:r>
        <w:rPr>
          <w:rFonts w:ascii="Arial" w:cs="Arial" w:eastAsia="Arial" w:hAnsi="Arial"/>
          <w:sz w:val="17"/>
          <w:szCs w:val="17"/>
          <w:color w:val="auto"/>
        </w:rPr>
        <w:t>”) and on the dates (each, an “</w:t>
      </w:r>
      <w:r>
        <w:rPr>
          <w:rFonts w:ascii="Arial" w:cs="Arial" w:eastAsia="Arial" w:hAnsi="Arial"/>
          <w:sz w:val="17"/>
          <w:szCs w:val="17"/>
          <w:b w:val="1"/>
          <w:bCs w:val="1"/>
          <w:color w:val="auto"/>
        </w:rPr>
        <w:t>Extended Repayment Date</w:t>
      </w:r>
      <w:r>
        <w:rPr>
          <w:rFonts w:ascii="Arial" w:cs="Arial" w:eastAsia="Arial" w:hAnsi="Arial"/>
          <w:sz w:val="17"/>
          <w:szCs w:val="17"/>
          <w:color w:val="auto"/>
        </w:rPr>
        <w:t>”) set forth in the applicable Extension Amendment.</w:t>
      </w:r>
    </w:p>
    <w:p>
      <w:pPr>
        <w:spacing w:after="0" w:line="178" w:lineRule="exact"/>
        <w:rPr>
          <w:rFonts w:ascii="Arial" w:cs="Arial" w:eastAsia="Arial" w:hAnsi="Arial"/>
          <w:sz w:val="17"/>
          <w:szCs w:val="17"/>
          <w:color w:val="auto"/>
        </w:rPr>
      </w:pPr>
    </w:p>
    <w:p>
      <w:pPr>
        <w:ind w:left="-60" w:right="60" w:firstLine="656"/>
        <w:spacing w:after="0" w:line="286" w:lineRule="auto"/>
        <w:tabs>
          <w:tab w:leader="none" w:pos="1203"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spacing w:after="0" w:line="165" w:lineRule="exact"/>
        <w:rPr>
          <w:rFonts w:ascii="Arial" w:cs="Arial" w:eastAsia="Arial" w:hAnsi="Arial"/>
          <w:sz w:val="17"/>
          <w:szCs w:val="17"/>
          <w:color w:val="auto"/>
        </w:rPr>
      </w:pPr>
    </w:p>
    <w:p>
      <w:pPr>
        <w:ind w:left="-60" w:right="100" w:firstLine="656"/>
        <w:spacing w:after="0" w:line="297" w:lineRule="auto"/>
        <w:tabs>
          <w:tab w:leader="none" w:pos="119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Administrative Agent shall maintain the Register pursuant to </w:t>
      </w:r>
      <w:r>
        <w:rPr>
          <w:rFonts w:ascii="Arial" w:cs="Arial" w:eastAsia="Arial" w:hAnsi="Arial"/>
          <w:sz w:val="16"/>
          <w:szCs w:val="16"/>
          <w:u w:val="single" w:color="auto"/>
          <w:color w:val="auto"/>
        </w:rPr>
        <w:t>Section 13.6(b)</w:t>
      </w:r>
      <w:r>
        <w:rPr>
          <w:rFonts w:ascii="Arial" w:cs="Arial" w:eastAsia="Arial" w:hAnsi="Arial"/>
          <w:sz w:val="16"/>
          <w:szCs w:val="16"/>
          <w:color w:val="auto"/>
        </w:rPr>
        <w:t>, and a subaccount for each Lender, in which Register and subaccounts (taken together) shall be recorded (i) the amount of each Loan made hereunder, whether such Loan is a Term A Loan, New Term Loan, Revolving Credit Loan or Swingline Loan, as applicable, the Type of each Loan made, the name of the Borrower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4" w:right="279" w:bottom="1440" w:gutter="0" w:footer="0" w:header="0"/>
        </w:sectPr>
      </w:pPr>
    </w:p>
    <w:bookmarkStart w:id="99" w:name="page100"/>
    <w:bookmarkEnd w:id="99"/>
    <w:p>
      <w:pPr>
        <w:ind w:left="-8" w:firstLine="656"/>
        <w:spacing w:after="0" w:line="255" w:lineRule="auto"/>
        <w:tabs>
          <w:tab w:leader="none" w:pos="1222"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accounts and subaccounts maintained pursuant to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to the extent permitted by applicable law, be prima facie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any inconsistency between the Registrar and any such account or subaccount, the Registrar shall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failure of any Lender, the Administrative Agent or the Swingline Lender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spacing w:after="0" w:line="193" w:lineRule="exact"/>
        <w:rPr>
          <w:rFonts w:ascii="Arial" w:cs="Arial" w:eastAsia="Arial" w:hAnsi="Arial"/>
          <w:sz w:val="18"/>
          <w:szCs w:val="18"/>
          <w:color w:val="auto"/>
        </w:rPr>
      </w:pPr>
    </w:p>
    <w:p>
      <w:pPr>
        <w:ind w:left="-8" w:right="120" w:firstLine="656"/>
        <w:spacing w:after="0" w:line="273" w:lineRule="auto"/>
        <w:tabs>
          <w:tab w:leader="none" w:pos="1252"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Arial" w:cs="Arial" w:eastAsia="Arial" w:hAnsi="Arial"/>
          <w:sz w:val="17"/>
          <w:szCs w:val="17"/>
          <w:u w:val="single" w:color="auto"/>
          <w:color w:val="auto"/>
        </w:rPr>
        <w:t>Exhibit G-1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G-2</w:t>
      </w:r>
      <w:r>
        <w:rPr>
          <w:rFonts w:ascii="Arial" w:cs="Arial" w:eastAsia="Arial" w:hAnsi="Arial"/>
          <w:sz w:val="17"/>
          <w:szCs w:val="17"/>
          <w:color w:val="auto"/>
        </w:rPr>
        <w:t xml:space="preserve">, as applicable, evidencing the (i) Revolving Loans or Swingline Loans and (ii) Term A Loans (including New Term Loans), respectively, owing to such Lender. Thereafter, unless otherwise agreed to by the applicable Lender, the Loans evidenced by such promissory note and interest thereon shall at all times (including after assignment pursuant to </w:t>
      </w:r>
      <w:r>
        <w:rPr>
          <w:rFonts w:ascii="Arial" w:cs="Arial" w:eastAsia="Arial" w:hAnsi="Arial"/>
          <w:sz w:val="17"/>
          <w:szCs w:val="17"/>
          <w:u w:val="single" w:color="auto"/>
          <w:color w:val="auto"/>
        </w:rPr>
        <w:t>Section 13.6</w:t>
      </w:r>
      <w:r>
        <w:rPr>
          <w:rFonts w:ascii="Arial" w:cs="Arial" w:eastAsia="Arial" w:hAnsi="Arial"/>
          <w:sz w:val="17"/>
          <w:szCs w:val="17"/>
          <w:color w:val="auto"/>
        </w:rPr>
        <w:t>) be represented by one or more promissory notes in such form payable to the order of the payee named therein (or, if requested by such payee, to such payee and its registered assigns).</w:t>
      </w:r>
    </w:p>
    <w:p>
      <w:pPr>
        <w:spacing w:after="0" w:line="178" w:lineRule="exact"/>
        <w:rPr>
          <w:sz w:val="20"/>
          <w:szCs w:val="20"/>
          <w:color w:val="auto"/>
        </w:rPr>
      </w:pPr>
    </w:p>
    <w:p>
      <w:pPr>
        <w:ind w:left="652"/>
        <w:spacing w:after="0"/>
        <w:tabs>
          <w:tab w:leader="none" w:pos="121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Conversions and Continuations</w:t>
      </w:r>
      <w:r>
        <w:rPr>
          <w:rFonts w:ascii="Arial" w:cs="Arial" w:eastAsia="Arial" w:hAnsi="Arial"/>
          <w:sz w:val="16"/>
          <w:szCs w:val="16"/>
          <w:color w:val="auto"/>
        </w:rPr>
        <w:t>.</w:t>
      </w:r>
    </w:p>
    <w:p>
      <w:pPr>
        <w:spacing w:after="0" w:line="225" w:lineRule="exact"/>
        <w:rPr>
          <w:sz w:val="20"/>
          <w:szCs w:val="20"/>
          <w:color w:val="auto"/>
        </w:rPr>
      </w:pPr>
    </w:p>
    <w:p>
      <w:pPr>
        <w:ind w:left="-8" w:right="40" w:firstLine="656"/>
        <w:spacing w:after="0" w:line="283" w:lineRule="auto"/>
        <w:tabs>
          <w:tab w:leader="none" w:pos="1245"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Subject to the penultimate sentence of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(x) the Borrower shall have the option on any Business Day to convert all or a portion equal to at least $5,000,000 of the outstanding principal amount of Term Loans of one Type or Revolving Credit Loans of one Type into a Borrowing or Borrowings of another Type and (y) the Borrower shall have the option on any Business Day to continue the outstanding principal amount of any LIBOR Loans as LIBOR Loans for an additional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partial conversion of LIBOR Loans shall reduce the outstanding principal amount of LIBOR Loans made pursuant to a single Borrowing to less than the Minimum Borrowing Amount, (ii) ABR Loans may not be converted into LIBOR Loans if an Event of Default is in existence on the date of the conversion and the Administrative Agent has or the Required Lenders have determined in its or their sole discretion not to permit such conversion, (iii) LIBOR Loans may not be continued as LIBOR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shall be limited in number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 Each such conversion or continuation shall be effected by the Borrower by giving the Administrative Agent at the Administrative Agent’s Office prior to 1:00 p.m. (New York City time) at least (i) three Business Days prior, in the case of a continuation of or conversion to LIBOR Loans (other than in the case of a notice delivered on the Restatement Effective Date, which shall be deemed to be effective on the Restatement Effective Date), or</w:t>
      </w:r>
    </w:p>
    <w:p>
      <w:pPr>
        <w:spacing w:after="0" w:line="3" w:lineRule="exact"/>
        <w:rPr>
          <w:rFonts w:ascii="Arial" w:cs="Arial" w:eastAsia="Arial" w:hAnsi="Arial"/>
          <w:sz w:val="16"/>
          <w:szCs w:val="16"/>
          <w:color w:val="auto"/>
        </w:rPr>
      </w:pPr>
    </w:p>
    <w:p>
      <w:pPr>
        <w:ind w:left="-8" w:firstLine="8"/>
        <w:spacing w:after="0" w:line="268" w:lineRule="auto"/>
        <w:tabs>
          <w:tab w:leader="none" w:pos="257" w:val="left"/>
        </w:tabs>
        <w:numPr>
          <w:ilvl w:val="0"/>
          <w:numId w:val="70"/>
        </w:numPr>
        <w:rPr>
          <w:rFonts w:ascii="Arial" w:cs="Arial" w:eastAsia="Arial" w:hAnsi="Arial"/>
          <w:sz w:val="17"/>
          <w:szCs w:val="17"/>
          <w:color w:val="auto"/>
        </w:rPr>
      </w:pPr>
      <w:r>
        <w:rPr>
          <w:rFonts w:ascii="Arial" w:cs="Arial" w:eastAsia="Arial" w:hAnsi="Arial"/>
          <w:sz w:val="17"/>
          <w:szCs w:val="17"/>
          <w:color w:val="auto"/>
        </w:rPr>
        <w:t>one Business Day prior in the case of a conversion into ABR Loans (each, a “</w:t>
      </w:r>
      <w:r>
        <w:rPr>
          <w:rFonts w:ascii="Arial" w:cs="Arial" w:eastAsia="Arial" w:hAnsi="Arial"/>
          <w:sz w:val="17"/>
          <w:szCs w:val="17"/>
          <w:b w:val="1"/>
          <w:bCs w:val="1"/>
          <w:color w:val="auto"/>
        </w:rPr>
        <w:t>Notice of Conversion or Continuation</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K</w:t>
      </w:r>
      <w:r>
        <w:rPr>
          <w:rFonts w:ascii="Arial" w:cs="Arial" w:eastAsia="Arial" w:hAnsi="Arial"/>
          <w:sz w:val="17"/>
          <w:szCs w:val="17"/>
          <w:color w:val="auto"/>
        </w:rPr>
        <w:t xml:space="preserve">) specifying the Loans to be so converted or continued, the Type of Loans to be converted or continued into and, if such Loans are to be converted into or continued as LIBOR Loans, the Interest Period to be initially applicable thereto. Such notice may be given by (A) telephone, or (B) a Notice of Conversion;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immediately by delivery to the Administrative Agent of a Notice of Conversion. A Notice of Conversion or Continuation may be in such other form as may be approved by the Administrative Agent (including any form on an electronic platform or electronic transmission system as shall be approved by the Administrative Agent) and shall be appropriately completed and signed by an Authorized Officer of the Borrower. If no Interest Period is specified in any such notice with respect to any conversion to or continuation as a LIBOR Loan, the 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182" w:lineRule="exact"/>
        <w:rPr>
          <w:rFonts w:ascii="Arial" w:cs="Arial" w:eastAsia="Arial" w:hAnsi="Arial"/>
          <w:sz w:val="17"/>
          <w:szCs w:val="17"/>
          <w:color w:val="auto"/>
        </w:rPr>
      </w:pPr>
    </w:p>
    <w:p>
      <w:pPr>
        <w:ind w:left="-8" w:right="20" w:firstLine="656"/>
        <w:spacing w:after="0" w:line="276" w:lineRule="auto"/>
        <w:tabs>
          <w:tab w:leader="none" w:pos="1255"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If any Event of Default is in existence at the time of any proposed continuation of any LIBOR Loans and the Administrative Agent has or the Required Lenders have determined in its or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Arial" w:cs="Arial" w:eastAsia="Arial" w:hAnsi="Arial"/>
          <w:sz w:val="17"/>
          <w:szCs w:val="17"/>
          <w:u w:val="single" w:color="auto"/>
          <w:color w:val="auto"/>
        </w:rPr>
        <w:t>clause (a)</w:t>
      </w:r>
      <w:r>
        <w:rPr>
          <w:rFonts w:ascii="Arial" w:cs="Arial" w:eastAsia="Arial" w:hAnsi="Arial"/>
          <w:sz w:val="17"/>
          <w:szCs w:val="17"/>
          <w:color w:val="auto"/>
        </w:rPr>
        <w:t>, the Borrower shall be deemed to have elected to convert such Borrowing of LIBOR Loans into a Borrowing of ABR Loans, effective as of the expiration date of such current Interest Period.</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00" w:name="page101"/>
    <w:bookmarkEnd w:id="100"/>
    <w:p>
      <w:pPr>
        <w:ind w:right="40"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Pro Rata Borrowings</w:t>
      </w:r>
      <w:r>
        <w:rPr>
          <w:rFonts w:ascii="Arial" w:cs="Arial" w:eastAsia="Arial" w:hAnsi="Arial"/>
          <w:sz w:val="17"/>
          <w:szCs w:val="17"/>
          <w:color w:val="auto"/>
        </w:rPr>
        <w:t>. Each Borrowing of Term A Loans under this Agreement shall be made by the Lenders pro rata on the basis of their then-applicable Term A Loan Commitments. Each Borrowing of Revolving Credit Loans under this Agreement shall be made by the Revolving Credit Lenders pro rata on the basis of their then-applicable Revolving Credit Commitment Percentages. Each Borrowing of New Term Loans under this Agreement shall be made by the Lenders pro rata on the basis of their then-applicable New Term Loan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spacing w:after="0" w:line="17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64" w:lineRule="auto"/>
        <w:tabs>
          <w:tab w:leader="none" w:pos="12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unpaid principal amount of each ABR Loan shall bear interest from the date of the Borrowing thereof until maturity (whether by acceleration or otherwise) at a rate per annum that shall at all times be the Applicable Margin for ABR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ABR, in each case, in effect from time to time.</w:t>
      </w:r>
    </w:p>
    <w:p>
      <w:pPr>
        <w:spacing w:after="0" w:line="181" w:lineRule="exact"/>
        <w:rPr>
          <w:rFonts w:ascii="Arial" w:cs="Arial" w:eastAsia="Arial" w:hAnsi="Arial"/>
          <w:sz w:val="18"/>
          <w:szCs w:val="18"/>
          <w:color w:val="auto"/>
        </w:rPr>
      </w:pPr>
    </w:p>
    <w:p>
      <w:pPr>
        <w:ind w:right="60" w:firstLine="656"/>
        <w:spacing w:after="0" w:line="342" w:lineRule="auto"/>
        <w:tabs>
          <w:tab w:leader="none" w:pos="1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unpaid principal amount of each LIBOR Loan shall bear interest from the date of the Borrowing thereof until maturity thereof (whether by acceleration or otherwise) at a rate per annum that shall at all times be the Applicable Margin for LIBOR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relevant LIBOR Rate.</w:t>
      </w:r>
    </w:p>
    <w:p>
      <w:pPr>
        <w:spacing w:after="0" w:line="123" w:lineRule="exact"/>
        <w:rPr>
          <w:rFonts w:ascii="Arial" w:cs="Arial" w:eastAsia="Arial" w:hAnsi="Arial"/>
          <w:sz w:val="16"/>
          <w:szCs w:val="16"/>
          <w:color w:val="auto"/>
        </w:rPr>
      </w:pPr>
    </w:p>
    <w:p>
      <w:pPr>
        <w:ind w:firstLine="656"/>
        <w:spacing w:after="0" w:line="276" w:lineRule="auto"/>
        <w:tabs>
          <w:tab w:leader="none" w:pos="1253"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all or a portion of (i) the principal amount of any Loan or (ii) any interest payable thereon or any other amount payable hereunder shall not be paid when due (whether at the stated maturity, by acceleration or otherwise), such overdue amount shall bear interest at a rate per annum (the “</w:t>
      </w:r>
      <w:r>
        <w:rPr>
          <w:rFonts w:ascii="Arial" w:cs="Arial" w:eastAsia="Arial" w:hAnsi="Arial"/>
          <w:sz w:val="17"/>
          <w:szCs w:val="17"/>
          <w:b w:val="1"/>
          <w:bCs w:val="1"/>
          <w:color w:val="auto"/>
        </w:rPr>
        <w:t>Default</w:t>
      </w:r>
      <w:r>
        <w:rPr>
          <w:rFonts w:ascii="Arial" w:cs="Arial" w:eastAsia="Arial" w:hAnsi="Arial"/>
          <w:sz w:val="17"/>
          <w:szCs w:val="17"/>
          <w:color w:val="auto"/>
        </w:rPr>
        <w:t xml:space="preserve"> </w:t>
      </w:r>
      <w:r>
        <w:rPr>
          <w:rFonts w:ascii="Arial" w:cs="Arial" w:eastAsia="Arial" w:hAnsi="Arial"/>
          <w:sz w:val="17"/>
          <w:szCs w:val="17"/>
          <w:b w:val="1"/>
          <w:bCs w:val="1"/>
          <w:color w:val="auto"/>
        </w:rPr>
        <w:t>Rate</w:t>
      </w:r>
      <w:r>
        <w:rPr>
          <w:rFonts w:ascii="Arial" w:cs="Arial" w:eastAsia="Arial" w:hAnsi="Arial"/>
          <w:sz w:val="17"/>
          <w:szCs w:val="17"/>
          <w:color w:val="auto"/>
        </w:rPr>
        <w:t>”) that is (x) in the case of overdue principal, the rate that would otherwise be applicable thereto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plus</w:t>
      </w:r>
      <w:r>
        <w:rPr>
          <w:rFonts w:ascii="Arial" w:cs="Arial" w:eastAsia="Arial" w:hAnsi="Arial"/>
          <w:sz w:val="17"/>
          <w:szCs w:val="17"/>
          <w:b w:val="1"/>
          <w:bCs w:val="1"/>
          <w:color w:val="auto"/>
        </w:rPr>
        <w:t xml:space="preserve"> </w:t>
      </w:r>
      <w:r>
        <w:rPr>
          <w:rFonts w:ascii="Arial" w:cs="Arial" w:eastAsia="Arial" w:hAnsi="Arial"/>
          <w:sz w:val="17"/>
          <w:szCs w:val="17"/>
          <w:color w:val="auto"/>
        </w:rPr>
        <w:t>2.00% or (y) in the case of any other overdue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including overdue interest, to the extent permitted by applicable law, the rate described in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for the applicable Class </w:t>
      </w:r>
      <w:r>
        <w:rPr>
          <w:rFonts w:ascii="Arial" w:cs="Arial" w:eastAsia="Arial" w:hAnsi="Arial"/>
          <w:sz w:val="17"/>
          <w:szCs w:val="17"/>
          <w:i w:val="1"/>
          <w:iCs w:val="1"/>
          <w:color w:val="auto"/>
        </w:rPr>
        <w:t>plus</w:t>
      </w:r>
      <w:r>
        <w:rPr>
          <w:rFonts w:ascii="Arial" w:cs="Arial" w:eastAsia="Arial" w:hAnsi="Arial"/>
          <w:sz w:val="17"/>
          <w:szCs w:val="17"/>
          <w:color w:val="auto"/>
        </w:rPr>
        <w:t xml:space="preserve"> 2.00% from the date of such non-payment to the date on which such amount is paid in full (after as well as before judgment).</w:t>
      </w:r>
    </w:p>
    <w:p>
      <w:pPr>
        <w:spacing w:after="0" w:line="172" w:lineRule="exact"/>
        <w:rPr>
          <w:rFonts w:ascii="Arial" w:cs="Arial" w:eastAsia="Arial" w:hAnsi="Arial"/>
          <w:sz w:val="17"/>
          <w:szCs w:val="17"/>
          <w:color w:val="auto"/>
        </w:rPr>
      </w:pPr>
    </w:p>
    <w:p>
      <w:pPr>
        <w:ind w:right="20" w:firstLine="656"/>
        <w:spacing w:after="0" w:line="255" w:lineRule="auto"/>
        <w:tabs>
          <w:tab w:leader="none" w:pos="1263"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Interest on each Loan shall accrue from and including the date of any Borrowing to but excluding the date of any repayment thereof and shall be payable in the same currency in which the Loan is denominated;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date on which it is made shall bear interest for one day. Except as provided below, interest shall be payable (i) in respect of each ABR Loan, quarterly in arrears on the last Business Day of March, June, September and December, (ii) in respect of each LIBOR Loan, on the last day of each Interest Period applicable thereto and, in the case of an Interest Period in excess of three months, on each date occurring at three-month intervals after the first day of such Interest Period, and (iii) in respect of each Loan, (A) except in the case of ABR Revolving Credit Loans on any prepayment in respect thereof, (B) at maturity (whether by acceleration or otherwise), and (C) after such maturity, on demand.</w:t>
      </w:r>
    </w:p>
    <w:p>
      <w:pPr>
        <w:spacing w:after="0" w:line="189" w:lineRule="exact"/>
        <w:rPr>
          <w:rFonts w:ascii="Arial" w:cs="Arial" w:eastAsia="Arial" w:hAnsi="Arial"/>
          <w:sz w:val="18"/>
          <w:szCs w:val="18"/>
          <w:color w:val="auto"/>
        </w:rPr>
      </w:pPr>
    </w:p>
    <w:p>
      <w:pPr>
        <w:ind w:left="1260" w:hanging="604"/>
        <w:spacing w:after="0"/>
        <w:tabs>
          <w:tab w:leader="none" w:pos="1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All computations of interest hereunder shall be made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656"/>
        <w:spacing w:after="0" w:line="342" w:lineRule="auto"/>
        <w:tabs>
          <w:tab w:leader="none" w:pos="123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Interest Periods</w:t>
      </w:r>
      <w:r>
        <w:rPr>
          <w:rFonts w:ascii="Arial" w:cs="Arial" w:eastAsia="Arial" w:hAnsi="Arial"/>
          <w:sz w:val="18"/>
          <w:szCs w:val="18"/>
          <w:color w:val="auto"/>
        </w:rPr>
        <w:t xml:space="preserve">. At the time the Borrower gives a Notice of Borrowing or Notice of Conversion or Continuation in respect of the making of, or conversion into or continuation as, a Borrowing of LIBOR Loans in accordance with </w:t>
      </w:r>
      <w:r>
        <w:rPr>
          <w:rFonts w:ascii="Arial" w:cs="Arial" w:eastAsia="Arial" w:hAnsi="Arial"/>
          <w:sz w:val="18"/>
          <w:szCs w:val="18"/>
          <w:u w:val="single" w:color="auto"/>
          <w:color w:val="auto"/>
        </w:rPr>
        <w:t>Section 2.6(a)</w:t>
      </w:r>
      <w:r>
        <w:rPr>
          <w:rFonts w:ascii="Arial" w:cs="Arial" w:eastAsia="Arial" w:hAnsi="Arial"/>
          <w:sz w:val="18"/>
          <w:szCs w:val="18"/>
          <w:color w:val="auto"/>
        </w:rPr>
        <w:t>, the Borrower shall give the Administrative Agent written notice of the Interest Period applicable to such Borrowing, which Interest Period shall, at the option of the Borrower be a one, two, three or six month period (or if available to all the Lenders making such LIBOR Loans as determined by such Lenders in good faith based on prevailing market conditions, a twelve month or shorter period).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Notwithstanding anything to the contrary contained above:</w:t>
      </w:r>
    </w:p>
    <w:p>
      <w:pPr>
        <w:spacing w:after="0" w:line="225" w:lineRule="exact"/>
        <w:rPr>
          <w:sz w:val="20"/>
          <w:szCs w:val="20"/>
          <w:color w:val="auto"/>
        </w:rPr>
      </w:pPr>
    </w:p>
    <w:p>
      <w:pPr>
        <w:jc w:val="both"/>
        <w:ind w:left="660" w:right="20" w:firstLine="645"/>
        <w:spacing w:after="0" w:line="264" w:lineRule="auto"/>
        <w:tabs>
          <w:tab w:leader="none" w:pos="191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81" w:lineRule="exact"/>
        <w:rPr>
          <w:rFonts w:ascii="Arial" w:cs="Arial" w:eastAsia="Arial" w:hAnsi="Arial"/>
          <w:sz w:val="18"/>
          <w:szCs w:val="18"/>
          <w:color w:val="auto"/>
        </w:rPr>
      </w:pPr>
    </w:p>
    <w:p>
      <w:pPr>
        <w:ind w:left="660" w:right="100" w:firstLine="645"/>
        <w:spacing w:after="0" w:line="264" w:lineRule="auto"/>
        <w:tabs>
          <w:tab w:leader="none" w:pos="19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81" w:lineRule="exact"/>
        <w:rPr>
          <w:rFonts w:ascii="Arial" w:cs="Arial" w:eastAsia="Arial" w:hAnsi="Arial"/>
          <w:sz w:val="18"/>
          <w:szCs w:val="18"/>
          <w:color w:val="auto"/>
        </w:rPr>
      </w:pPr>
    </w:p>
    <w:p>
      <w:pPr>
        <w:ind w:left="660" w:right="300" w:firstLine="645"/>
        <w:spacing w:after="0" w:line="259" w:lineRule="auto"/>
        <w:tabs>
          <w:tab w:leader="none" w:pos="1913"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that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in respect of a LIBOR Loan would otherwise expire on a day that is not a Business Day but is a day of the month after which no further Business Day occurs in such month, such Interest Period shall expire on the immediately preceding Business Day; and</w:t>
      </w:r>
    </w:p>
    <w:p>
      <w:pPr>
        <w:spacing w:after="0" w:line="186" w:lineRule="exact"/>
        <w:rPr>
          <w:rFonts w:ascii="Arial" w:cs="Arial" w:eastAsia="Arial" w:hAnsi="Arial"/>
          <w:sz w:val="18"/>
          <w:szCs w:val="18"/>
          <w:color w:val="auto"/>
        </w:rPr>
      </w:pPr>
    </w:p>
    <w:p>
      <w:pPr>
        <w:ind w:left="660" w:right="200" w:firstLine="645"/>
        <w:spacing w:after="0" w:line="277" w:lineRule="auto"/>
        <w:tabs>
          <w:tab w:leader="none" w:pos="19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Borrower shall not be entitled to elect any Interest Period in respect of any LIBOR Loan if such Interest Period would extend beyond the Maturity Date of such Loan.</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Increased Costs, Illegality, Etc</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312" w:lineRule="auto"/>
        <w:tabs>
          <w:tab w:leader="none" w:pos="1298"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In the event that (x)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below, the Administrative Agent and (y) in the case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below, the Required Term Loan Lenders (with respect to Term Loans) or the Required Revolving Credit Lenders (with respect to Revolving Credit Commitments) shall have reasonably determined (which determination shall, absent clearly demonstrable error, be final and conclusive and binding upon all parties hereto):</w:t>
      </w:r>
    </w:p>
    <w:p>
      <w:pPr>
        <w:spacing w:after="0" w:line="146" w:lineRule="exact"/>
        <w:rPr>
          <w:rFonts w:ascii="Arial" w:cs="Arial" w:eastAsia="Arial" w:hAnsi="Arial"/>
          <w:sz w:val="16"/>
          <w:szCs w:val="16"/>
          <w:color w:val="auto"/>
        </w:rPr>
      </w:pPr>
    </w:p>
    <w:p>
      <w:pPr>
        <w:ind w:left="660" w:right="100" w:firstLine="645"/>
        <w:spacing w:after="0" w:line="259" w:lineRule="auto"/>
        <w:tabs>
          <w:tab w:leader="none" w:pos="1883" w:val="left"/>
        </w:tabs>
        <w:numPr>
          <w:ilvl w:val="1"/>
          <w:numId w:val="73"/>
        </w:numPr>
        <w:rPr>
          <w:rFonts w:ascii="Arial" w:cs="Arial" w:eastAsia="Arial" w:hAnsi="Arial"/>
          <w:sz w:val="18"/>
          <w:szCs w:val="18"/>
          <w:color w:val="auto"/>
        </w:rPr>
      </w:pPr>
      <w:r>
        <w:rPr>
          <w:rFonts w:ascii="Arial" w:cs="Arial" w:eastAsia="Arial" w:hAnsi="Arial"/>
          <w:sz w:val="18"/>
          <w:szCs w:val="18"/>
          <w:color w:val="auto"/>
        </w:rPr>
        <w:t>on any date for determining the LIBOR Rate for any Interest Period that (x) deposits in the principal amounts and currencies of the Loans comprising such LIBOR Borrowing are not generally available in the relevant market or (y) by reason of any changes arising on or after the Restatement Effective Date affecting the interbank LIBOR market, adequate and fair means do not exist for ascertaining the applicable interest rate on the basis provided for in the definition of “LIBOR Rate”; or</w:t>
      </w:r>
    </w:p>
    <w:p>
      <w:pPr>
        <w:spacing w:after="0" w:line="186" w:lineRule="exact"/>
        <w:rPr>
          <w:rFonts w:ascii="Arial" w:cs="Arial" w:eastAsia="Arial" w:hAnsi="Arial"/>
          <w:sz w:val="18"/>
          <w:szCs w:val="18"/>
          <w:color w:val="auto"/>
        </w:rPr>
      </w:pPr>
    </w:p>
    <w:p>
      <w:pPr>
        <w:ind w:left="660" w:right="20" w:firstLine="645"/>
        <w:spacing w:after="0" w:line="264" w:lineRule="auto"/>
        <w:tabs>
          <w:tab w:leader="none" w:pos="1888"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 any time, that such Lenders shall incur increased costs or reductions in the amounts received or receivable hereunder with respect to any LIBOR Loans (including any increased costs or reductions attributable to Taxes, other than any increase or reduction attributable to Indemnified Taxes, Excluded Taxes or Other Taxes) because of any Change in Law; or</w:t>
      </w:r>
    </w:p>
    <w:p>
      <w:pPr>
        <w:spacing w:after="0" w:line="181" w:lineRule="exact"/>
        <w:rPr>
          <w:rFonts w:ascii="Arial" w:cs="Arial" w:eastAsia="Arial" w:hAnsi="Arial"/>
          <w:sz w:val="18"/>
          <w:szCs w:val="18"/>
          <w:color w:val="auto"/>
        </w:rPr>
      </w:pPr>
    </w:p>
    <w:p>
      <w:pPr>
        <w:jc w:val="both"/>
        <w:ind w:left="660" w:firstLine="645"/>
        <w:spacing w:after="0" w:line="279" w:lineRule="auto"/>
        <w:tabs>
          <w:tab w:leader="none" w:pos="1893" w:val="left"/>
        </w:tabs>
        <w:numPr>
          <w:ilvl w:val="1"/>
          <w:numId w:val="73"/>
        </w:numPr>
        <w:rPr>
          <w:rFonts w:ascii="Arial" w:cs="Arial" w:eastAsia="Arial" w:hAnsi="Arial"/>
          <w:sz w:val="17"/>
          <w:szCs w:val="17"/>
          <w:color w:val="auto"/>
        </w:rPr>
      </w:pPr>
      <w:r>
        <w:rPr>
          <w:rFonts w:ascii="Arial" w:cs="Arial" w:eastAsia="Arial" w:hAnsi="Arial"/>
          <w:sz w:val="17"/>
          <w:szCs w:val="17"/>
          <w:color w:val="auto"/>
        </w:rPr>
        <w:t>at any time, that the making or continuance of any LIBOR 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Restatement Effective Date that materially and adversely affects the interbank LIBOR market;</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(such Loans, “</w:t>
      </w:r>
      <w:r>
        <w:rPr>
          <w:rFonts w:ascii="Arial" w:cs="Arial" w:eastAsia="Arial" w:hAnsi="Arial"/>
          <w:sz w:val="16"/>
          <w:szCs w:val="16"/>
          <w:b w:val="1"/>
          <w:bCs w:val="1"/>
          <w:color w:val="auto"/>
        </w:rPr>
        <w:t>Impacted Loans</w:t>
      </w:r>
      <w:r>
        <w:rPr>
          <w:rFonts w:ascii="Arial" w:cs="Arial" w:eastAsia="Arial" w:hAnsi="Arial"/>
          <w:sz w:val="16"/>
          <w:szCs w:val="16"/>
          <w:color w:val="auto"/>
        </w:rPr>
        <w:t xml:space="preserve">”), then, and in any such event, such Required Term Loan Lenders or Required Revolving Credit Lenders, as applicable (or the Administrative Agent,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within a reasonable time thereafter give notice (if by telephone, confirmed in writing) to Holdings, the Borrower, and to the Administrative Agent of such determination (which notice the Administrative Agent shall promptly transmit to each of the other Lenders). Thereafter (x)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LIBOR Loans shall no longer be available until such time as the Administrative Agent notifies Holdings, the Borrower and the Lenders that the circumstances giving rise to such notice by the Administrative Agent no longer exist (which notice the Administrative Agent agrees to give at such time when such circumstances no longer exist), and any Notice of Borrowing or Notice of Conversion given by the Borrower with respect to LIBOR Loans that have not yet been incurred shall be deemed rescinded by the Borrower, (y)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Borrower shall pay to such Lenders, promptly after receipt of written demand therefor such additional amounts (in the form of an increased rate of, or a different method of calculating, interest or otherwise as such Required Term Loan Lenders or Required Revolving Credit Lenders, as applicable, in their reasonable discretion shall determine) as shall be required to compensate such Lenders for such actual increased costs or reductions in amounts receivable hereunder (it being agreed that a written notice as to the additional amounts owed to such Lenders, showing in reasonable detail the basis for the calculation thereof, submitted to the Borrower by such Lenders shall, absent clearly demonstrable error, be final and conclusive and binding upon all parties hereto), and</w:t>
      </w:r>
    </w:p>
    <w:p>
      <w:pPr>
        <w:spacing w:after="0" w:line="8" w:lineRule="exact"/>
        <w:rPr>
          <w:sz w:val="20"/>
          <w:szCs w:val="20"/>
          <w:color w:val="auto"/>
        </w:rPr>
      </w:pPr>
    </w:p>
    <w:p>
      <w:pPr>
        <w:ind w:right="120" w:firstLine="8"/>
        <w:spacing w:after="0" w:line="261" w:lineRule="auto"/>
        <w:tabs>
          <w:tab w:leader="none" w:pos="2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subclause (iii)</w:t>
      </w:r>
      <w:r>
        <w:rPr>
          <w:rFonts w:ascii="Arial" w:cs="Arial" w:eastAsia="Arial" w:hAnsi="Arial"/>
          <w:sz w:val="18"/>
          <w:szCs w:val="18"/>
          <w:color w:val="auto"/>
        </w:rPr>
        <w:t xml:space="preserve"> above, the Borrower shall take one of the actions specified in </w:t>
      </w:r>
      <w:r>
        <w:rPr>
          <w:rFonts w:ascii="Arial" w:cs="Arial" w:eastAsia="Arial" w:hAnsi="Arial"/>
          <w:sz w:val="18"/>
          <w:szCs w:val="18"/>
          <w:u w:val="single" w:color="auto"/>
          <w:color w:val="auto"/>
        </w:rPr>
        <w:t>subclause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as applicable, of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promptly and, in any event, within the time period required by law.</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02" w:name="page103"/>
    <w:bookmarkEnd w:id="102"/>
    <w:p>
      <w:pPr>
        <w:ind w:left="-40" w:firstLine="656"/>
        <w:spacing w:after="0" w:line="272" w:lineRule="auto"/>
        <w:tabs>
          <w:tab w:leader="none" w:pos="1213"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At any time that any LIBOR Loan is affected by the circumstances described in </w:t>
      </w:r>
      <w:r>
        <w:rPr>
          <w:rFonts w:ascii="Arial" w:cs="Arial" w:eastAsia="Arial" w:hAnsi="Arial"/>
          <w:sz w:val="17"/>
          <w:szCs w:val="17"/>
          <w:u w:val="single" w:color="auto"/>
          <w:color w:val="auto"/>
        </w:rPr>
        <w:t>Section 2.10(a)(ii)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the Borrower may (and in the case of a LIBOR Loan affected pursuant to </w:t>
      </w:r>
      <w:r>
        <w:rPr>
          <w:rFonts w:ascii="Arial" w:cs="Arial" w:eastAsia="Arial" w:hAnsi="Arial"/>
          <w:sz w:val="17"/>
          <w:szCs w:val="17"/>
          <w:u w:val="single" w:color="auto"/>
          <w:color w:val="auto"/>
        </w:rPr>
        <w:t>Section 2.10(a)(iii)</w:t>
      </w:r>
      <w:r>
        <w:rPr>
          <w:rFonts w:ascii="Arial" w:cs="Arial" w:eastAsia="Arial" w:hAnsi="Arial"/>
          <w:sz w:val="17"/>
          <w:szCs w:val="17"/>
          <w:color w:val="auto"/>
        </w:rPr>
        <w:t xml:space="preserve"> shall) either (x) if a Notice of Borrowing or Notice of Conversion or Continuation with respect to the affected LIBOR Loan has been submitted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but the affected LIBOR Loan has not been funded or continued, cancel such requested Borrowing by giving the Administrative Agent written notice thereof on the same date that the Borrower was notified by Lenders pursuant to </w:t>
      </w:r>
      <w:r>
        <w:rPr>
          <w:rFonts w:ascii="Arial" w:cs="Arial" w:eastAsia="Arial" w:hAnsi="Arial"/>
          <w:sz w:val="17"/>
          <w:szCs w:val="17"/>
          <w:u w:val="single" w:color="auto"/>
          <w:color w:val="auto"/>
        </w:rPr>
        <w:t>Section 2.10(a)(ii)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or (y) if the affected LIBOR Loan is then outstanding, upon at least three Business Days’ notice to the Administrative Agent, require the affected Lender to convert each such LIBOR Loan into an ABR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more than one Lender is affected at any time, then all affected Lenders must be treated in the same manner pursuant to this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40" w:right="100" w:firstLine="656"/>
        <w:spacing w:after="0" w:line="287" w:lineRule="auto"/>
        <w:tabs>
          <w:tab w:leader="none" w:pos="1213"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If, after the Restatement Effective Date, any Change in Law relating to capital adequacy or liquidity of any Lender or compliance by any Lender or its parent with any Change in Law relating to capital adequacy or liquidity occurring after the Restatement Effective Date, has or would have the effect of reducing the actual rate of return on such Lender’s or its parent’s or its Affiliate’s capital or assets as a consequence of such Lender’s commitments or obligations hereunder to a level below that which such Lender or its parent or its Affiliate could have achieved but for such Change in Law (taking into consideration such Lender’s or its parent’s policies with respect to capital adequacy or liquidity), then from time to time, promptly after demand by such Lender (with a copy to the Administrative Agent), the Borrower shall pay to such Lender such actual additional amount or amounts as will compensate such Lender or its parent for such actual reduction, it being understood and agreed, however, that a Lender shall not be entitled to such compensation to the extent such Lender is not imposing such charges on, or requesting such compensation from, borrowers (similarly situated to the Borrower hereunder) under comparable syndicated credit facilities similar to the Credit Facilities. Each Lender, upon determining in good faith that any additional amounts will be payable pursuant to this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release or diminish the Borrower’s obligations to pay additional amounts pursuant to this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promptly following receipt of such notice.</w:t>
      </w:r>
    </w:p>
    <w:p>
      <w:pPr>
        <w:spacing w:after="0" w:line="168" w:lineRule="exact"/>
        <w:rPr>
          <w:rFonts w:ascii="Arial" w:cs="Arial" w:eastAsia="Arial" w:hAnsi="Arial"/>
          <w:sz w:val="16"/>
          <w:szCs w:val="16"/>
          <w:color w:val="auto"/>
        </w:rPr>
      </w:pPr>
    </w:p>
    <w:p>
      <w:pPr>
        <w:ind w:left="-40" w:firstLine="656"/>
        <w:spacing w:after="0" w:line="259" w:lineRule="auto"/>
        <w:tabs>
          <w:tab w:leader="none" w:pos="1223"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Credit Documents, if the Administrative Agent (after consultation with the Borrower)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186" w:lineRule="exact"/>
        <w:rPr>
          <w:rFonts w:ascii="Arial" w:cs="Arial" w:eastAsia="Arial" w:hAnsi="Arial"/>
          <w:sz w:val="18"/>
          <w:szCs w:val="18"/>
          <w:color w:val="auto"/>
        </w:rPr>
      </w:pPr>
    </w:p>
    <w:p>
      <w:pPr>
        <w:ind w:left="620" w:right="60" w:firstLine="645"/>
        <w:spacing w:after="0" w:line="342" w:lineRule="auto"/>
        <w:tabs>
          <w:tab w:leader="none" w:pos="1798" w:val="left"/>
        </w:tabs>
        <w:numPr>
          <w:ilvl w:val="1"/>
          <w:numId w:val="75"/>
        </w:numPr>
        <w:rPr>
          <w:rFonts w:ascii="Arial" w:cs="Arial" w:eastAsia="Arial" w:hAnsi="Arial"/>
          <w:sz w:val="16"/>
          <w:szCs w:val="16"/>
          <w:color w:val="auto"/>
        </w:rPr>
      </w:pPr>
      <w:r>
        <w:rPr>
          <w:rFonts w:ascii="Arial" w:cs="Arial" w:eastAsia="Arial" w:hAnsi="Arial"/>
          <w:sz w:val="16"/>
          <w:szCs w:val="16"/>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23" w:lineRule="exact"/>
        <w:rPr>
          <w:rFonts w:ascii="Arial" w:cs="Arial" w:eastAsia="Arial" w:hAnsi="Arial"/>
          <w:sz w:val="16"/>
          <w:szCs w:val="16"/>
          <w:color w:val="auto"/>
        </w:rPr>
      </w:pPr>
    </w:p>
    <w:p>
      <w:pPr>
        <w:ind w:left="620" w:right="280" w:firstLine="645"/>
        <w:spacing w:after="0" w:line="264" w:lineRule="auto"/>
        <w:tabs>
          <w:tab w:leader="none" w:pos="1848"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8"/>
          <w:szCs w:val="18"/>
          <w:b w:val="1"/>
          <w:bCs w:val="1"/>
          <w:color w:val="auto"/>
        </w:rPr>
        <w:t>Scheduled Unavailability Date</w:t>
      </w:r>
      <w:r>
        <w:rPr>
          <w:rFonts w:ascii="Arial" w:cs="Arial" w:eastAsia="Arial" w:hAnsi="Arial"/>
          <w:sz w:val="18"/>
          <w:szCs w:val="18"/>
          <w:color w:val="auto"/>
        </w:rPr>
        <w:t>”), 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103" w:name="page104"/>
    <w:bookmarkEnd w:id="103"/>
    <w:p>
      <w:pPr>
        <w:ind w:left="660" w:right="180" w:firstLine="645"/>
        <w:spacing w:after="0" w:line="277" w:lineRule="auto"/>
        <w:tabs>
          <w:tab w:leader="none" w:pos="189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then, reasonably promptly after such determination by the Administrative Agent or receipt by the Administrative Agent of such notice ,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Dollar denominated syndicated credit facilities for such alternative benchmarks (any such proposed rate, a “</w:t>
      </w:r>
      <w:r>
        <w:rPr>
          <w:rFonts w:ascii="Arial" w:cs="Arial" w:eastAsia="Arial" w:hAnsi="Arial"/>
          <w:sz w:val="16"/>
          <w:szCs w:val="16"/>
          <w:b w:val="1"/>
          <w:bCs w:val="1"/>
          <w:color w:val="auto"/>
        </w:rPr>
        <w:t>LIBOR Successor Rate</w:t>
      </w:r>
      <w:r>
        <w:rPr>
          <w:rFonts w:ascii="Arial" w:cs="Arial" w:eastAsia="Arial" w:hAnsi="Arial"/>
          <w:sz w:val="16"/>
          <w:szCs w:val="16"/>
          <w:color w:val="auto"/>
        </w:rPr>
        <w:t>”), together with any proposed LIBOR Successor Rate Conforming Changes (as defined below) 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6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LIBOR Loans shall be suspended, (to the extent of the affected LIBOR Loans or Interest Periods), and (y) the LIBOR Rate component shall no longer be utilized in determining the ABR. Upon receipt of such notice, the Borrower may revoke any pending request for a Borrowing of, conversion to or continuation of LIBOR Loans (to the extent of the affected LIBOR Loans or Interest Periods) or, failing that, will be deemed to have converted such request into a request for a Borrowing of ABR Loans (subject to the foregoing clause (y)) in the amount specified therein.</w:t>
      </w:r>
    </w:p>
    <w:p>
      <w:pPr>
        <w:spacing w:after="0" w:line="1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Notwithstanding anything else herein, any definition of “LIBOR Successor Rate” shall provide that in no event shall such LIBOR Successor Rate be less than zero for purposes of this Agreement</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If (a) any payment of principal of any LIBOR Loan is made by the Borrower to or for the account of a Lender other than on the last day of the Interest Period for such LIBOR Loan as a result of a payment or conversion pursuant to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5.1</w:t>
      </w:r>
      <w:r>
        <w:rPr>
          <w:rFonts w:ascii="Arial" w:cs="Arial" w:eastAsia="Arial" w:hAnsi="Arial"/>
          <w:sz w:val="17"/>
          <w:szCs w:val="17"/>
          <w:color w:val="auto"/>
        </w:rPr>
        <w:t xml:space="preserve">,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13.7</w:t>
      </w:r>
      <w:r>
        <w:rPr>
          <w:rFonts w:ascii="Arial" w:cs="Arial" w:eastAsia="Arial" w:hAnsi="Arial"/>
          <w:sz w:val="17"/>
          <w:szCs w:val="17"/>
          <w:color w:val="auto"/>
        </w:rPr>
        <w:t xml:space="preserve">, as a result of acceleration of the maturity of the Loans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for any other reason, (b) any Borrowing of LIBOR Loans is not made as a result of a withdrawn Notice of Borrowing or a failure to satisfy borrowing conditions, (c) any ABR Loan is not converted into a LIBOR Loan as a result of a withdrawn Notice of Conversion or Continuation, (d) any LIBOR Loan is not continued as a LIBOR Loan, as the case may be, as a result of a withdrawn Notice of Conversion or Continuation or (e) any prepayment of principal of any LIBOR Loan is not made as a result of a withdrawn notice of prepayment pursuant to </w:t>
      </w:r>
      <w:r>
        <w:rPr>
          <w:rFonts w:ascii="Arial" w:cs="Arial" w:eastAsia="Arial" w:hAnsi="Arial"/>
          <w:sz w:val="17"/>
          <w:szCs w:val="17"/>
          <w:u w:val="single" w:color="auto"/>
          <w:color w:val="auto"/>
        </w:rPr>
        <w:t>Sections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LIBOR Loan. A certificate of a Lender setting forth the amount or amounts necessary to compensate such Lender as specified in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setting forth in reasonable detail the manner in which such amount or amounts were determined shall be delivered to the Borrower and shall be conclusive, absent manifest error.</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xml:space="preserve">. Each Lender agrees that, upon the occurrence of any event giving rise to the operation of </w:t>
      </w:r>
      <w:r>
        <w:rPr>
          <w:rFonts w:ascii="Arial" w:cs="Arial" w:eastAsia="Arial" w:hAnsi="Arial"/>
          <w:sz w:val="18"/>
          <w:szCs w:val="18"/>
          <w:u w:val="single" w:color="auto"/>
          <w:color w:val="auto"/>
        </w:rPr>
        <w:t>Sections 2.10(a)(ii)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2.10(b)</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affect or postpone any of the obligations of the Borrower or the right of any Lender provided in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ind w:right="20" w:firstLine="648"/>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Notice of Certain Costs</w:t>
      </w:r>
      <w:r>
        <w:rPr>
          <w:rFonts w:ascii="Arial" w:cs="Arial" w:eastAsia="Arial" w:hAnsi="Arial"/>
          <w:sz w:val="18"/>
          <w:szCs w:val="18"/>
          <w:color w:val="auto"/>
        </w:rPr>
        <w:t xml:space="preserve">. Notwithstanding anything in this Agreement to the contrary, to the extent any notice required by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is given by any Lender more than 120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as the case may be, for any such amounts incurred or accruing prior to the 121st day prior to the giving of such notice to the Borrower.</w:t>
      </w:r>
    </w:p>
    <w:p>
      <w:pPr>
        <w:spacing w:after="0" w:line="18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Incremental Facilities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7" w:lineRule="auto"/>
        <w:tabs>
          <w:tab w:leader="none" w:pos="125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Borrower may by written notice to Administrative Agent elect to request the establishment of one or more (x) additional tranches of term loans (the commitments thereto, the “</w:t>
      </w:r>
      <w:r>
        <w:rPr>
          <w:rFonts w:ascii="Arial" w:cs="Arial" w:eastAsia="Arial" w:hAnsi="Arial"/>
          <w:sz w:val="17"/>
          <w:szCs w:val="17"/>
          <w:b w:val="1"/>
          <w:bCs w:val="1"/>
          <w:color w:val="auto"/>
        </w:rPr>
        <w:t>New Term Loan Commitments</w:t>
      </w:r>
      <w:r>
        <w:rPr>
          <w:rFonts w:ascii="Arial" w:cs="Arial" w:eastAsia="Arial" w:hAnsi="Arial"/>
          <w:sz w:val="17"/>
          <w:szCs w:val="17"/>
          <w:color w:val="auto"/>
        </w:rPr>
        <w:t>”), (y) increases in Revolving Credit Commitments (the “</w:t>
      </w:r>
      <w:r>
        <w:rPr>
          <w:rFonts w:ascii="Arial" w:cs="Arial" w:eastAsia="Arial" w:hAnsi="Arial"/>
          <w:sz w:val="17"/>
          <w:szCs w:val="17"/>
          <w:b w:val="1"/>
          <w:bCs w:val="1"/>
          <w:color w:val="auto"/>
        </w:rPr>
        <w:t>New Revolving Credit</w:t>
      </w:r>
      <w:r>
        <w:rPr>
          <w:rFonts w:ascii="Arial" w:cs="Arial" w:eastAsia="Arial" w:hAnsi="Arial"/>
          <w:sz w:val="17"/>
          <w:szCs w:val="17"/>
          <w:color w:val="auto"/>
        </w:rPr>
        <w:t xml:space="preserve"> </w:t>
      </w:r>
      <w:r>
        <w:rPr>
          <w:rFonts w:ascii="Arial" w:cs="Arial" w:eastAsia="Arial" w:hAnsi="Arial"/>
          <w:sz w:val="17"/>
          <w:szCs w:val="17"/>
          <w:b w:val="1"/>
          <w:bCs w:val="1"/>
          <w:color w:val="auto"/>
        </w:rPr>
        <w:t>Commitments</w:t>
      </w:r>
      <w:r>
        <w:rPr>
          <w:rFonts w:ascii="Arial" w:cs="Arial" w:eastAsia="Arial" w:hAnsi="Arial"/>
          <w:sz w:val="17"/>
          <w:szCs w:val="17"/>
          <w:color w:val="auto"/>
        </w:rPr>
        <w:t>” and together with the New Term Loan Commitments, the “</w:t>
      </w:r>
      <w:r>
        <w:rPr>
          <w:rFonts w:ascii="Arial" w:cs="Arial" w:eastAsia="Arial" w:hAnsi="Arial"/>
          <w:sz w:val="17"/>
          <w:szCs w:val="17"/>
          <w:b w:val="1"/>
          <w:bCs w:val="1"/>
          <w:color w:val="auto"/>
        </w:rPr>
        <w:t>New Loan Commitments</w:t>
      </w:r>
      <w:r>
        <w:rPr>
          <w:rFonts w:ascii="Arial" w:cs="Arial" w:eastAsia="Arial" w:hAnsi="Arial"/>
          <w:sz w:val="17"/>
          <w:szCs w:val="17"/>
          <w:color w:val="auto"/>
        </w:rPr>
        <w:t>”), by an aggregate amount not in excess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Incremental Facilities Amount in the aggregate and not less than $10,000,000 individually (or such lesser amount as (x) may be approved by the Administrative Agent or (y) shall constitute the difference between the Maximum Incremental Facilities Amount and all such New Loan Commitments obtained on or prior to such date). Each such notice shall specify the date (each, an “</w:t>
      </w:r>
      <w:r>
        <w:rPr>
          <w:rFonts w:ascii="Arial" w:cs="Arial" w:eastAsia="Arial" w:hAnsi="Arial"/>
          <w:sz w:val="17"/>
          <w:szCs w:val="17"/>
          <w:b w:val="1"/>
          <w:bCs w:val="1"/>
          <w:color w:val="auto"/>
        </w:rPr>
        <w:t>Increased Amount Date</w:t>
      </w:r>
      <w:r>
        <w:rPr>
          <w:rFonts w:ascii="Arial" w:cs="Arial" w:eastAsia="Arial" w:hAnsi="Arial"/>
          <w:sz w:val="17"/>
          <w:szCs w:val="17"/>
          <w:color w:val="auto"/>
        </w:rPr>
        <w:t xml:space="preserve">”) on which the Borrower proposes that the New Loan Commitments shall be effective. In connection with the incurrence of any Indebtedness under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at the request of the Administrative Agent, the Borrower shall provide to the Administrative Agent a certificate certifying that the New Loan Commitments do not exceed the Maximum Incremental Facilities Amount, which certificate shall be in reasonable detail and shall provide the calculations and basis therefor. The Borrower may approach any Lender or any Person (other than a natural Person) to provide all or a portion of the New Loan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Lender offered or approached to provide all or a portion of the New Loan Commitments may elect or decline, in its sole discretion, to provide a New Loan Commitment. In each case, such New Loan Commitments shall become effective as of the applicable Increased Amount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Event of Default (except in connection with an acquisition or investment, no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shall exist on such Increased Amount Date before or after giving effect to such New Loan Commitments, as applicable, (ii) the New Loan Commitments shall be effected pursuant to one or more Joinder Agreements executed and delivered by the Borrower and Administrative Agent, and each of which shall be recorded in the Register and shall be subject to the requirements set forth in </w:t>
      </w:r>
      <w:r>
        <w:rPr>
          <w:rFonts w:ascii="Arial" w:cs="Arial" w:eastAsia="Arial" w:hAnsi="Arial"/>
          <w:sz w:val="17"/>
          <w:szCs w:val="17"/>
          <w:u w:val="single" w:color="auto"/>
          <w:color w:val="auto"/>
        </w:rPr>
        <w:t>Section 5.4(e)</w:t>
      </w:r>
      <w:r>
        <w:rPr>
          <w:rFonts w:ascii="Arial" w:cs="Arial" w:eastAsia="Arial" w:hAnsi="Arial"/>
          <w:sz w:val="17"/>
          <w:szCs w:val="17"/>
          <w:color w:val="auto"/>
        </w:rPr>
        <w:t xml:space="preserve">, and (iii) the Borrower shall make any payments required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in connection with the New Loan Commitments, as applicable. No Lender shall have any obligation to provide any Commitments pursuant to this </w:t>
      </w:r>
      <w:r>
        <w:rPr>
          <w:rFonts w:ascii="Arial" w:cs="Arial" w:eastAsia="Arial" w:hAnsi="Arial"/>
          <w:sz w:val="17"/>
          <w:szCs w:val="17"/>
          <w:u w:val="single" w:color="auto"/>
          <w:color w:val="auto"/>
        </w:rPr>
        <w:t>Section 2.14(a)</w:t>
      </w:r>
      <w:r>
        <w:rPr>
          <w:rFonts w:ascii="Arial" w:cs="Arial" w:eastAsia="Arial" w:hAnsi="Arial"/>
          <w:sz w:val="17"/>
          <w:szCs w:val="17"/>
          <w:color w:val="auto"/>
        </w:rPr>
        <w:t>. Any New Term Loans made on an Increased Amount Date shall, at the election of the Borrower and agreed to by Lenders providing such New Term Loan Commitments, be designated as (a) a separate series (a “</w:t>
      </w:r>
      <w:r>
        <w:rPr>
          <w:rFonts w:ascii="Arial" w:cs="Arial" w:eastAsia="Arial" w:hAnsi="Arial"/>
          <w:sz w:val="17"/>
          <w:szCs w:val="17"/>
          <w:b w:val="1"/>
          <w:bCs w:val="1"/>
          <w:color w:val="auto"/>
        </w:rPr>
        <w:t>Series</w:t>
      </w:r>
      <w:r>
        <w:rPr>
          <w:rFonts w:ascii="Arial" w:cs="Arial" w:eastAsia="Arial" w:hAnsi="Arial"/>
          <w:sz w:val="17"/>
          <w:szCs w:val="17"/>
          <w:color w:val="auto"/>
        </w:rPr>
        <w:t>”) of New Term Loans for all purposes of this Agreement or (b) as part of a Series of existing Term Loans for all purposes of this Agreement.</w:t>
      </w:r>
    </w:p>
    <w:p>
      <w:pPr>
        <w:spacing w:after="0" w:line="188" w:lineRule="exact"/>
        <w:rPr>
          <w:rFonts w:ascii="Arial" w:cs="Arial" w:eastAsia="Arial" w:hAnsi="Arial"/>
          <w:sz w:val="17"/>
          <w:szCs w:val="17"/>
          <w:color w:val="auto"/>
        </w:rPr>
      </w:pPr>
    </w:p>
    <w:p>
      <w:pPr>
        <w:ind w:right="80" w:firstLine="656"/>
        <w:spacing w:after="0" w:line="269" w:lineRule="auto"/>
        <w:tabs>
          <w:tab w:leader="none" w:pos="1263" w:val="left"/>
        </w:tabs>
        <w:numPr>
          <w:ilvl w:val="0"/>
          <w:numId w:val="77"/>
        </w:numPr>
        <w:rPr>
          <w:rFonts w:ascii="Arial" w:cs="Arial" w:eastAsia="Arial" w:hAnsi="Arial"/>
          <w:sz w:val="17"/>
          <w:szCs w:val="17"/>
          <w:color w:val="auto"/>
        </w:rPr>
      </w:pPr>
      <w:r>
        <w:rPr>
          <w:rFonts w:ascii="Arial" w:cs="Arial" w:eastAsia="Arial" w:hAnsi="Arial"/>
          <w:sz w:val="17"/>
          <w:szCs w:val="17"/>
          <w:color w:val="auto"/>
        </w:rPr>
        <w:t>On any Increased Amount Date on which New Revolving Credit Commitments (and each Loan made under a New Revolving Credit Commitment (a “</w:t>
      </w:r>
      <w:r>
        <w:rPr>
          <w:rFonts w:ascii="Arial" w:cs="Arial" w:eastAsia="Arial" w:hAnsi="Arial"/>
          <w:sz w:val="17"/>
          <w:szCs w:val="17"/>
          <w:b w:val="1"/>
          <w:bCs w:val="1"/>
          <w:color w:val="auto"/>
        </w:rPr>
        <w:t>New Revolving Credit Loan</w:t>
      </w:r>
      <w:r>
        <w:rPr>
          <w:rFonts w:ascii="Arial" w:cs="Arial" w:eastAsia="Arial" w:hAnsi="Arial"/>
          <w:sz w:val="17"/>
          <w:szCs w:val="17"/>
          <w:color w:val="auto"/>
        </w:rPr>
        <w:t>”) are effected, subject to the satisfaction of the foregoing terms and conditions, each of the Lenders with Revolving Credit Commitments of such Class shall assign to each Lender with a New Revolving Credit Commitment (each, a “</w:t>
      </w:r>
      <w:r>
        <w:rPr>
          <w:rFonts w:ascii="Arial" w:cs="Arial" w:eastAsia="Arial" w:hAnsi="Arial"/>
          <w:sz w:val="17"/>
          <w:szCs w:val="17"/>
          <w:b w:val="1"/>
          <w:bCs w:val="1"/>
          <w:color w:val="auto"/>
        </w:rPr>
        <w:t>New Revolving Loan</w:t>
      </w:r>
      <w:r>
        <w:rPr>
          <w:rFonts w:ascii="Arial" w:cs="Arial" w:eastAsia="Arial" w:hAnsi="Arial"/>
          <w:sz w:val="17"/>
          <w:szCs w:val="17"/>
          <w:color w:val="auto"/>
        </w:rPr>
        <w:t xml:space="preserve"> </w:t>
      </w:r>
      <w:r>
        <w:rPr>
          <w:rFonts w:ascii="Arial" w:cs="Arial" w:eastAsia="Arial" w:hAnsi="Arial"/>
          <w:sz w:val="17"/>
          <w:szCs w:val="17"/>
          <w:b w:val="1"/>
          <w:bCs w:val="1"/>
          <w:color w:val="auto"/>
        </w:rPr>
        <w:t>Lender</w:t>
      </w:r>
      <w:r>
        <w:rPr>
          <w:rFonts w:ascii="Arial" w:cs="Arial" w:eastAsia="Arial" w:hAnsi="Arial"/>
          <w:sz w:val="17"/>
          <w:szCs w:val="17"/>
          <w:color w:val="auto"/>
        </w:rPr>
        <w:t>”) and each of the New Revolving Loan Lenders shall purchase from each of the Lenders with Revolving Credit Commitments of such Class, 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amount thereof, such interests in the Revolving Credit Loans outstanding on such Increased Amount Date as shall be necessary in order that, after giving effect to all such assignments and purchases, the Revolving Credit Loans of such Class will be held by existing Revolving Credit Lenders and New Revolving Loan Lenders ratably in accordance with their Revolving Credit Commitments of such Class after giving effect to the addition of such New Revolving Credit Commitments to the Revolving Credit Commitments and each New Revolving Loan Lender and shall become a Lender with respect to the New Revolving Credit Commitment and all matters relating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the Swingline Lender and the Letter of Credit Issuer shall have consented (not to be unreasonably withheld or delayed) to such Lender’s or New Revolving Loan Lender’s providing such New Revolving Credit Commitment to the extent such consent, if any, would be required under </w:t>
      </w:r>
      <w:r>
        <w:rPr>
          <w:rFonts w:ascii="Arial" w:cs="Arial" w:eastAsia="Arial" w:hAnsi="Arial"/>
          <w:sz w:val="17"/>
          <w:szCs w:val="17"/>
          <w:u w:val="single" w:color="auto"/>
          <w:color w:val="auto"/>
        </w:rPr>
        <w:t>Section 13.6(b)</w:t>
      </w:r>
      <w:r>
        <w:rPr>
          <w:rFonts w:ascii="Arial" w:cs="Arial" w:eastAsia="Arial" w:hAnsi="Arial"/>
          <w:sz w:val="17"/>
          <w:szCs w:val="17"/>
          <w:color w:val="auto"/>
        </w:rPr>
        <w:t xml:space="preserve"> for an assignment of Revolving Loans or Revolving Credit Commitments, as applicable, to such Lender or New Revolving Loan Lender.</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5" w:name="page106"/>
    <w:bookmarkEnd w:id="105"/>
    <w:p>
      <w:pPr>
        <w:ind w:left="-20" w:right="20" w:firstLine="656"/>
        <w:spacing w:after="0" w:line="276" w:lineRule="auto"/>
        <w:tabs>
          <w:tab w:leader="none" w:pos="1233" w:val="left"/>
        </w:tabs>
        <w:numPr>
          <w:ilvl w:val="0"/>
          <w:numId w:val="78"/>
        </w:numPr>
        <w:rPr>
          <w:rFonts w:ascii="Arial" w:cs="Arial" w:eastAsia="Arial" w:hAnsi="Arial"/>
          <w:sz w:val="17"/>
          <w:szCs w:val="17"/>
          <w:color w:val="auto"/>
        </w:rPr>
      </w:pPr>
      <w:r>
        <w:rPr>
          <w:rFonts w:ascii="Arial" w:cs="Arial" w:eastAsia="Arial" w:hAnsi="Arial"/>
          <w:sz w:val="17"/>
          <w:szCs w:val="17"/>
          <w:color w:val="auto"/>
        </w:rPr>
        <w:t>On any Increased Amount Date on which any New Term Loan Commitments of any Series are effective, subject to the satisfaction of the foregoing terms and conditions, (i) each Lender with a New Term Loan Commitment (each, a “</w:t>
      </w:r>
      <w:r>
        <w:rPr>
          <w:rFonts w:ascii="Arial" w:cs="Arial" w:eastAsia="Arial" w:hAnsi="Arial"/>
          <w:sz w:val="17"/>
          <w:szCs w:val="17"/>
          <w:b w:val="1"/>
          <w:bCs w:val="1"/>
          <w:color w:val="auto"/>
        </w:rPr>
        <w:t>New Term Loan Lender</w:t>
      </w:r>
      <w:r>
        <w:rPr>
          <w:rFonts w:ascii="Arial" w:cs="Arial" w:eastAsia="Arial" w:hAnsi="Arial"/>
          <w:sz w:val="17"/>
          <w:szCs w:val="17"/>
          <w:color w:val="auto"/>
        </w:rPr>
        <w:t>”) of any Series shall make a Loan to the Borrower (a “</w:t>
      </w:r>
      <w:r>
        <w:rPr>
          <w:rFonts w:ascii="Arial" w:cs="Arial" w:eastAsia="Arial" w:hAnsi="Arial"/>
          <w:sz w:val="17"/>
          <w:szCs w:val="17"/>
          <w:b w:val="1"/>
          <w:bCs w:val="1"/>
          <w:color w:val="auto"/>
        </w:rPr>
        <w:t>New Term Loan</w:t>
      </w:r>
      <w:r>
        <w:rPr>
          <w:rFonts w:ascii="Arial" w:cs="Arial" w:eastAsia="Arial" w:hAnsi="Arial"/>
          <w:sz w:val="17"/>
          <w:szCs w:val="17"/>
          <w:color w:val="auto"/>
        </w:rPr>
        <w:t>” and, together with the New Revolving Credit Loans, the “</w:t>
      </w:r>
      <w:r>
        <w:rPr>
          <w:rFonts w:ascii="Arial" w:cs="Arial" w:eastAsia="Arial" w:hAnsi="Arial"/>
          <w:sz w:val="17"/>
          <w:szCs w:val="17"/>
          <w:b w:val="1"/>
          <w:bCs w:val="1"/>
          <w:color w:val="auto"/>
        </w:rPr>
        <w:t>Incremental Loans</w:t>
      </w:r>
      <w:r>
        <w:rPr>
          <w:rFonts w:ascii="Arial" w:cs="Arial" w:eastAsia="Arial" w:hAnsi="Arial"/>
          <w:sz w:val="17"/>
          <w:szCs w:val="17"/>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172" w:lineRule="exact"/>
        <w:rPr>
          <w:rFonts w:ascii="Arial" w:cs="Arial" w:eastAsia="Arial" w:hAnsi="Arial"/>
          <w:sz w:val="17"/>
          <w:szCs w:val="17"/>
          <w:color w:val="auto"/>
        </w:rPr>
      </w:pPr>
    </w:p>
    <w:p>
      <w:pPr>
        <w:ind w:left="-20" w:right="60" w:firstLine="656"/>
        <w:spacing w:after="0" w:line="287" w:lineRule="auto"/>
        <w:tabs>
          <w:tab w:leader="none" w:pos="12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terms and provisions of the New Term Loans and New Term Loan Commitments of any Series shall be on terms and documentation set forth in the Joinder Agreement as determined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applicable New Term Loan Maturity Date of each Series shall be no earlier than the Term A Loan Maturity Date; (ii) the weighted average life to maturity of all New Term Loans shall be no shorter than the weighted average life to maturity of the then existing Term A Loans as calculated without giving effect to any prepayments made in connection with the Term Loans; (iii) the pricing, interest rate margins, discounts, premiums, rate floors, fees, and amortization schedule applicable to any New Term Loans shall be determined by the Borrower and the Lenders thereunder;; and (iv) to the extent such terms and documentation are not consistent with the then existing Term Loans (except to the extent permitted by clause (i), (ii) or (iii) above), they shall be reasonably satisfactory to the Administrative Agent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or other provisions are only applicable after the Latest Term Loan Maturity Date).</w:t>
      </w:r>
    </w:p>
    <w:p>
      <w:pPr>
        <w:spacing w:after="0" w:line="172" w:lineRule="exact"/>
        <w:rPr>
          <w:rFonts w:ascii="Arial" w:cs="Arial" w:eastAsia="Arial" w:hAnsi="Arial"/>
          <w:sz w:val="16"/>
          <w:szCs w:val="16"/>
          <w:color w:val="auto"/>
        </w:rPr>
      </w:pPr>
    </w:p>
    <w:p>
      <w:pPr>
        <w:ind w:left="-20" w:right="520" w:firstLine="656"/>
        <w:spacing w:after="0" w:line="277" w:lineRule="auto"/>
        <w:tabs>
          <w:tab w:leader="none" w:pos="1233"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New Revolving Credit Commitments shall be identical to the Revolving Credit Commitments of the applicable Class (other than with respect to upfront fees) and other than the Maturity Date and as set forth in this </w:t>
      </w:r>
      <w:r>
        <w:rPr>
          <w:rFonts w:ascii="Arial" w:cs="Arial" w:eastAsia="Arial" w:hAnsi="Arial"/>
          <w:sz w:val="18"/>
          <w:szCs w:val="18"/>
          <w:u w:val="single" w:color="auto"/>
          <w:color w:val="auto"/>
        </w:rPr>
        <w:t>Section 2.14(e)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right="160" w:firstLine="656"/>
        <w:spacing w:after="0" w:line="342" w:lineRule="auto"/>
        <w:tabs>
          <w:tab w:leader="none" w:pos="1213"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Each Joinder Agreement may, without the consent of any other Lenders, effect technical and corresponding amendments to this Agreement and the other Credit Documents as may be necessary or appropriate, in the opinion of the Administrative Agent, to effect the provision of this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20" w:firstLine="656"/>
        <w:spacing w:after="0" w:line="267" w:lineRule="auto"/>
        <w:tabs>
          <w:tab w:leader="none" w:pos="1243" w:val="left"/>
        </w:tabs>
        <w:numPr>
          <w:ilvl w:val="0"/>
          <w:numId w:val="78"/>
        </w:numPr>
        <w:rPr>
          <w:rFonts w:ascii="Arial" w:cs="Arial" w:eastAsia="Arial" w:hAnsi="Arial"/>
          <w:sz w:val="17"/>
          <w:szCs w:val="17"/>
          <w:color w:val="auto"/>
        </w:rPr>
      </w:pPr>
      <w:r>
        <w:rPr>
          <w:rFonts w:ascii="Arial" w:cs="Arial" w:eastAsia="Arial" w:hAnsi="Arial"/>
          <w:sz w:val="17"/>
          <w:szCs w:val="17"/>
          <w:color w:val="auto"/>
        </w:rPr>
        <w:t>(i) The Borrower may at any time and from time to time request that all or a portion of the Term Loans of any Class (an “</w:t>
      </w:r>
      <w:r>
        <w:rPr>
          <w:rFonts w:ascii="Arial" w:cs="Arial" w:eastAsia="Arial" w:hAnsi="Arial"/>
          <w:sz w:val="17"/>
          <w:szCs w:val="17"/>
          <w:b w:val="1"/>
          <w:bCs w:val="1"/>
          <w:color w:val="auto"/>
        </w:rPr>
        <w:t>Existing Term</w:t>
      </w:r>
      <w:r>
        <w:rPr>
          <w:rFonts w:ascii="Arial" w:cs="Arial" w:eastAsia="Arial" w:hAnsi="Arial"/>
          <w:sz w:val="17"/>
          <w:szCs w:val="17"/>
          <w:color w:val="auto"/>
        </w:rPr>
        <w:t xml:space="preserve"> </w:t>
      </w:r>
      <w:r>
        <w:rPr>
          <w:rFonts w:ascii="Arial" w:cs="Arial" w:eastAsia="Arial" w:hAnsi="Arial"/>
          <w:sz w:val="17"/>
          <w:szCs w:val="17"/>
          <w:b w:val="1"/>
          <w:bCs w:val="1"/>
          <w:color w:val="auto"/>
        </w:rPr>
        <w:t>Loan Class</w:t>
      </w:r>
      <w:r>
        <w:rPr>
          <w:rFonts w:ascii="Arial" w:cs="Arial" w:eastAsia="Arial" w:hAnsi="Arial"/>
          <w:sz w:val="17"/>
          <w:szCs w:val="17"/>
          <w:color w:val="auto"/>
        </w:rPr>
        <w:t>”) be converted to extend the scheduled maturity date(s) of any payment of principal with respect to all or a portion of any principal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Term Loans (any such Term Loans which have been so converted, “</w:t>
      </w:r>
      <w:r>
        <w:rPr>
          <w:rFonts w:ascii="Arial" w:cs="Arial" w:eastAsia="Arial" w:hAnsi="Arial"/>
          <w:sz w:val="17"/>
          <w:szCs w:val="17"/>
          <w:b w:val="1"/>
          <w:bCs w:val="1"/>
          <w:color w:val="auto"/>
        </w:rPr>
        <w:t>Extended Term Loans</w:t>
      </w:r>
      <w:r>
        <w:rPr>
          <w:rFonts w:ascii="Arial" w:cs="Arial" w:eastAsia="Arial" w:hAnsi="Arial"/>
          <w:sz w:val="17"/>
          <w:szCs w:val="17"/>
          <w:color w:val="auto"/>
        </w:rPr>
        <w:t xml:space="preserve">”) and to provide for other terms consistent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2.14(g)</w:t>
      </w:r>
      <w:r>
        <w:rPr>
          <w:rFonts w:ascii="Arial" w:cs="Arial" w:eastAsia="Arial" w:hAnsi="Arial"/>
          <w:sz w:val="17"/>
          <w:szCs w:val="17"/>
          <w:color w:val="auto"/>
        </w:rPr>
        <w:t>. In order to establish any Extended Term Loans, the Borrower shall provide a notice to the Administrative Agent (who shall provide a copy of such notice to each of the Lenders of the applicable Existing Term Loan Class which such request shall be offered equally to all such Lenders) (a “</w:t>
      </w:r>
      <w:r>
        <w:rPr>
          <w:rFonts w:ascii="Arial" w:cs="Arial" w:eastAsia="Arial" w:hAnsi="Arial"/>
          <w:sz w:val="17"/>
          <w:szCs w:val="17"/>
          <w:b w:val="1"/>
          <w:bCs w:val="1"/>
          <w:color w:val="auto"/>
        </w:rPr>
        <w:t>Term Loan</w:t>
      </w:r>
      <w:r>
        <w:rPr>
          <w:rFonts w:ascii="Arial" w:cs="Arial" w:eastAsia="Arial" w:hAnsi="Arial"/>
          <w:sz w:val="17"/>
          <w:szCs w:val="17"/>
          <w:color w:val="auto"/>
        </w:rPr>
        <w:t xml:space="preserve"> </w:t>
      </w:r>
      <w:r>
        <w:rPr>
          <w:rFonts w:ascii="Arial" w:cs="Arial" w:eastAsia="Arial" w:hAnsi="Arial"/>
          <w:sz w:val="17"/>
          <w:szCs w:val="17"/>
          <w:b w:val="1"/>
          <w:bCs w:val="1"/>
          <w:color w:val="auto"/>
        </w:rPr>
        <w:t>Extension Request</w:t>
      </w:r>
      <w:r>
        <w:rPr>
          <w:rFonts w:ascii="Arial" w:cs="Arial" w:eastAsia="Arial" w:hAnsi="Arial"/>
          <w:sz w:val="17"/>
          <w:szCs w:val="17"/>
          <w:color w:val="auto"/>
        </w:rPr>
        <w:t>”) setting forth the proposed terms of the Extended Term Loans to be established, which shall not be materially more restrictive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Credit Parties (as determined in good faith by the Borrower), when taken as a whole, than the terms of the Term Loans of the Existing Term Loan Class unless the Lenders of the Term Loans of such applicable Existing Term Loan Class receive the benefit of such more restrictive terms (a “</w:t>
      </w:r>
      <w:r>
        <w:rPr>
          <w:rFonts w:ascii="Arial" w:cs="Arial" w:eastAsia="Arial" w:hAnsi="Arial"/>
          <w:sz w:val="17"/>
          <w:szCs w:val="17"/>
          <w:b w:val="1"/>
          <w:bCs w:val="1"/>
          <w:color w:val="auto"/>
        </w:rPr>
        <w:t>Permitted Other</w:t>
      </w:r>
      <w:r>
        <w:rPr>
          <w:rFonts w:ascii="Arial" w:cs="Arial" w:eastAsia="Arial" w:hAnsi="Arial"/>
          <w:sz w:val="17"/>
          <w:szCs w:val="17"/>
          <w:color w:val="auto"/>
        </w:rPr>
        <w:t xml:space="preserve"> </w:t>
      </w:r>
      <w:r>
        <w:rPr>
          <w:rFonts w:ascii="Arial" w:cs="Arial" w:eastAsia="Arial" w:hAnsi="Arial"/>
          <w:sz w:val="17"/>
          <w:szCs w:val="17"/>
          <w:b w:val="1"/>
          <w:bCs w:val="1"/>
          <w:color w:val="auto"/>
        </w:rPr>
        <w:t>Provision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the scheduled final maturity date shall be extended and all or any of the scheduled amortization payments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of the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in the Joinder Agreement, as the case may be, with respect to the Existing Term Loan Class from which such Extended Term Loans were converted, in each case as more particularly set forth in paragraph (iv) of this </w:t>
      </w:r>
      <w:r>
        <w:rPr>
          <w:rFonts w:ascii="Arial" w:cs="Arial" w:eastAsia="Arial" w:hAnsi="Arial"/>
          <w:sz w:val="17"/>
          <w:szCs w:val="17"/>
          <w:u w:val="single" w:color="auto"/>
          <w:color w:val="auto"/>
        </w:rPr>
        <w:t>Section 2.14(g)</w:t>
      </w:r>
      <w:r>
        <w:rPr>
          <w:rFonts w:ascii="Arial" w:cs="Arial" w:eastAsia="Arial" w:hAnsi="Arial"/>
          <w:sz w:val="17"/>
          <w:szCs w:val="17"/>
          <w:color w:val="auto"/>
        </w:rPr>
        <w:t xml:space="preserve"> below), (y) (A) the interest margins with respect to the Extended Term Loans may be higher or lower than the interest margins for the Term Loans of such Existing Term Loan Class and/or (B) additional fees, premiums or AHYDO payments may be payable to the Lenders providing such Extended Term Loans in addition to or in lieu of any increased margins contemplated by the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in each case, to the extent provided in the applicable Extension Amendment and to the extent that any Permitted Other Provision (including a financial maintenance covenant) is added for the benefit of any such Indebtedness, no consent shall be required by the Administrative Agent or any of the Lenders if such Permitted Other Provision is also added for the benefit of any corresponding Loans remaining outstanding after the issuance or incurrence of such Indebtedness. Notwithstanding anything to the contrary in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otherwise, no Extended Term Loans may be optionally prepaid prior to the date on which the Existing Term Loan Class from which they were converted is repaid in full, except in accordance with the last sentence of </w:t>
      </w:r>
      <w:r>
        <w:rPr>
          <w:rFonts w:ascii="Arial" w:cs="Arial" w:eastAsia="Arial" w:hAnsi="Arial"/>
          <w:sz w:val="17"/>
          <w:szCs w:val="17"/>
          <w:u w:val="single" w:color="auto"/>
          <w:color w:val="auto"/>
        </w:rPr>
        <w:t>Section 5.1(a)</w:t>
      </w:r>
      <w:r>
        <w:rPr>
          <w:rFonts w:ascii="Arial" w:cs="Arial" w:eastAsia="Arial" w:hAnsi="Arial"/>
          <w:sz w:val="17"/>
          <w:szCs w:val="17"/>
          <w:color w:val="auto"/>
        </w:rPr>
        <w:t>. No Lender shall have any obligation to agree to have any of its Term Loans of any Existing Term Loan Class converted into Extended Term Loans pursuant to any Extension Request. Any Extended Term Loans of any Extension Series shall constitute a separate Class of Term Loans from the Existing Term Loan Class from which they were converted.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6" w:name="page107"/>
    <w:bookmarkEnd w:id="106"/>
    <w:p>
      <w:pPr>
        <w:ind w:left="-20" w:right="60" w:firstLine="656"/>
        <w:spacing w:after="0" w:line="284" w:lineRule="auto"/>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request that all or a portion of the Revolving Credit Commitments of any Class, any Extended Revolving Credit Commitments and/or any New Revolving Credit Commitments, each existing at the time of such request (each, an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Credit Commitment</w:t>
      </w:r>
      <w:r>
        <w:rPr>
          <w:rFonts w:ascii="Arial" w:cs="Arial" w:eastAsia="Arial" w:hAnsi="Arial"/>
          <w:sz w:val="16"/>
          <w:szCs w:val="16"/>
          <w:color w:val="auto"/>
        </w:rPr>
        <w:t>” and any related revolving credit loans thereunder, “</w:t>
      </w:r>
      <w:r>
        <w:rPr>
          <w:rFonts w:ascii="Arial" w:cs="Arial" w:eastAsia="Arial" w:hAnsi="Arial"/>
          <w:sz w:val="16"/>
          <w:szCs w:val="16"/>
          <w:b w:val="1"/>
          <w:bCs w:val="1"/>
          <w:color w:val="auto"/>
        </w:rPr>
        <w:t>Existing Revolving Credit Loans</w:t>
      </w:r>
      <w:r>
        <w:rPr>
          <w:rFonts w:ascii="Arial" w:cs="Arial" w:eastAsia="Arial" w:hAnsi="Arial"/>
          <w:sz w:val="16"/>
          <w:szCs w:val="16"/>
          <w:color w:val="auto"/>
        </w:rPr>
        <w:t>”; each Existing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and related Existing Revolving Credit Loans together being referred to as an “</w:t>
      </w:r>
      <w:r>
        <w:rPr>
          <w:rFonts w:ascii="Arial" w:cs="Arial" w:eastAsia="Arial" w:hAnsi="Arial"/>
          <w:sz w:val="16"/>
          <w:szCs w:val="16"/>
          <w:b w:val="1"/>
          <w:bCs w:val="1"/>
          <w:color w:val="auto"/>
        </w:rPr>
        <w:t>Existing Revolving Credit Class</w:t>
      </w:r>
      <w:r>
        <w:rPr>
          <w:rFonts w:ascii="Arial" w:cs="Arial" w:eastAsia="Arial" w:hAnsi="Arial"/>
          <w:sz w:val="16"/>
          <w:szCs w:val="16"/>
          <w:color w:val="auto"/>
        </w:rPr>
        <w:t>”) be converted to extend the termination date thereof and the scheduled maturity date(s) of any payment of principal with respect to all or a portion of any principal amount of Loans related to such Existing Revolving Credit Commitments (any such Existing Revolving Credit Commitments which have been so extended, “</w:t>
      </w:r>
      <w:r>
        <w:rPr>
          <w:rFonts w:ascii="Arial" w:cs="Arial" w:eastAsia="Arial" w:hAnsi="Arial"/>
          <w:sz w:val="16"/>
          <w:szCs w:val="16"/>
          <w:b w:val="1"/>
          <w:bCs w:val="1"/>
          <w:color w:val="auto"/>
        </w:rPr>
        <w:t>Extended</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Credit Commitments</w:t>
      </w:r>
      <w:r>
        <w:rPr>
          <w:rFonts w:ascii="Arial" w:cs="Arial" w:eastAsia="Arial" w:hAnsi="Arial"/>
          <w:sz w:val="16"/>
          <w:szCs w:val="16"/>
          <w:color w:val="auto"/>
        </w:rPr>
        <w:t>” and any related Loans, “</w:t>
      </w:r>
      <w:r>
        <w:rPr>
          <w:rFonts w:ascii="Arial" w:cs="Arial" w:eastAsia="Arial" w:hAnsi="Arial"/>
          <w:sz w:val="16"/>
          <w:szCs w:val="16"/>
          <w:b w:val="1"/>
          <w:bCs w:val="1"/>
          <w:color w:val="auto"/>
        </w:rPr>
        <w:t>Extended Revolving Credit Loans</w:t>
      </w:r>
      <w:r>
        <w:rPr>
          <w:rFonts w:ascii="Arial" w:cs="Arial" w:eastAsia="Arial" w:hAnsi="Arial"/>
          <w:sz w:val="16"/>
          <w:szCs w:val="16"/>
          <w:color w:val="auto"/>
        </w:rPr>
        <w:t>”) and to provide for other terms consistent with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2.14(g)</w:t>
      </w:r>
      <w:r>
        <w:rPr>
          <w:rFonts w:ascii="Arial" w:cs="Arial" w:eastAsia="Arial" w:hAnsi="Arial"/>
          <w:sz w:val="16"/>
          <w:szCs w:val="16"/>
          <w:color w:val="auto"/>
        </w:rPr>
        <w:t>. In order to establish any Extended Revolving Credit Commitments, the Borrower shall provide a notice to the Administrative Agent (who shall provide a copy of such notice to each of the Lenders of the applicable Class of Existing Revolving Credit Commitments which such request shall be offered equally to all such Lenders) setting forth the proposed terms of the Extended Revolving Credit Commitments to be established, which shall not be materially more restrictive to the Credit Parties (as determined in good faith by the Borrower), when taken as a whole, than the terms of the applicable Existing Revolving Credit Commitments (the “</w:t>
      </w:r>
      <w:r>
        <w:rPr>
          <w:rFonts w:ascii="Arial" w:cs="Arial" w:eastAsia="Arial" w:hAnsi="Arial"/>
          <w:sz w:val="16"/>
          <w:szCs w:val="16"/>
          <w:b w:val="1"/>
          <w:bCs w:val="1"/>
          <w:color w:val="auto"/>
        </w:rPr>
        <w:t>Specified Existing Revolving Credit Commitment</w:t>
      </w:r>
      <w:r>
        <w:rPr>
          <w:rFonts w:ascii="Arial" w:cs="Arial" w:eastAsia="Arial" w:hAnsi="Arial"/>
          <w:sz w:val="16"/>
          <w:szCs w:val="16"/>
          <w:color w:val="auto"/>
        </w:rPr>
        <w:t xml:space="preserve">”) unless (x) the Lenders providing existing Revolving Credit Loans receive the benefit of such more restrictive terms or (y) any such provisions apply after the Revolving Credit Termination Date, in each case, to the extent provided in the applicable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 all or any of the final maturity dates of such Extended Revolving Credit Commitments may be delayed to later dates than the final maturity dates of the Specified Existing Revolving Credit Commitments, (x) (A) the interest margins with respect to the Extended Revolving Credit Commitments may be higher or lower than the interest margins for the Specified Existing Revolving Credit Commitments and/or (B) additional fees and premiums may be payable to the Lenders providing such Extended Revolving Credit Commitments in addition to or in lieu of any increased margins contemplated by the preceding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and (y) the revolving credit commitment fee rate with respect to the Extended Revolving Credit Commitments may be higher or lower than the revolving credit commitment fee rate for the Specified Existing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or otherwise, (1) the borrowing and repayment (other than in connection with a permanent repayment and termination of commitments) of Loans with respect to any Original Revolving Credit Commitments shall be made on a pro rata basis with all other Original Revolving Credit Commitments and (2) assignments and participations of Extended Revolving Credit Commitments and Extended Revolving Credit Loans shall be governed by the same assignment and participation provisions applicable to Revolving Credit Commitments and the Revolving Credit Loans related to such Commitments set forth in </w:t>
      </w:r>
      <w:r>
        <w:rPr>
          <w:rFonts w:ascii="Arial" w:cs="Arial" w:eastAsia="Arial" w:hAnsi="Arial"/>
          <w:sz w:val="16"/>
          <w:szCs w:val="16"/>
          <w:u w:val="single" w:color="auto"/>
          <w:color w:val="auto"/>
        </w:rPr>
        <w:t>Section 13.6</w:t>
      </w:r>
      <w:r>
        <w:rPr>
          <w:rFonts w:ascii="Arial" w:cs="Arial" w:eastAsia="Arial" w:hAnsi="Arial"/>
          <w:sz w:val="16"/>
          <w:szCs w:val="16"/>
          <w:color w:val="auto"/>
        </w:rPr>
        <w:t>. No Lender shall have any obligation to agree to have any of its Revolving Credit Loans or Revolving Credit Commitments of any Existing Revolving Credit Class converted into Extended Revolving Credit Loans or Extended Revolving Credit Commitments pursuant to any Extension Request. Any Extended Revolving Credit Commitments of any Extension Series shall constitute a separate Class of revolving credit commitments from the Specified Existing Revolving Credit Commitments and from any other Existing Revolving Credit Commitments (together with any other Extended Revolving Credit Commitments so established on such date).</w:t>
      </w:r>
    </w:p>
    <w:p>
      <w:pPr>
        <w:spacing w:after="0" w:line="166" w:lineRule="exact"/>
        <w:rPr>
          <w:rFonts w:ascii="Arial" w:cs="Arial" w:eastAsia="Arial" w:hAnsi="Arial"/>
          <w:sz w:val="16"/>
          <w:szCs w:val="16"/>
          <w:color w:val="auto"/>
        </w:rPr>
      </w:pPr>
    </w:p>
    <w:p>
      <w:pPr>
        <w:ind w:left="-20" w:firstLine="656"/>
        <w:spacing w:after="0" w:line="268" w:lineRule="auto"/>
        <w:tabs>
          <w:tab w:leader="none" w:pos="1203"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Lender (an “</w:t>
      </w:r>
      <w:r>
        <w:rPr>
          <w:rFonts w:ascii="Arial" w:cs="Arial" w:eastAsia="Arial" w:hAnsi="Arial"/>
          <w:sz w:val="17"/>
          <w:szCs w:val="17"/>
          <w:b w:val="1"/>
          <w:bCs w:val="1"/>
          <w:color w:val="auto"/>
        </w:rPr>
        <w:t>Extending Lender</w:t>
      </w:r>
      <w:r>
        <w:rPr>
          <w:rFonts w:ascii="Arial" w:cs="Arial" w:eastAsia="Arial" w:hAnsi="Arial"/>
          <w:sz w:val="17"/>
          <w:szCs w:val="17"/>
          <w:color w:val="auto"/>
        </w:rPr>
        <w:t>”) wishing to have all or a portion of its Term Loans, Revolving Credit Commitments, New Revolving Credit Commitment or Extended Revolving Credit Commitment of the Existing Class or Existing Classes subject to such Extension Request converted into Extended Term Loans or Extended Revolving Credit Commitments, as applicable, shall notify the Administrative Agent (an “</w:t>
      </w:r>
      <w:r>
        <w:rPr>
          <w:rFonts w:ascii="Arial" w:cs="Arial" w:eastAsia="Arial" w:hAnsi="Arial"/>
          <w:sz w:val="17"/>
          <w:szCs w:val="17"/>
          <w:b w:val="1"/>
          <w:bCs w:val="1"/>
          <w:color w:val="auto"/>
        </w:rPr>
        <w:t>Extension Election</w:t>
      </w:r>
      <w:r>
        <w:rPr>
          <w:rFonts w:ascii="Arial" w:cs="Arial" w:eastAsia="Arial" w:hAnsi="Arial"/>
          <w:sz w:val="17"/>
          <w:szCs w:val="17"/>
          <w:color w:val="auto"/>
        </w:rPr>
        <w:t xml:space="preserve">”) on or prior to the date specified in such Extension Request of the amount of its Term Loans, Revolving Credit Commitments, New Revolving Credit Commitment or Extended Revolving Credit Commitment of the Existing Class or Existing Classes subject to such Extension Request that it has elected to convert into Extended Term Loans or Extended Revolving Credit Commitments, as applicable. In the event that the aggregate amount of Term Loans, Revolving Credit Commitments, New Revolving Credit Commitment or Extended Revolving Credit Commitment of the Existing Class or Existing Classes subject to Extension Elections exceeds the amount of Extended Term Loans or Extended Revolving Credit Commitments, as applicable, requested pursuant to the Extension Request, Term Loans or Revolving Credit Commitments, New Revolving Credit Commitments or Extended Revolving Credit Commitments of the Existing Class or Existing Classes subject to Extension Elections shall be converted to Extended Term Loans or Extended Revolving Credit Commitments, as applicable, on a pro rata basis based on the amount of Term Loans, Revolving Credit Commitments, New Revolving Credit Commitment or Extended Revolving Credit Commitment included in each such Extension Election. Notwithstanding the conversion of any Existing Revolving Credit Commitment into an Extended Revolving Credit Commitment, such Extended Revolving Credit Commitment shall be treated identically to all other Original Revolving Credit Commitments for purposes of the obligations of a Revolving Credit Lender in respect of Swingline Loans under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and Letters of Credit under </w:t>
      </w:r>
      <w:r>
        <w:rPr>
          <w:rFonts w:ascii="Arial" w:cs="Arial" w:eastAsia="Arial" w:hAnsi="Arial"/>
          <w:sz w:val="17"/>
          <w:szCs w:val="17"/>
          <w:u w:val="single" w:color="auto"/>
          <w:color w:val="auto"/>
        </w:rPr>
        <w:t>Section 3</w:t>
      </w:r>
      <w:r>
        <w:rPr>
          <w:rFonts w:ascii="Arial" w:cs="Arial" w:eastAsia="Arial" w:hAnsi="Arial"/>
          <w:sz w:val="17"/>
          <w:szCs w:val="17"/>
          <w:color w:val="auto"/>
        </w:rPr>
        <w:t>, except that the applicable Extension Amendment may provide that the Swingline Maturity Date and/or the L/C Facility Maturity Date may be extended and the related obligations to make Swingline Loans and issue Letters of Credit may be continued so long as the Swingline Lender and/or the Letter of Credit Issuer, as applicable, have consented to such extensions in their sole discretion (it being understood that no consent of any other Lender shall be required in connection with any such extension).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07" w:name="page108"/>
    <w:bookmarkEnd w:id="107"/>
    <w:p>
      <w:pPr>
        <w:ind w:left="1240" w:hanging="584"/>
        <w:spacing w:after="0"/>
        <w:tabs>
          <w:tab w:leader="none" w:pos="12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Extended Term Loans or Extended Revolving Credit Commitments, as applicable, shall be established pursuant to an amendment (an</w:t>
      </w:r>
    </w:p>
    <w:p>
      <w:pPr>
        <w:spacing w:after="0" w:line="3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Extension Amendment</w:t>
      </w:r>
      <w:r>
        <w:rPr>
          <w:rFonts w:ascii="Arial" w:cs="Arial" w:eastAsia="Arial" w:hAnsi="Arial"/>
          <w:sz w:val="16"/>
          <w:szCs w:val="16"/>
          <w:color w:val="auto"/>
        </w:rPr>
        <w:t xml:space="preserve">”) to this Agreement (which, except to the extent expressly contemplated by the penultimate sentence of this </w:t>
      </w:r>
      <w:r>
        <w:rPr>
          <w:rFonts w:ascii="Arial" w:cs="Arial" w:eastAsia="Arial" w:hAnsi="Arial"/>
          <w:sz w:val="16"/>
          <w:szCs w:val="16"/>
          <w:u w:val="single" w:color="auto"/>
          <w:color w:val="auto"/>
        </w:rPr>
        <w:t>Section 2.14(g)(iv)</w:t>
      </w:r>
      <w:r>
        <w:rPr>
          <w:rFonts w:ascii="Arial" w:cs="Arial" w:eastAsia="Arial" w:hAnsi="Arial"/>
          <w:sz w:val="16"/>
          <w:szCs w:val="16"/>
          <w:color w:val="auto"/>
        </w:rPr>
        <w:t xml:space="preserve"> and notwithstanding anything to the contrary set forth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shall not require the consent of any Lender other than the Extending Lenders with respect to the Extended Term Loans or Extended Revolving Credit Commitments, as applicable, established thereby) executed by the Credit Parties, the Administrative Agent and the Extending Lenders. No Extension Amendment shall provide for any tranche of Extended Term Loans or Extended Revolving Credit Commitments in an aggregate principal amount that is less than $10,000,000. In addition to any terms and changes required or permitted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2.14(g)(i)</w:t>
      </w:r>
      <w:r>
        <w:rPr>
          <w:rFonts w:ascii="Arial" w:cs="Arial" w:eastAsia="Arial" w:hAnsi="Arial"/>
          <w:sz w:val="16"/>
          <w:szCs w:val="16"/>
          <w:color w:val="auto"/>
        </w:rPr>
        <w:t xml:space="preserve">, each Extension Amendment (x) shall amend the scheduled amortization payments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the applicable Joinder Agreement with respect to the Existing Term Loan Class from which the Extended Term Loans were converted to reduce each scheduled Repayment Amount for the Existing Term Loan Class in the same proportion as the amount of Term Loans of the Existing Term Loan Class is to be converted pursuant to such Extension Amendment (it being understood that the amount of any Repayment Amount payable with respect to any individual Term Loan of such Existing Term Loan Class that is not an Extended Term Loan shall not be reduced as a result thereof) and (y) may, but shall not be required to, impose additional requirements (not inconsistent with the provisions of this Agreement in effect at such time) with respect to the final maturity and weighted average life to maturity of New Term Loans incurred following the date of such Extension Amendment. Notwithstanding anything to the contrary in this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and without limiting the generality or applicability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to any Section 2.14 Additional Amendments, any Extension Amendment may provide for additional terms and/or additional amendments other than those referred to or contemplated above (any such additional amendment, a “</w:t>
      </w:r>
      <w:r>
        <w:rPr>
          <w:rFonts w:ascii="Arial" w:cs="Arial" w:eastAsia="Arial" w:hAnsi="Arial"/>
          <w:sz w:val="16"/>
          <w:szCs w:val="16"/>
          <w:b w:val="1"/>
          <w:bCs w:val="1"/>
          <w:color w:val="auto"/>
        </w:rPr>
        <w:t>Section 2.14 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to this Agreement and the other Credit Documents;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Section 2.14 Additional Amendments are within the requirements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2.14(g)(i)</w:t>
      </w:r>
      <w:r>
        <w:rPr>
          <w:rFonts w:ascii="Arial" w:cs="Arial" w:eastAsia="Arial" w:hAnsi="Arial"/>
          <w:sz w:val="16"/>
          <w:szCs w:val="16"/>
          <w:color w:val="auto"/>
        </w:rPr>
        <w:t xml:space="preserve"> and do not become effective prior to the time that such Section 2.14 Additional Amendments have been consented to (including, without limitation, pursuant to (1) consents applicable to holders of New Term Loans and New Revolving Credit Commitments provided for in any Joinder Agreement and (2) consents applicable to holders of any Extended Term Loans or Extended Revolving Credit Commitments provided for in any Extension Amendment) by such of the Lenders, Credit Parties and other parties (if any) as may be required in order for such Section 2.14 Additional Amendments to become effective in accordance with </w:t>
      </w:r>
      <w:r>
        <w:rPr>
          <w:rFonts w:ascii="Arial" w:cs="Arial" w:eastAsia="Arial" w:hAnsi="Arial"/>
          <w:sz w:val="16"/>
          <w:szCs w:val="16"/>
          <w:u w:val="single" w:color="auto"/>
          <w:color w:val="auto"/>
        </w:rPr>
        <w:t>Section 13.1</w:t>
      </w:r>
      <w:r>
        <w:rPr>
          <w:rFonts w:ascii="Arial" w:cs="Arial" w:eastAsia="Arial" w:hAnsi="Arial"/>
          <w:sz w:val="16"/>
          <w:szCs w:val="16"/>
          <w:color w:val="auto"/>
        </w:rPr>
        <w:t>.</w:t>
      </w:r>
    </w:p>
    <w:p>
      <w:pPr>
        <w:spacing w:after="0" w:line="387" w:lineRule="exact"/>
        <w:rPr>
          <w:sz w:val="20"/>
          <w:szCs w:val="20"/>
          <w:color w:val="auto"/>
        </w:rPr>
      </w:pPr>
    </w:p>
    <w:p>
      <w:pPr>
        <w:ind w:firstLine="656"/>
        <w:spacing w:after="0" w:line="268" w:lineRule="auto"/>
        <w:tabs>
          <w:tab w:leader="none" w:pos="1173"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(A) on any date on which any Existing Class is converted to extend the related scheduled maturity date(s) in accordance with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(an “</w:t>
      </w:r>
      <w:r>
        <w:rPr>
          <w:rFonts w:ascii="Arial" w:cs="Arial" w:eastAsia="Arial" w:hAnsi="Arial"/>
          <w:sz w:val="17"/>
          <w:szCs w:val="17"/>
          <w:b w:val="1"/>
          <w:bCs w:val="1"/>
          <w:color w:val="auto"/>
        </w:rPr>
        <w:t>Extension Date</w:t>
      </w:r>
      <w:r>
        <w:rPr>
          <w:rFonts w:ascii="Arial" w:cs="Arial" w:eastAsia="Arial" w:hAnsi="Arial"/>
          <w:sz w:val="17"/>
          <w:szCs w:val="17"/>
          <w:color w:val="auto"/>
        </w:rPr>
        <w:t>”), (I) in the case of the existing Term Loans of each Extending Lender, the aggregate principal amount of such existing Term Loans shall be deemed reduced by an amount equal to the aggregate principal amount of Extended Term Loans so converted by such Lender on such date, and the Extended Term Loans shall be established as a separate Class of Term Loans (together with any other Extended Term Loans so established on such date), and (II) in the case of the Specified Existing Revolving Credit Commitments of each Extending Lender, the aggregate principal amount of such Specified Existing Revolving Credit Commitments shall be deemed reduced by an amount equal to the aggregate principal amount of Extended Revolving Credit Commitments so converted by such Lender on such date, and such Extended Revolving Credit Commitments shall be established as a separate Class of revolving credit commitments from the Specified Existing Revolving Credit Commitments and from any other Existing Revolving Credit Commitments (together with any other Extended Revolving Credit Commitments so established on such date) and (B) if, on any Extension Date, any Loans of any Extending Lender are outstanding under the applicable Specified Existing Revolving Credit Commitments, such Loans (and any related participations) shall be deemed to be allocated as Extended Revolving Credit Loans (and related participations) and Existing Revolving Credit Loans (and related participations) in the same proportion as such Extending Lender’s Specified Existing Revolving Credit Commitments to Extended Revolving Credit Commitments.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8" w:name="page109"/>
    <w:bookmarkEnd w:id="108"/>
    <w:p>
      <w:pPr>
        <w:ind w:left="-40" w:right="60" w:firstLine="656"/>
        <w:spacing w:after="0" w:line="255"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Lenders (other than the Swingline Lender to the extent such consent is expressly required by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hereby consent to the consummation of the transactions contemplated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(including, for the avoidance of doubt, payment of any interest, fees, or premium in respect of any Extended Term Loans and/or Extended Revolving Credit Commitments on such terms as may be set forth in the relevant Extension Amendment) and hereby waive the requirements of any provision of this Agreement (including, without limitation, any pro rata payment or amendment section) or any other Credit Document that may otherwise prohibit or restrict any such extension or any other transaction contemplated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93"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left="-40" w:right="40" w:firstLine="656"/>
        <w:spacing w:after="0" w:line="277" w:lineRule="auto"/>
        <w:tabs>
          <w:tab w:leader="none" w:pos="1213"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ind w:left="620" w:right="60" w:firstLine="645"/>
        <w:spacing w:after="0" w:line="277" w:lineRule="auto"/>
        <w:tabs>
          <w:tab w:leader="none" w:pos="1753"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20" w:firstLine="645"/>
        <w:spacing w:after="0" w:line="267" w:lineRule="auto"/>
        <w:tabs>
          <w:tab w:leader="none" w:pos="1803"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13.8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to the payment on a pro rata basis of any amounts owing by such Defaulting Lender to the Letter of Credit Issuer or Swingline Lender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Cash Collateralize the Letter of Credit Issuer’s Fronting Exposure with respect to such Defaulting Lender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Letter of Credit Issuer’s future Fronting Exposure with respect to such Defaulting Lender with respect to future Letters of Credit issued under this Agreement,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Borrower, the Lenders, the Letter of Credit Issuer or Swingline Lender as a result of any judgment of a court of competent jurisdiction obtained by the Borrower, any Lender, the Letter of Credit Issuer or the Swingline Lender against such Defaulting Lender as a result of such Defaulting Lender’s breach of its obligations under this Agreement; and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2.16(a)(ii)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109" w:name="page110"/>
    <w:bookmarkEnd w:id="109"/>
    <w:p>
      <w:pPr>
        <w:ind w:left="1840" w:hanging="575"/>
        <w:spacing w:after="0"/>
        <w:tabs>
          <w:tab w:leader="none" w:pos="18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sz w:val="20"/>
          <w:szCs w:val="20"/>
          <w:color w:val="auto"/>
        </w:rPr>
      </w:pPr>
    </w:p>
    <w:p>
      <w:pPr>
        <w:ind w:left="620" w:right="320" w:firstLine="645"/>
        <w:spacing w:after="0" w:line="264" w:lineRule="auto"/>
        <w:tabs>
          <w:tab w:leader="none" w:pos="1833"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81" w:lineRule="exact"/>
        <w:rPr>
          <w:rFonts w:ascii="Arial" w:cs="Arial" w:eastAsia="Arial" w:hAnsi="Arial"/>
          <w:sz w:val="18"/>
          <w:szCs w:val="18"/>
          <w:color w:val="auto"/>
        </w:rPr>
      </w:pPr>
    </w:p>
    <w:p>
      <w:pPr>
        <w:jc w:val="both"/>
        <w:ind w:left="620" w:right="280" w:firstLine="645"/>
        <w:spacing w:after="0" w:line="264" w:lineRule="auto"/>
        <w:tabs>
          <w:tab w:leader="none" w:pos="1823"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20" w:right="40" w:firstLine="645"/>
        <w:spacing w:after="0" w:line="297" w:lineRule="auto"/>
        <w:tabs>
          <w:tab w:leader="none" w:pos="18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With respect to any Letter of Credit Fee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below, (y) pay to the Letter of Credit Issuer the amount of any such fee otherwise payable to such Defaulting Lender to the extent allocable to such Letter of Credit’s Fronting Exposure to such Defaulting Lender, and (z) not be required to pay the remaining amount of any such fee.</w:t>
      </w:r>
    </w:p>
    <w:p>
      <w:pPr>
        <w:spacing w:after="0" w:line="158" w:lineRule="exact"/>
        <w:rPr>
          <w:sz w:val="20"/>
          <w:szCs w:val="20"/>
          <w:color w:val="auto"/>
        </w:rPr>
      </w:pPr>
    </w:p>
    <w:p>
      <w:pPr>
        <w:ind w:left="620" w:right="40" w:firstLine="645"/>
        <w:spacing w:after="0" w:line="255" w:lineRule="auto"/>
        <w:tabs>
          <w:tab w:leader="none" w:pos="1843"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All or any part of such Defaulting Lender’s participation in L/C Obligations and Swingline Loans shall be reallocated among the Non-Defaulting Lenders in accordance with their respective Revolving Credit Commitment Percentages (calculated without regard to such Defaulting Lender’s Commitment) but only to the extent that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Arial" w:cs="Arial" w:eastAsia="Arial" w:hAnsi="Arial"/>
          <w:sz w:val="18"/>
          <w:szCs w:val="18"/>
          <w:color w:val="auto"/>
        </w:rPr>
      </w:pPr>
    </w:p>
    <w:p>
      <w:pPr>
        <w:ind w:left="620" w:right="120" w:firstLine="645"/>
        <w:spacing w:after="0" w:line="259" w:lineRule="auto"/>
        <w:tabs>
          <w:tab w:leader="none" w:pos="1793"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 shall, without prejudice to any right or remedy available to them hereunder or under applicable law, (x) </w:t>
      </w:r>
      <w:r>
        <w:rPr>
          <w:rFonts w:ascii="Arial" w:cs="Arial" w:eastAsia="Arial" w:hAnsi="Arial"/>
          <w:sz w:val="18"/>
          <w:szCs w:val="18"/>
          <w:i w:val="1"/>
          <w:iCs w:val="1"/>
          <w:color w:val="auto"/>
        </w:rPr>
        <w:t>first</w:t>
      </w:r>
      <w:r>
        <w:rPr>
          <w:rFonts w:ascii="Arial" w:cs="Arial" w:eastAsia="Arial" w:hAnsi="Arial"/>
          <w:sz w:val="18"/>
          <w:szCs w:val="18"/>
          <w:color w:val="auto"/>
        </w:rPr>
        <w:t xml:space="preserve">, prepay Swingline Loans in an amount equal to the Swingline Lenders’ Fronting Exposure and (y) </w:t>
      </w:r>
      <w:r>
        <w:rPr>
          <w:rFonts w:ascii="Arial" w:cs="Arial" w:eastAsia="Arial" w:hAnsi="Arial"/>
          <w:sz w:val="18"/>
          <w:szCs w:val="18"/>
          <w:i w:val="1"/>
          <w:iCs w:val="1"/>
          <w:color w:val="auto"/>
        </w:rPr>
        <w:t>second</w:t>
      </w:r>
      <w:r>
        <w:rPr>
          <w:rFonts w:ascii="Arial" w:cs="Arial" w:eastAsia="Arial" w:hAnsi="Arial"/>
          <w:sz w:val="18"/>
          <w:szCs w:val="18"/>
          <w:color w:val="auto"/>
        </w:rPr>
        <w:t xml:space="preserve">, Cash Collateralize the Letter of Credit Issuers’ Fronting Exposure in accordance with the procedures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0" w:firstLine="656"/>
        <w:spacing w:after="0" w:line="270" w:lineRule="auto"/>
        <w:tabs>
          <w:tab w:leader="none" w:pos="126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Swingline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Swingline Loans to be held on a pro rata basis by the Lenders in accordance with their Revolving Credit Commitment Percentages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110" w:name="page111"/>
    <w:bookmarkEnd w:id="110"/>
    <w:p>
      <w:pPr>
        <w:spacing w:after="0"/>
        <w:tabs>
          <w:tab w:leader="none" w:pos="12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Letters of Credit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93" w:lineRule="auto"/>
        <w:tabs>
          <w:tab w:leader="none" w:pos="1253" w:val="left"/>
        </w:tabs>
        <w:numPr>
          <w:ilvl w:val="0"/>
          <w:numId w:val="88"/>
        </w:numPr>
        <w:rPr>
          <w:rFonts w:ascii="Arial" w:cs="Arial" w:eastAsia="Arial" w:hAnsi="Arial"/>
          <w:sz w:val="16"/>
          <w:szCs w:val="16"/>
          <w:color w:val="auto"/>
        </w:rPr>
      </w:pPr>
      <w:r>
        <w:rPr>
          <w:rFonts w:ascii="Arial" w:cs="Arial" w:eastAsia="Arial" w:hAnsi="Arial"/>
          <w:sz w:val="16"/>
          <w:szCs w:val="16"/>
          <w:color w:val="auto"/>
        </w:rPr>
        <w:t>Subject to and upon the terms and conditions herein set forth, at any time and from time to time after the Restatement Effective Date and prior to the L/C Facility Maturity Date, the Letter of Credit Issuer agrees, in reliance upon the agreements of the Revolving Credit Lenders set forth in this Section 3, to issue from time to time from the Restatement Effective Date through the L/C Facility Maturity Date for the account of the Borrower (or, so long as the Borrower is the primary obligor, for the account of Holdings or any Restricted Subsidiary (other than the Borrower)) letters of credit (the “</w:t>
      </w:r>
      <w:r>
        <w:rPr>
          <w:rFonts w:ascii="Arial" w:cs="Arial" w:eastAsia="Arial" w:hAnsi="Arial"/>
          <w:sz w:val="16"/>
          <w:szCs w:val="16"/>
          <w:b w:val="1"/>
          <w:bCs w:val="1"/>
          <w:color w:val="auto"/>
        </w:rPr>
        <w:t>Letters of</w:t>
      </w:r>
      <w:r>
        <w:rPr>
          <w:rFonts w:ascii="Arial" w:cs="Arial" w:eastAsia="Arial" w:hAnsi="Arial"/>
          <w:sz w:val="16"/>
          <w:szCs w:val="16"/>
          <w:color w:val="auto"/>
        </w:rPr>
        <w:t xml:space="preserve"> </w:t>
      </w:r>
      <w:r>
        <w:rPr>
          <w:rFonts w:ascii="Arial" w:cs="Arial" w:eastAsia="Arial" w:hAnsi="Arial"/>
          <w:sz w:val="16"/>
          <w:szCs w:val="16"/>
          <w:b w:val="1"/>
          <w:bCs w:val="1"/>
          <w:color w:val="auto"/>
        </w:rPr>
        <w:t>Credit</w:t>
      </w:r>
      <w:r>
        <w:rPr>
          <w:rFonts w:ascii="Arial" w:cs="Arial" w:eastAsia="Arial" w:hAnsi="Arial"/>
          <w:sz w:val="16"/>
          <w:szCs w:val="16"/>
          <w:color w:val="auto"/>
        </w:rPr>
        <w:t>” and each, a “</w:t>
      </w:r>
      <w:r>
        <w:rPr>
          <w:rFonts w:ascii="Arial" w:cs="Arial" w:eastAsia="Arial" w:hAnsi="Arial"/>
          <w:sz w:val="16"/>
          <w:szCs w:val="16"/>
          <w:b w:val="1"/>
          <w:bCs w:val="1"/>
          <w:color w:val="auto"/>
        </w:rPr>
        <w:t>Letter of Credit</w:t>
      </w:r>
      <w:r>
        <w:rPr>
          <w:rFonts w:ascii="Arial" w:cs="Arial" w:eastAsia="Arial" w:hAnsi="Arial"/>
          <w:sz w:val="16"/>
          <w:szCs w:val="16"/>
          <w:color w:val="auto"/>
        </w:rPr>
        <w:t>”) in such form as may be approved by the Letter of Credit Issuer in its reasonable discretion. Each Existing Letter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shall be deemed to have been issued under this Agreement by the applicable Letter of Credit Issuer on the Restatement Effective Date.</w:t>
      </w:r>
    </w:p>
    <w:p>
      <w:pPr>
        <w:spacing w:after="0" w:line="164" w:lineRule="exact"/>
        <w:rPr>
          <w:rFonts w:ascii="Arial" w:cs="Arial" w:eastAsia="Arial" w:hAnsi="Arial"/>
          <w:sz w:val="16"/>
          <w:szCs w:val="16"/>
          <w:color w:val="auto"/>
        </w:rPr>
      </w:pPr>
    </w:p>
    <w:p>
      <w:pPr>
        <w:ind w:firstLine="656"/>
        <w:spacing w:after="0" w:line="268" w:lineRule="auto"/>
        <w:tabs>
          <w:tab w:leader="none" w:pos="1263"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Notwithstanding the foregoing, (i) no Letter of Credit shall be issued the Stated Amount of which, when added to the Letters of Credit Outstanding at such time, would exceed the Letter of Credit Commitment then in effect (or with respect to any Letter of Credit Issuer, exceed such Letter of Credit Issuer’s Letter of Credit Commitment); (ii) no Letter of Credit shall be issued the Stated Amount of which would cause the aggregate amount of the Lenders’ Revolving Credit Exposures at the time of the issuance thereof to exceed the Total Revolving Credit Commitment then in effect; (iii) each Letter of Credit shall have an expiration date occurring no later than one year after the date of issuance thereof (except as set forth in </w:t>
      </w:r>
      <w:r>
        <w:rPr>
          <w:rFonts w:ascii="Arial" w:cs="Arial" w:eastAsia="Arial" w:hAnsi="Arial"/>
          <w:sz w:val="17"/>
          <w:szCs w:val="17"/>
          <w:u w:val="single" w:color="auto"/>
          <w:color w:val="auto"/>
        </w:rPr>
        <w:t>Section 3.2(d)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such expiration date occur later than the L/C Facility Maturity Date, in each case, unless otherwise agreed upon by the Administrative Agent, the Letter of Credit Issuer and, unless such Letter of Credit has been Cash Collateralized or backstopped (in the case of a backstop only, on terms reasonably satisfactory to such Letter of Credit Issuer), the Revolving Credit Lenders; (iv) the Letter of Credit shall be denominated in Dollars; (v) no Letter of Credit shall be issued if it would be illegal under any applicable law for the beneficiary of the Letter of Credit to have a Letter of Credit issued in its favor; and (vi) no Letter of Credit shall be issued by the Letter of Credit Issuer after it has received a written notice from any Credit Party or the Administrative Agent or the Required Revolving Credit Lenders stating that a Default or Event of Default has occurred and is continuing until such time as the Letter of Credit Issuer shall have received a written notice of (x) rescission of such notice from the party or parties originally delivering such notice or (y) the waiver of such Default or Event of Default in accordance with the provisions of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right="20" w:firstLine="656"/>
        <w:spacing w:after="0" w:line="276" w:lineRule="auto"/>
        <w:tabs>
          <w:tab w:leader="none" w:pos="1253"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Upon at least two Business Days’ prior written notice to the Administrative Agent and the Letter of Credit Issuer (which notice the Administrative Agent shall promptly transmit to each of the Lenders), the Borrower shall have the right, on any day, permanently to terminate or reduce the Letter of Credit Commitment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termination or reduction, the Letters of Credit Outstanding shall not exceed the Letter of Credit Commitment (or with respect to a Letter of Credit Issuer, the Letters of Credit outstanding with respect to Letters of Credit issued by such Letter of Credit Issuer shall not exceed such Letter of Credit Issuer’s Letter of Credit Commitment).</w:t>
      </w:r>
    </w:p>
    <w:p>
      <w:pPr>
        <w:spacing w:after="0" w:line="172" w:lineRule="exact"/>
        <w:rPr>
          <w:rFonts w:ascii="Arial" w:cs="Arial" w:eastAsia="Arial" w:hAnsi="Arial"/>
          <w:sz w:val="17"/>
          <w:szCs w:val="17"/>
          <w:color w:val="auto"/>
        </w:rPr>
      </w:pPr>
    </w:p>
    <w:p>
      <w:pPr>
        <w:ind w:left="1280" w:hanging="624"/>
        <w:spacing w:after="0"/>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Letter of Credit Issuer shall not be under any obligation to issue any Letter of Credit if:</w:t>
      </w:r>
    </w:p>
    <w:p>
      <w:pPr>
        <w:spacing w:after="0" w:line="225" w:lineRule="exact"/>
        <w:rPr>
          <w:rFonts w:ascii="Arial" w:cs="Arial" w:eastAsia="Arial" w:hAnsi="Arial"/>
          <w:sz w:val="18"/>
          <w:szCs w:val="18"/>
          <w:color w:val="auto"/>
        </w:rPr>
      </w:pPr>
    </w:p>
    <w:p>
      <w:pPr>
        <w:ind w:left="660" w:right="220" w:firstLine="645"/>
        <w:spacing w:after="0" w:line="254" w:lineRule="auto"/>
        <w:tabs>
          <w:tab w:leader="none" w:pos="1793"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enjoin or restrain the Letter of Credit Issuer from issuing such Letter of Credit, or any law applicable to the Letter of Credit Issuer or any request or directive (whether or not having the force of law) from any Governmental Authority with jurisdiction over the Letter of Credit Issuer shall prohibit, or request that the Letter of Credit Issuer refrain from, the issuance of letters of credit generally or such Letter of Credit in particular or shall impose upon the Letter of Credit Issuer with respect to such Letter of Credit any restriction, reserve or capital requirement (in each case, for which the Letter of Credit Issuer is not otherwise compensated hereunder) not in effect on the Restatement Effective Date, or shall impose upon the Letter of Credit Issuer any unreimbursed loss, cost or expense which was not applicable on the Restatement Effective Date and which the Letter of Credit Issuer in good faith deems material to it;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ind w:left="1820" w:hanging="575"/>
        <w:spacing w:after="0"/>
        <w:tabs>
          <w:tab w:leader="none" w:pos="18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the Letter of Credit Issuer applicable to letters of credit</w:t>
      </w:r>
    </w:p>
    <w:p>
      <w:pPr>
        <w:spacing w:after="0" w:line="46"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color w:val="auto"/>
        </w:rPr>
        <w:t>generally;</w:t>
      </w:r>
    </w:p>
    <w:p>
      <w:pPr>
        <w:spacing w:after="0" w:line="210" w:lineRule="exact"/>
        <w:rPr>
          <w:rFonts w:ascii="Arial" w:cs="Arial" w:eastAsia="Arial" w:hAnsi="Arial"/>
          <w:sz w:val="16"/>
          <w:szCs w:val="16"/>
          <w:color w:val="auto"/>
        </w:rPr>
      </w:pPr>
    </w:p>
    <w:p>
      <w:pPr>
        <w:ind w:left="600" w:right="160" w:firstLine="645"/>
        <w:spacing w:after="0" w:line="277" w:lineRule="auto"/>
        <w:tabs>
          <w:tab w:leader="none" w:pos="1833" w:val="left"/>
        </w:tabs>
        <w:numPr>
          <w:ilvl w:val="1"/>
          <w:numId w:val="89"/>
        </w:numPr>
        <w:rPr>
          <w:rFonts w:ascii="Arial" w:cs="Arial" w:eastAsia="Arial" w:hAnsi="Arial"/>
          <w:sz w:val="18"/>
          <w:szCs w:val="18"/>
          <w:color w:val="auto"/>
        </w:rPr>
      </w:pPr>
      <w:r>
        <w:rPr>
          <w:rFonts w:ascii="Arial" w:cs="Arial" w:eastAsia="Arial" w:hAnsi="Arial"/>
          <w:sz w:val="18"/>
          <w:szCs w:val="18"/>
          <w:color w:val="auto"/>
        </w:rPr>
        <w:t>except as otherwise agreed by the Letter of Credit Issuer, such Letter of Credit is in an initial Stated Amount less than $50,000, in the case of a commercial Letter of Credit, or $10,000, in the case of a standby Letter of Credit;</w:t>
      </w:r>
    </w:p>
    <w:p>
      <w:pPr>
        <w:spacing w:after="0" w:line="170" w:lineRule="exact"/>
        <w:rPr>
          <w:rFonts w:ascii="Arial" w:cs="Arial" w:eastAsia="Arial" w:hAnsi="Arial"/>
          <w:sz w:val="18"/>
          <w:szCs w:val="18"/>
          <w:color w:val="auto"/>
        </w:rPr>
      </w:pPr>
    </w:p>
    <w:p>
      <w:pPr>
        <w:ind w:left="1820" w:hanging="575"/>
        <w:spacing w:after="0"/>
        <w:tabs>
          <w:tab w:leader="none" w:pos="18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such Letter of Credit is denominated in a currency other than Dollars;</w:t>
      </w:r>
    </w:p>
    <w:p>
      <w:pPr>
        <w:spacing w:after="0" w:line="225" w:lineRule="exact"/>
        <w:rPr>
          <w:rFonts w:ascii="Arial" w:cs="Arial" w:eastAsia="Arial" w:hAnsi="Arial"/>
          <w:sz w:val="18"/>
          <w:szCs w:val="18"/>
          <w:color w:val="auto"/>
        </w:rPr>
      </w:pPr>
    </w:p>
    <w:p>
      <w:pPr>
        <w:ind w:left="1820" w:hanging="575"/>
        <w:spacing w:after="0"/>
        <w:tabs>
          <w:tab w:leader="none" w:pos="18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such Letter of Credit contains any provisions for automatic reinstatement of the Stated Amount after any drawing thereunder; or</w:t>
      </w:r>
    </w:p>
    <w:p>
      <w:pPr>
        <w:spacing w:after="0" w:line="248" w:lineRule="exact"/>
        <w:rPr>
          <w:rFonts w:ascii="Arial" w:cs="Arial" w:eastAsia="Arial" w:hAnsi="Arial"/>
          <w:sz w:val="16"/>
          <w:szCs w:val="16"/>
          <w:color w:val="auto"/>
        </w:rPr>
      </w:pPr>
    </w:p>
    <w:p>
      <w:pPr>
        <w:ind w:left="600" w:firstLine="645"/>
        <w:spacing w:after="0" w:line="259" w:lineRule="auto"/>
        <w:tabs>
          <w:tab w:leader="none" w:pos="1823"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a default of any Revolving Credit Lender’s obligations to fund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exists or any Revolving Credit Lender is at such time a Defaulting Lender hereunder, unless, in each case, the Borrower have entered into arrangements reasonably satisfactory to the Letter of Credit Issuer to eliminate the Letter of Credit Issuer’s risk with respect to such Revolving Credit Lender or such risk has been reallocated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0" w:right="100" w:firstLine="656"/>
        <w:spacing w:after="0" w:line="277" w:lineRule="auto"/>
        <w:tabs>
          <w:tab w:leader="none" w:pos="117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Letter of Credit Issuer shall not increase the Stated Amount of any Letter of Credit if the Letter of Credit Issuer would not be permitted at such time to issue such Letter of Credit in its amended form under the terms hereof.</w:t>
      </w:r>
    </w:p>
    <w:p>
      <w:pPr>
        <w:spacing w:after="0" w:line="170" w:lineRule="exact"/>
        <w:rPr>
          <w:rFonts w:ascii="Arial" w:cs="Arial" w:eastAsia="Arial" w:hAnsi="Arial"/>
          <w:sz w:val="18"/>
          <w:szCs w:val="18"/>
          <w:color w:val="auto"/>
        </w:rPr>
      </w:pPr>
    </w:p>
    <w:p>
      <w:pPr>
        <w:ind w:left="-60" w:right="420" w:firstLine="656"/>
        <w:spacing w:after="0" w:line="264" w:lineRule="auto"/>
        <w:tabs>
          <w:tab w:leader="none" w:pos="12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Letter of Credit Issuer shall be under no obligation to amend any Letter of Credit if (A) the Letter of Credit Issuer would have no obligation at such time to issue such Letter of Credit in its amended form under the terms hereof, or (B) the beneficiary of such Letter of Credit does not accept the proposed amendment to such Letter of Credit.</w:t>
      </w:r>
    </w:p>
    <w:p>
      <w:pPr>
        <w:spacing w:after="0" w:line="181" w:lineRule="exact"/>
        <w:rPr>
          <w:rFonts w:ascii="Arial" w:cs="Arial" w:eastAsia="Arial" w:hAnsi="Arial"/>
          <w:sz w:val="18"/>
          <w:szCs w:val="18"/>
          <w:color w:val="auto"/>
        </w:rPr>
      </w:pPr>
    </w:p>
    <w:p>
      <w:pPr>
        <w:ind w:left="-60" w:right="140" w:firstLine="656"/>
        <w:spacing w:after="0" w:line="297" w:lineRule="auto"/>
        <w:tabs>
          <w:tab w:leader="none" w:pos="12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with respect to any acts taken or omissions suffered by the Letter of Credit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included the Letter of Credit Issuer with respect to such acts or omissions, and (B) as additionally provided herein with respect to the Letter of Credit Issuer.</w:t>
      </w:r>
    </w:p>
    <w:p>
      <w:pPr>
        <w:spacing w:after="0" w:line="158"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Letter of Credit Requests</w:t>
      </w:r>
      <w:r>
        <w:rPr>
          <w:rFonts w:ascii="Arial" w:cs="Arial" w:eastAsia="Arial" w:hAnsi="Arial"/>
          <w:sz w:val="16"/>
          <w:szCs w:val="16"/>
          <w:color w:val="auto"/>
        </w:rPr>
        <w:t>.</w:t>
      </w:r>
    </w:p>
    <w:p>
      <w:pPr>
        <w:spacing w:after="0" w:line="225" w:lineRule="exact"/>
        <w:rPr>
          <w:sz w:val="20"/>
          <w:szCs w:val="20"/>
          <w:color w:val="auto"/>
        </w:rPr>
      </w:pPr>
    </w:p>
    <w:p>
      <w:pPr>
        <w:ind w:left="-60" w:right="40" w:firstLine="656"/>
        <w:spacing w:after="0" w:line="255" w:lineRule="auto"/>
        <w:tabs>
          <w:tab w:leader="none" w:pos="119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Whenever the Borrower desires that a Letter of Credit be issued for its account or amended, the Borrower shall give the Administrative Agent and the Letter of Credit Issuer a Letter of Credit Request by no later than 1:00 p.m. (New York City time) at least four Business Days (or such other period as may be agreed upon by the Borrower, the Administrative Agent and the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Letter of Credit Issuer, by personal delivery or by any other means acceptable to the Letter of Credit Issuer.</w:t>
      </w:r>
    </w:p>
    <w:p>
      <w:pPr>
        <w:spacing w:after="0" w:line="193" w:lineRule="exact"/>
        <w:rPr>
          <w:rFonts w:ascii="Arial" w:cs="Arial" w:eastAsia="Arial" w:hAnsi="Arial"/>
          <w:sz w:val="18"/>
          <w:szCs w:val="18"/>
          <w:color w:val="auto"/>
        </w:rPr>
      </w:pPr>
    </w:p>
    <w:p>
      <w:pPr>
        <w:ind w:left="-60" w:right="60" w:firstLine="656"/>
        <w:spacing w:after="0" w:line="270" w:lineRule="auto"/>
        <w:tabs>
          <w:tab w:leader="none" w:pos="1203"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the case of a request for an initial issuance of a Letter of Credit, such Letter of Credit Request shall specify in form and detail reasonably satisfactory to the Letter of Credit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Letter of Credit Issuer may reasonably require. In the case of a request for an amendment of any outstanding Letter of Credit, such Letter of Credit Request shall specify in form and detail reasonably satisfactory to the Letter of Credit Issuer (I) the Letter of Credit to be amended; (II) the proposed date of amendment thereof (which shall be a Business Day); (III) the nature of the proposed amendment; and (IV) such other matters as the Letter of Credit Issuer may reasonably require. Additionally, the Borrower shall furnish to the Letter of Credit Issuer and the Administrative Agent such other documents and information pertaining to such requested Letter of Credit issuance or amendment, including any Issuer Documents, as the Letter of Credit Issuer or the Administrative Agent may reasonably require.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112" w:name="page113"/>
    <w:bookmarkEnd w:id="112"/>
    <w:p>
      <w:pPr>
        <w:ind w:left="-40" w:right="20" w:firstLine="656"/>
        <w:spacing w:after="0" w:line="293" w:lineRule="auto"/>
        <w:tabs>
          <w:tab w:leader="none" w:pos="1213"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Unless the Letter of Credit Issuer has received written notice from any Revolving Credit Lender, the Administrative Agent or any Credit Party, at least one Business Day prior to the requested date of issuance or amendment of the Letter of Credit, that one or more applicable conditions contained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(solely with respect to any Letter of Credit issued on the Restatement Effective Date)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shall not then be satisfied to the extent required thereby, then, subject to the terms and conditions hereof, the Letter of Credit Issuer shall, on the requested date, issue a Letter of Credit for the account of the Borrower (or, so long as the Borrower is the primary obligor, for the account of Holdings or another Restricted Subsidiary) or enter into the applicable amendment, as the case may be, in each case in accordance with the Letter of Credit Issuer’s usual and customary business practices.</w:t>
      </w:r>
    </w:p>
    <w:p>
      <w:pPr>
        <w:spacing w:after="0" w:line="164" w:lineRule="exact"/>
        <w:rPr>
          <w:rFonts w:ascii="Arial" w:cs="Arial" w:eastAsia="Arial" w:hAnsi="Arial"/>
          <w:sz w:val="16"/>
          <w:szCs w:val="16"/>
          <w:color w:val="auto"/>
        </w:rPr>
      </w:pPr>
    </w:p>
    <w:p>
      <w:pPr>
        <w:ind w:left="-40" w:right="20" w:firstLine="656"/>
        <w:spacing w:after="0" w:line="286" w:lineRule="auto"/>
        <w:tabs>
          <w:tab w:leader="none" w:pos="1223"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Borrower so requests in any Letter of Credit Request, the Letter of Credit Issuer shall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Letter of Credit Issuer to prevent any such extension at least once in each twelve-month period (commencing with the date of issuance of such Letter of Credit) by giving prior notice to the beneficiary thereof and the Borrower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Facility Maturity Date, unless otherwise agreed upon by the Administrative Agent and the Letter of Credit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Letter of Credit Issuer shall not permit any such extension if (A) the Letter of Credit Issuer has reasonably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 otherwise), or (B) it has received written notice on or before the day that is seven Business Days before the Non-Extension Notice Date from the Administrative Agent, any Lender or the Borrower that one or more of the applicable conditions specified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are not then satisfied, and in each such case directing the Letter of Credit Issuer not to permit such extension.</w:t>
      </w:r>
    </w:p>
    <w:p>
      <w:pPr>
        <w:spacing w:after="0" w:line="174" w:lineRule="exact"/>
        <w:rPr>
          <w:rFonts w:ascii="Arial" w:cs="Arial" w:eastAsia="Arial" w:hAnsi="Arial"/>
          <w:sz w:val="16"/>
          <w:szCs w:val="16"/>
          <w:color w:val="auto"/>
        </w:rPr>
      </w:pPr>
    </w:p>
    <w:p>
      <w:pPr>
        <w:ind w:left="-40" w:firstLine="656"/>
        <w:spacing w:after="0" w:line="259" w:lineRule="auto"/>
        <w:tabs>
          <w:tab w:leader="none" w:pos="1213"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Letter of Credit Issuer will also deliver to the Borrower and the Administrative Agent a true and complete copy of such Letter of Credit or amendment. On the first Business Day of each month, the Letter of Credit Issuer shall provide the Administrative Agent a list of all Letters of Credit issued by it that are outstanding at such time.</w:t>
      </w:r>
    </w:p>
    <w:p>
      <w:pPr>
        <w:spacing w:after="0" w:line="186" w:lineRule="exact"/>
        <w:rPr>
          <w:rFonts w:ascii="Arial" w:cs="Arial" w:eastAsia="Arial" w:hAnsi="Arial"/>
          <w:sz w:val="18"/>
          <w:szCs w:val="18"/>
          <w:color w:val="auto"/>
        </w:rPr>
      </w:pPr>
    </w:p>
    <w:p>
      <w:pPr>
        <w:ind w:left="-40" w:right="180" w:firstLine="656"/>
        <w:spacing w:after="0" w:line="277" w:lineRule="auto"/>
        <w:tabs>
          <w:tab w:leader="none" w:pos="11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making of each Letter of Credit Request shall be deemed to be a representation and warranty by the Borrower that the Letter of Credit may be issued in accordance with, and will not violate the requirements of,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17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Letter of Credit Participations</w:t>
      </w:r>
      <w:r>
        <w:rPr>
          <w:rFonts w:ascii="Arial" w:cs="Arial" w:eastAsia="Arial" w:hAnsi="Arial"/>
          <w:sz w:val="16"/>
          <w:szCs w:val="16"/>
          <w:color w:val="auto"/>
        </w:rPr>
        <w:t>.</w:t>
      </w:r>
    </w:p>
    <w:p>
      <w:pPr>
        <w:spacing w:after="0" w:line="225" w:lineRule="exact"/>
        <w:rPr>
          <w:sz w:val="20"/>
          <w:szCs w:val="20"/>
          <w:color w:val="auto"/>
        </w:rPr>
      </w:pPr>
    </w:p>
    <w:p>
      <w:pPr>
        <w:ind w:left="-40" w:right="40" w:firstLine="656"/>
        <w:spacing w:after="0" w:line="254" w:lineRule="auto"/>
        <w:tabs>
          <w:tab w:leader="none" w:pos="1213"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Immediately upon the issuance by the Letter of Credit Issuer of any Letter of Credit, the Letter of Credit Issuer shall be deemed to have sold and transferred to each Revolving Credit Lender (each such Revolving Credit Lender, in its capacity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an “</w:t>
      </w:r>
      <w:r>
        <w:rPr>
          <w:rFonts w:ascii="Arial" w:cs="Arial" w:eastAsia="Arial" w:hAnsi="Arial"/>
          <w:sz w:val="18"/>
          <w:szCs w:val="18"/>
          <w:b w:val="1"/>
          <w:bCs w:val="1"/>
          <w:color w:val="auto"/>
        </w:rPr>
        <w:t>L/C Participant</w:t>
      </w:r>
      <w:r>
        <w:rPr>
          <w:rFonts w:ascii="Arial" w:cs="Arial" w:eastAsia="Arial" w:hAnsi="Arial"/>
          <w:sz w:val="18"/>
          <w:szCs w:val="18"/>
          <w:color w:val="auto"/>
        </w:rPr>
        <w:t>”), and each such L/C Participant shall be deemed irrevocably and unconditionally to have purchased and received from the Letter of Credit Issuer, without recourse or warranty, an undivided interest and participation (each an “</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to the extent of such L/C Participant’s Revolving Credit Commitment Percentage in each Letter of Credit, each substitute therefor, each drawing made thereunder and the obligations of the Borrower under this Agreement with respect thereto, and any security therefor or guaranty 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Letter of Credit Fees will be paid directly to the Administrative Agent for the ratable account of the L/C Participants as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and the L/C Participants shall have no right to receive any portion of any Fronting Fees.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113" w:name="page114"/>
    <w:bookmarkEnd w:id="113"/>
    <w:p>
      <w:pPr>
        <w:ind w:left="-60" w:firstLine="656"/>
        <w:spacing w:after="0" w:line="276" w:lineRule="auto"/>
        <w:tabs>
          <w:tab w:leader="none" w:pos="1203"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determining whether to pay under any Letter of Credit, the relevant Letter of Credit Issuer shall have no obligation relative to the L/C Participants other than to confirm that any documents required to be delivered under such Letter of Credit have been delivered and that they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as determined in the final non-appealable judgment of a court of competent jurisdiction, shall not create for the Letter of Credit Issuer any resulting liability.</w:t>
      </w:r>
    </w:p>
    <w:p>
      <w:pPr>
        <w:spacing w:after="0" w:line="172" w:lineRule="exact"/>
        <w:rPr>
          <w:rFonts w:ascii="Arial" w:cs="Arial" w:eastAsia="Arial" w:hAnsi="Arial"/>
          <w:sz w:val="17"/>
          <w:szCs w:val="17"/>
          <w:color w:val="auto"/>
        </w:rPr>
      </w:pPr>
    </w:p>
    <w:p>
      <w:pPr>
        <w:ind w:left="-60" w:right="40" w:firstLine="656"/>
        <w:spacing w:after="0" w:line="268" w:lineRule="auto"/>
        <w:tabs>
          <w:tab w:leader="none" w:pos="1193"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In the event that the Letter of Credit Issuer makes any payment under any Letter of Credit issued by it and the applicable Borrower shall not have repaid such amount in full to the respective Letter of Credit Issuer through the Administrative Agent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the Administrative Agent shall promptly notify each L/C Participant of such failure, and each L/C Participant shall promptly and unconditionally pay to the Administrative Agent for the account of the Letter of Credit Issuer, the amount of such L/C Participant’s Revolving Credit Commitment Percentage of such unreimbursed payment in Dollars and in immediately available funds. If and to the extent such L/C Participant shall not have so made its Revolving Credit Commitment Percentage of the amount of such payment available to the Administrative Agent for the account of the Letter of Credit Issuer, such L/C Participant agrees to pay to the Administrative Agent for the account of the Letter of Credit Issuer, forthwith on demand, such amount, together with interest thereon for each day from such date until the date such amount is paid to the Administrative Agent for the account of the Letter of Credit Issuer at a rate per annum equal to the Overnight Rate from time to time then in effect, plus any administrative, processing or similar fees that are reasonably and customarily charged by the Letter of Credit Issuer in connection with the foregoing. The failure of any L/C Participant to make available to the Administrative Agent for the account of the Letter of Credit Issuer its Revolving Credit Commitment Percentage of any payment under any Letter of Credit shall not relieve any other L/C Participant of its obligation hereunder to make available to the Administrative Agent for the account of the Letter of Credit Issuer its Revolving Credit Commitment Percentage of any payment under such Letter of Credit on the date required, as specified above, but no L/C Participant shall be responsible for the failure of any other L/C Participant to make available to the Administrative Agent such other L/C Participant’s Revolving Credit Commitment Percentage of any such payment.</w:t>
      </w:r>
    </w:p>
    <w:p>
      <w:pPr>
        <w:spacing w:after="0" w:line="183" w:lineRule="exact"/>
        <w:rPr>
          <w:rFonts w:ascii="Arial" w:cs="Arial" w:eastAsia="Arial" w:hAnsi="Arial"/>
          <w:sz w:val="17"/>
          <w:szCs w:val="17"/>
          <w:color w:val="auto"/>
        </w:rPr>
      </w:pPr>
    </w:p>
    <w:p>
      <w:pPr>
        <w:ind w:left="-60" w:right="140" w:firstLine="656"/>
        <w:spacing w:after="0" w:line="293" w:lineRule="auto"/>
        <w:tabs>
          <w:tab w:leader="none" w:pos="12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Whenever the Administrative Agent receives a payment in respect of an unpaid reimbursement obligation as to which the Administrative Agent has received for the account of the Letter of Credit Issuer any payments from the L/C Participants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the Administrative Agent shall promptly pay to each L/C Participant that has paid its Revolving Credit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amount so paid in respect of such reimbursement obligation and interest thereon accruing after the purchase of the respective L/C Participations at the Overnight Rate.</w:t>
      </w:r>
    </w:p>
    <w:p>
      <w:pPr>
        <w:spacing w:after="0" w:line="164" w:lineRule="exact"/>
        <w:rPr>
          <w:rFonts w:ascii="Arial" w:cs="Arial" w:eastAsia="Arial" w:hAnsi="Arial"/>
          <w:sz w:val="16"/>
          <w:szCs w:val="16"/>
          <w:color w:val="auto"/>
        </w:rPr>
      </w:pPr>
    </w:p>
    <w:p>
      <w:pPr>
        <w:ind w:left="-60" w:right="240" w:firstLine="656"/>
        <w:spacing w:after="0" w:line="286" w:lineRule="auto"/>
        <w:tabs>
          <w:tab w:leader="none" w:pos="119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obligations of the L/C Participants to make payments to the Administrative Agent for the account of the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w:t>
      </w:r>
    </w:p>
    <w:p>
      <w:pPr>
        <w:spacing w:after="0" w:line="165" w:lineRule="exact"/>
        <w:rPr>
          <w:rFonts w:ascii="Arial" w:cs="Arial" w:eastAsia="Arial" w:hAnsi="Arial"/>
          <w:sz w:val="17"/>
          <w:szCs w:val="17"/>
          <w:color w:val="auto"/>
        </w:rPr>
      </w:pPr>
    </w:p>
    <w:p>
      <w:pPr>
        <w:ind w:left="-60" w:right="80" w:firstLine="656"/>
        <w:spacing w:after="0" w:line="257" w:lineRule="auto"/>
        <w:tabs>
          <w:tab w:leader="none" w:pos="11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Letter of Credit Issuer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is required to be returned, each Lender shall pay to the Administrative Agent for the account of the Letter of Credit Issuer its Revolving Credit Commitment Percentage thereof on demand of the Administrative Agent,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114" w:name="page115"/>
    <w:bookmarkEnd w:id="114"/>
    <w:p>
      <w:pPr>
        <w:ind w:left="640"/>
        <w:spacing w:after="0"/>
        <w:tabs>
          <w:tab w:leader="none" w:pos="12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Agreement to Repay Letter of Credit Drawings</w:t>
      </w:r>
      <w:r>
        <w:rPr>
          <w:rFonts w:ascii="Arial" w:cs="Arial" w:eastAsia="Arial" w:hAnsi="Arial"/>
          <w:sz w:val="16"/>
          <w:szCs w:val="16"/>
          <w:color w:val="auto"/>
        </w:rPr>
        <w:t>.</w:t>
      </w:r>
    </w:p>
    <w:p>
      <w:pPr>
        <w:spacing w:after="0" w:line="225" w:lineRule="exact"/>
        <w:rPr>
          <w:sz w:val="20"/>
          <w:szCs w:val="20"/>
          <w:color w:val="auto"/>
        </w:rPr>
      </w:pPr>
    </w:p>
    <w:p>
      <w:pPr>
        <w:ind w:left="-20" w:firstLine="656"/>
        <w:spacing w:after="0" w:line="284" w:lineRule="auto"/>
        <w:tabs>
          <w:tab w:leader="none" w:pos="123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Borrower hereby agrees to reimburse the Letter of Credit Issuer, by making payment with respect to any drawing under any Letter of Credit in the same currency in which such drawing was made unless the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Letter of Credit Issuer under any Letter of Credit (each such amount so paid until reimbursed, an “</w:t>
      </w:r>
      <w:r>
        <w:rPr>
          <w:rFonts w:ascii="Arial" w:cs="Arial" w:eastAsia="Arial" w:hAnsi="Arial"/>
          <w:sz w:val="16"/>
          <w:szCs w:val="16"/>
          <w:b w:val="1"/>
          <w:bCs w:val="1"/>
          <w:color w:val="auto"/>
        </w:rPr>
        <w:t>Unpaid</w:t>
      </w:r>
      <w:r>
        <w:rPr>
          <w:rFonts w:ascii="Arial" w:cs="Arial" w:eastAsia="Arial" w:hAnsi="Arial"/>
          <w:sz w:val="16"/>
          <w:szCs w:val="16"/>
          <w:color w:val="auto"/>
        </w:rPr>
        <w:t xml:space="preserve"> </w:t>
      </w:r>
      <w:r>
        <w:rPr>
          <w:rFonts w:ascii="Arial" w:cs="Arial" w:eastAsia="Arial" w:hAnsi="Arial"/>
          <w:sz w:val="16"/>
          <w:szCs w:val="16"/>
          <w:b w:val="1"/>
          <w:bCs w:val="1"/>
          <w:color w:val="auto"/>
        </w:rPr>
        <w:t>Drawing</w:t>
      </w:r>
      <w:r>
        <w:rPr>
          <w:rFonts w:ascii="Arial" w:cs="Arial" w:eastAsia="Arial" w:hAnsi="Arial"/>
          <w:sz w:val="16"/>
          <w:szCs w:val="16"/>
          <w:color w:val="auto"/>
        </w:rPr>
        <w:t>”) no later than the date that is one Business Day after the date on which the Borrower receives written notice of such payment or disbursement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Reimbursement Date</w:t>
      </w:r>
      <w:r>
        <w:rPr>
          <w:rFonts w:ascii="Arial" w:cs="Arial" w:eastAsia="Arial" w:hAnsi="Arial"/>
          <w:sz w:val="16"/>
          <w:szCs w:val="16"/>
          <w:color w:val="auto"/>
        </w:rPr>
        <w:t xml:space="preserve">”), with interest on the amount so paid or disbursed by the Letter of Credit Issuer, to the extent not reimbursed prior to 5:00 p.m. (New York City time) on the Reimbursement Date, from the Reimbursement Date to the date the Letter of Credit Issuer is reimbursed therefor at a rate per annum that shall at all times be the Applicable Margin for ABR Loans that are Revolving Credit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ABR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in this Agreement to the contrary, (i) unless the Borrower shall have notified the Administrative Agent and the relevant Letter of Credit Issuer prior to 1:00 p.m. (New York City time) on the Reimbursement Date that the Borrower intends to reimburse the relevant Letter of Credit Issuer for the amount of such drawing with funds other than the proceeds of Loans, the Borrower shall be deemed to have given a Notice of Borrowing requesting that, with respect to Letters of Credit, the Revolving Credit Lenders make Revolving Credit Loans (which shall be denominated in Dollars and which shall be ABR Loans) on the Reimbursement Date in the amount of such drawing and (ii) the Administrative Agent shall promptly notify each L/C Participant of such drawing and the amount of its Revolving Credit Loan to be made in respect thereof, and each L/C Participant shall be irrevocably obligated to make a Revolving Credit Loan to the Borrower in Dollars in the manner deemed to have been requested in the amount of its Revolving Credit Commitment Percentage of the applicable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 Revolving Credit Loans solely for purpose of reimbursing the Letter of Credit Issuer for the related Unpaid Drawing. In the event that the Borrower fails to Cash Collateralize any Letter of Credit that is outstanding on the L/C Facility Maturity Date, the full amount of the Letters of Credit Outstanding in respect of such Letter of Credit shall be deemed to be an Unpaid Drawing subject to the provisions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except that the Letter of Credit Issuer shall hold the proceeds received from the L/C Participants as contemplated above as cash collateral for such Letter of Credit to reimburse any Drawing under such Letter of Credit and shall use such proceeds first, to reimburse itself for any Drawings made in respect of such Letter of Credit following the L/C Facility Maturity Date, second, to the extent such Letter of Credit expires or is returned undrawn while any such cash collateral remains, to the repayment of obligations in respect of any Revolving Credit Loans that have not been paid at such time and third, to the Borrower or as otherwise directed by a court of competent jurisdiction. Nothing in this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shall affect the Borrower’s obligation to repay all outstanding Revolving Credit Loans when due in accordance with the terms of this Agreement.</w:t>
      </w:r>
    </w:p>
    <w:p>
      <w:pPr>
        <w:spacing w:after="0" w:line="391" w:lineRule="exact"/>
        <w:rPr>
          <w:rFonts w:ascii="Arial" w:cs="Arial" w:eastAsia="Arial" w:hAnsi="Arial"/>
          <w:sz w:val="16"/>
          <w:szCs w:val="16"/>
          <w:color w:val="auto"/>
        </w:rPr>
      </w:pPr>
    </w:p>
    <w:p>
      <w:pPr>
        <w:ind w:left="-20" w:right="60" w:firstLine="656"/>
        <w:spacing w:after="0" w:line="264"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obligation of the Borrower to reimburse the Letter of Credit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1" w:lineRule="exact"/>
        <w:rPr>
          <w:rFonts w:ascii="Arial" w:cs="Arial" w:eastAsia="Arial" w:hAnsi="Arial"/>
          <w:sz w:val="18"/>
          <w:szCs w:val="18"/>
          <w:color w:val="auto"/>
        </w:rPr>
      </w:pPr>
    </w:p>
    <w:p>
      <w:pPr>
        <w:ind w:left="1820" w:hanging="535"/>
        <w:spacing w:after="0"/>
        <w:tabs>
          <w:tab w:leader="none" w:pos="18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or any of the other Credit Documents;</w:t>
      </w:r>
    </w:p>
    <w:p>
      <w:pPr>
        <w:spacing w:after="0" w:line="225" w:lineRule="exact"/>
        <w:rPr>
          <w:rFonts w:ascii="Arial" w:cs="Arial" w:eastAsia="Arial" w:hAnsi="Arial"/>
          <w:sz w:val="18"/>
          <w:szCs w:val="18"/>
          <w:color w:val="auto"/>
        </w:rPr>
      </w:pPr>
    </w:p>
    <w:p>
      <w:pPr>
        <w:ind w:left="640" w:right="180" w:firstLine="645"/>
        <w:spacing w:after="0" w:line="257" w:lineRule="auto"/>
        <w:tabs>
          <w:tab w:leader="none" w:pos="1823"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188" w:lineRule="exact"/>
        <w:rPr>
          <w:rFonts w:ascii="Arial" w:cs="Arial" w:eastAsia="Arial" w:hAnsi="Arial"/>
          <w:sz w:val="18"/>
          <w:szCs w:val="18"/>
          <w:color w:val="auto"/>
        </w:rPr>
      </w:pPr>
    </w:p>
    <w:p>
      <w:pPr>
        <w:ind w:left="640" w:right="100" w:firstLine="645"/>
        <w:spacing w:after="0" w:line="264" w:lineRule="auto"/>
        <w:tabs>
          <w:tab w:leader="none" w:pos="1873"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15" w:name="page116"/>
    <w:bookmarkEnd w:id="115"/>
    <w:p>
      <w:pPr>
        <w:jc w:val="both"/>
        <w:ind w:left="660" w:right="60" w:firstLine="645"/>
        <w:spacing w:after="0" w:line="264" w:lineRule="auto"/>
        <w:tabs>
          <w:tab w:leader="none" w:pos="1883" w:val="left"/>
        </w:tabs>
        <w:numPr>
          <w:ilvl w:val="0"/>
          <w:numId w:val="96"/>
        </w:numPr>
        <w:rPr>
          <w:rFonts w:ascii="Arial" w:cs="Arial" w:eastAsia="Arial" w:hAnsi="Arial"/>
          <w:sz w:val="18"/>
          <w:szCs w:val="18"/>
          <w:color w:val="auto"/>
        </w:rPr>
      </w:pPr>
      <w:r>
        <w:rPr>
          <w:rFonts w:ascii="Arial" w:cs="Arial" w:eastAsia="Arial" w:hAnsi="Arial"/>
          <w:sz w:val="18"/>
          <w:szCs w:val="18"/>
          <w:color w:val="auto"/>
        </w:rPr>
        <w:t>waiver by the Letter of Credit Issuer of any requirement that exists for the Letter of Credit Issuer’s protection and not the protection of the Borrower (or Holdings or other Restricted Subsidiary) or any waiver by the Letter of Credit Issuer which does not in fact materially prejudice the Borrower (or Holdings or other Restricted Subsidiary);</w:t>
      </w:r>
    </w:p>
    <w:p>
      <w:pPr>
        <w:spacing w:after="0" w:line="181" w:lineRule="exact"/>
        <w:rPr>
          <w:rFonts w:ascii="Arial" w:cs="Arial" w:eastAsia="Arial" w:hAnsi="Arial"/>
          <w:sz w:val="18"/>
          <w:szCs w:val="18"/>
          <w:color w:val="auto"/>
        </w:rPr>
      </w:pPr>
    </w:p>
    <w:p>
      <w:pPr>
        <w:jc w:val="both"/>
        <w:ind w:left="660" w:right="160" w:firstLine="645"/>
        <w:spacing w:after="0" w:line="264" w:lineRule="auto"/>
        <w:tabs>
          <w:tab w:leader="none" w:pos="183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payment made by the Letter of Credit Issuer in respect of an otherwise complying item presented after the date specified as the expiration date of, or the date by which documents must be received under, such Letter of Credit if presentation after such date is authorized by the UCC or the ISP;</w:t>
      </w:r>
    </w:p>
    <w:p>
      <w:pPr>
        <w:spacing w:after="0" w:line="181" w:lineRule="exact"/>
        <w:rPr>
          <w:rFonts w:ascii="Arial" w:cs="Arial" w:eastAsia="Arial" w:hAnsi="Arial"/>
          <w:sz w:val="18"/>
          <w:szCs w:val="18"/>
          <w:color w:val="auto"/>
        </w:rPr>
      </w:pPr>
    </w:p>
    <w:p>
      <w:pPr>
        <w:ind w:left="660" w:right="80" w:firstLine="645"/>
        <w:spacing w:after="0" w:line="257" w:lineRule="auto"/>
        <w:tabs>
          <w:tab w:leader="none" w:pos="188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payment by the Letter of Credit Issuer under such Letter of Credit against presentation of a draft or certificate that does not strictly comply with the terms of such Letter of 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the Bankruptcy Code;</w:t>
      </w:r>
    </w:p>
    <w:p>
      <w:pPr>
        <w:spacing w:after="0" w:line="188" w:lineRule="exact"/>
        <w:rPr>
          <w:rFonts w:ascii="Arial" w:cs="Arial" w:eastAsia="Arial" w:hAnsi="Arial"/>
          <w:sz w:val="18"/>
          <w:szCs w:val="18"/>
          <w:color w:val="auto"/>
        </w:rPr>
      </w:pPr>
    </w:p>
    <w:p>
      <w:pPr>
        <w:ind w:left="1880" w:hanging="575"/>
        <w:spacing w:after="0"/>
        <w:tabs>
          <w:tab w:leader="none" w:pos="18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 draft;</w:t>
      </w:r>
    </w:p>
    <w:p>
      <w:pPr>
        <w:spacing w:after="0" w:line="248" w:lineRule="exact"/>
        <w:rPr>
          <w:rFonts w:ascii="Arial" w:cs="Arial" w:eastAsia="Arial" w:hAnsi="Arial"/>
          <w:sz w:val="16"/>
          <w:szCs w:val="16"/>
          <w:color w:val="auto"/>
        </w:rPr>
      </w:pPr>
    </w:p>
    <w:p>
      <w:pPr>
        <w:ind w:left="1880" w:hanging="575"/>
        <w:spacing w:after="0"/>
        <w:tabs>
          <w:tab w:leader="none" w:pos="1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adverse change in any relevant exchange rates or in the relevant currency markets generally; or</w:t>
      </w:r>
    </w:p>
    <w:p>
      <w:pPr>
        <w:spacing w:after="0" w:line="225" w:lineRule="exact"/>
        <w:rPr>
          <w:rFonts w:ascii="Arial" w:cs="Arial" w:eastAsia="Arial" w:hAnsi="Arial"/>
          <w:sz w:val="18"/>
          <w:szCs w:val="18"/>
          <w:color w:val="auto"/>
        </w:rPr>
      </w:pPr>
    </w:p>
    <w:p>
      <w:pPr>
        <w:ind w:left="660" w:right="160" w:firstLine="645"/>
        <w:spacing w:after="0" w:line="264" w:lineRule="auto"/>
        <w:tabs>
          <w:tab w:leader="none" w:pos="188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spacing w:after="0" w:line="181" w:lineRule="exact"/>
        <w:rPr>
          <w:sz w:val="20"/>
          <w:szCs w:val="20"/>
          <w:color w:val="auto"/>
        </w:rPr>
      </w:pPr>
    </w:p>
    <w:p>
      <w:pPr>
        <w:ind w:right="220" w:firstLine="656"/>
        <w:spacing w:after="0" w:line="264" w:lineRule="auto"/>
        <w:tabs>
          <w:tab w:leader="none" w:pos="125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 shall not be obligated to reimburse the Letter of Credit Issuer for any wrongful payment made by the Letter of Credit Issuer under the Letter of Credit issued by it as a result of acts or omissions constituting willful misconduct or gross negligence on the part of the Letter of Credit Issuer as determined in the final non-appealable judgment of a court of competent jurisdiction.</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Increased Costs</w:t>
      </w:r>
      <w:r>
        <w:rPr>
          <w:rFonts w:ascii="Arial" w:cs="Arial" w:eastAsia="Arial" w:hAnsi="Arial"/>
          <w:sz w:val="16"/>
          <w:szCs w:val="16"/>
          <w:color w:val="auto"/>
        </w:rPr>
        <w:t>. If after the Restatement Effective Date, the adoption of any applicable law, treaty, rule, or regulation, or any change therein, or any change in the interpretation or administration thereof by any Governmental Authority, central bank or comparable agency charged with the interpretation or administration thereof, or actual compliance by the Letter of Credit Issuer or any L/C Participant with any request or directive made or adopted after the Restatement Effective Date (whether or not having the force of law), by any such authority, central bank or comparable agency shall either</w:t>
      </w:r>
    </w:p>
    <w:p>
      <w:pPr>
        <w:spacing w:after="0" w:line="2" w:lineRule="exact"/>
        <w:rPr>
          <w:sz w:val="20"/>
          <w:szCs w:val="20"/>
          <w:color w:val="auto"/>
        </w:rPr>
      </w:pPr>
    </w:p>
    <w:p>
      <w:pPr>
        <w:ind w:right="20" w:firstLine="8"/>
        <w:spacing w:after="0" w:line="284" w:lineRule="auto"/>
        <w:tabs>
          <w:tab w:leader="none" w:pos="255" w:val="left"/>
        </w:tabs>
        <w:numPr>
          <w:ilvl w:val="0"/>
          <w:numId w:val="98"/>
        </w:numPr>
        <w:rPr>
          <w:rFonts w:ascii="Arial" w:cs="Arial" w:eastAsia="Arial" w:hAnsi="Arial"/>
          <w:sz w:val="16"/>
          <w:szCs w:val="16"/>
          <w:color w:val="auto"/>
        </w:rPr>
      </w:pPr>
      <w:r>
        <w:rPr>
          <w:rFonts w:ascii="Arial" w:cs="Arial" w:eastAsia="Arial" w:hAnsi="Arial"/>
          <w:sz w:val="16"/>
          <w:szCs w:val="16"/>
          <w:color w:val="auto"/>
        </w:rPr>
        <w:t>impose, modify or make applicable any reserve, deposit, capital adequacy or similar requirement against letters of credit issued by the Letter of Credit Issuer, or any L/C Participant’s L/C Participation therein, or (y) impose on the Letter of Credit Issuer or any L/C Participant any other conditions or costs affecting its obligations under this Agreement in respect of Letters of Credit or L/C Participations therein or any Letter of Credit or such L/C Participant’s L/C Participation therein, and the result of any of the foregoing is to increase the actual cost to the Letter of Credit Issuer or such L/C Participant of issuing, maintaining or participating in any Letter of Credit, or to reduce the actual amount of any sum received or receivable by the Letter of Credit Issuer or such L/C Participant hereunder (including any increased costs or reductions attributable to Taxes, other than any increase or reduction attributable to Indemnified Taxes, Excluded Taxes or Other Taxes) in respect of Letters of Credit or L/C Participations therein, then, promptly after receipt of written demand to the Borrower by the Letter of Credit Issuer or such L/C Participant, as the case may be (a copy of which notice shall be sent by the Letter of Credit Issuer or such L/C Participant to the Administrative Agent (with respect to a Letter of Credit issued on account of the Borrower (or Holdings or other Restricted Subsidiary))), the Borrower shall pay to the Letter of Credit Issuer or such L/C Participant such actual additional amount or amounts as will compensate the Letter of Credit Issuer or such L/C Participant for such increased cost or reduction, it being understood and agreed, however, that the Letter of Credit Issuer or an L/C Participant shall not be entitled to such compensation as a result of such Person’s compliance with, or pursuant to any request or directive to comply with, any such law, rule or regulation as in effect on the Restatement Effective Date. A certificate submitted to the Borrower by the relevant Letter of Credit Issuer or an L/C Participant, as the case may be (a copy of which certificate shall be sent by the Letter of Credit Issuer or such L/C Participant to the Administrative Agent), setting forth in reasonable detail the basis for the determination of such actual additional amount or amounts necessary to compensate the Letter of Credit Issuer or such L/C Participant as aforesaid shall be conclusive and binding on the Borrower absent clearly demonstrable error.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ind w:left="640"/>
        <w:spacing w:after="0"/>
        <w:tabs>
          <w:tab w:leader="none" w:pos="12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New or Successor Letter of Credit Issuer</w:t>
      </w:r>
      <w:r>
        <w:rPr>
          <w:rFonts w:ascii="Arial" w:cs="Arial" w:eastAsia="Arial" w:hAnsi="Arial"/>
          <w:sz w:val="16"/>
          <w:szCs w:val="16"/>
          <w:color w:val="auto"/>
        </w:rPr>
        <w:t>.</w:t>
      </w:r>
    </w:p>
    <w:p>
      <w:pPr>
        <w:spacing w:after="0" w:line="225" w:lineRule="exact"/>
        <w:rPr>
          <w:sz w:val="20"/>
          <w:szCs w:val="20"/>
          <w:color w:val="auto"/>
        </w:rPr>
      </w:pPr>
    </w:p>
    <w:p>
      <w:pPr>
        <w:ind w:left="-20" w:firstLine="656"/>
        <w:spacing w:after="0" w:line="284" w:lineRule="auto"/>
        <w:tabs>
          <w:tab w:leader="none" w:pos="1223"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A Letter of Credit Issuer may resign as the Letter of Credit Issuer upon 60 days’ prior written notice to the Administrative Agent, the Lenders, Holdings, and the Borrower. The Borrower may replace a Letter of Credit Issuer for any reason upon written notice to the Administrative Agent and the Letter of Credit Issuer. The Borrower may add Letter of Credit Issuers at any time upon notice to the Administrative Agent. If the Letter of Credit Issuer shall resign or be replaced, or if the Borrower shall decide to add a new Letter of Credit Issuer under this Agreement, then the Borrower may appoint from among the Lenders a successor issuer of Letters of Credit or a new Letter of Credit Issuer, as the case may be, or, with the consent of the Administrative Agent (such consent not to be unreasonably withheld or delayed), another successor or new issuer of Letters of Credit, whereupon such successor issuer accepting such appointment shall succeed to the rights, powers and duties of the replaced or resigning Letter of Credit Issuer under this Agreement and the other Credit Documents, or such new issuer of Letters of Credit accepting such appointment shall be granted the rights, powers and duties of the Letter of Credit Issuer hereunder, and the term Letter of Credit Issuer shall mean such successor or such new issuer of Letters of Credit effective upon such appointment. At the time such resignation or replacement shall become effective, the Borrower shall pay to the resigning or replaced Letter of Credit Issuer all accrued and unpaid fees applicable to the Letters of Credit pursuant to </w:t>
      </w:r>
      <w:r>
        <w:rPr>
          <w:rFonts w:ascii="Arial" w:cs="Arial" w:eastAsia="Arial" w:hAnsi="Arial"/>
          <w:sz w:val="16"/>
          <w:szCs w:val="16"/>
          <w:u w:val="single" w:color="auto"/>
          <w:color w:val="auto"/>
        </w:rPr>
        <w:t>Sections 4.1(b)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4.1(d)</w:t>
      </w:r>
      <w:r>
        <w:rPr>
          <w:rFonts w:ascii="Arial" w:cs="Arial" w:eastAsia="Arial" w:hAnsi="Arial"/>
          <w:sz w:val="16"/>
          <w:szCs w:val="16"/>
          <w:color w:val="auto"/>
        </w:rPr>
        <w:t xml:space="preserve">. The acceptance of any appointment as the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the Letter of Credit Issuer hereunder. After the resignation or replacement of the Letter of Credit Issuer hereunder, the resigning or replaced Letter of Credit Issuer shall remain a party hereto and shall continue to have all the rights and obligations of the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(but, in case of any such resignation, only to the extent that a 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 (ii) the Borrower shall cause the successor issuer of Letters of Credit, if such successor issuer is reasonably satisfactory to the replaced or resigning Letter of Credit Issuer, to issue “back-stop” Letters of Credit naming the resigning or replaced Letter of Credit Issuer as beneficiary for each outstanding Letter of Credit issued by the resigning or replaced Letter of Credit Issuer, which new Letters of Credit shall be denominated in the same currency as, and shall have a face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the Letter of Credit Issuer shall inure to its benefit as to any actions taken or omitted to be taken by it (A) while it was the Letter of Credit Issuer under this Agreement or (B) at any time with respect to Letters of Credit issued by such Letter of Credit Issuer.</w:t>
      </w:r>
    </w:p>
    <w:p>
      <w:pPr>
        <w:spacing w:after="0" w:line="388" w:lineRule="exact"/>
        <w:rPr>
          <w:rFonts w:ascii="Arial" w:cs="Arial" w:eastAsia="Arial" w:hAnsi="Arial"/>
          <w:sz w:val="16"/>
          <w:szCs w:val="16"/>
          <w:color w:val="auto"/>
        </w:rPr>
      </w:pPr>
    </w:p>
    <w:p>
      <w:pPr>
        <w:ind w:left="-20" w:right="60" w:firstLine="656"/>
        <w:spacing w:after="0" w:line="257"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To the extent there are, at the time of any resignation or replacement as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7" w:name="page118"/>
    <w:bookmarkEnd w:id="117"/>
    <w:p>
      <w:pPr>
        <w:ind w:right="60" w:firstLine="648"/>
        <w:spacing w:after="0" w:line="285"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Role of Letter of Credit Issuer</w:t>
      </w:r>
      <w:r>
        <w:rPr>
          <w:rFonts w:ascii="Arial" w:cs="Arial" w:eastAsia="Arial" w:hAnsi="Arial"/>
          <w:sz w:val="16"/>
          <w:szCs w:val="16"/>
          <w:color w:val="auto"/>
        </w:rPr>
        <w:t xml:space="preserve">. Each Lender and the Borrower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Lender for (i) any action taken or omitted in connection herewith at the request or with the approval of the Required Revolving Credit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assumption is not intended to, and shall not, preclude the Borrower’s pursuit of such rights and remedies as they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anything in such Section to the contrary notwithstanding, the Borrower may have a claim against the Letter of Credit Issuer, and the Letter of Credit Issuer may be liable to the Borrower, to the extent, but only to the extent, of any direct, as opposed to consequential or exemplary, damages suffered by the Borrower which the Borrower proves were caused by the Letter of Credit Issuer’s willful misconduct or gross negligence or the Letter of Credit Issuer’s willful failure to pay under any Letter of Credit after the presentation to it by the beneficiary of a sight draft and certificate(s) strictly complying with the terms and conditions of a Letter of Credit in each case as determined in the final non-appealable judgment of a court of competent jurisdiction. In furtherance and not in limitation of the foregoing,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Letter of Credit Issuer may send a Letter of Credit or conduct any communication to or from the beneficiary via the Society for Worldwide Interbank Financial Telecommunication (“</w:t>
      </w:r>
      <w:r>
        <w:rPr>
          <w:rFonts w:ascii="Arial" w:cs="Arial" w:eastAsia="Arial" w:hAnsi="Arial"/>
          <w:sz w:val="18"/>
          <w:szCs w:val="18"/>
          <w:b w:val="1"/>
          <w:bCs w:val="1"/>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18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25" w:lineRule="exact"/>
        <w:rPr>
          <w:sz w:val="20"/>
          <w:szCs w:val="20"/>
          <w:color w:val="auto"/>
        </w:rPr>
      </w:pPr>
    </w:p>
    <w:p>
      <w:pPr>
        <w:ind w:right="400" w:firstLine="656"/>
        <w:spacing w:after="0" w:line="273" w:lineRule="auto"/>
        <w:tabs>
          <w:tab w:leader="none" w:pos="1253"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Certain Credit Support Events</w:t>
      </w:r>
      <w:r>
        <w:rPr>
          <w:rFonts w:ascii="Arial" w:cs="Arial" w:eastAsia="Arial" w:hAnsi="Arial"/>
          <w:sz w:val="17"/>
          <w:szCs w:val="17"/>
          <w:color w:val="auto"/>
        </w:rPr>
        <w:t xml:space="preserve">. Upon the written request of the Administrative Agent or the Letter of Credit Issuer, if (i) as of the L/C Facility Maturity Date, any L/C Obligation for any reason remains outstanding, (ii) the Borrower shall be required to provide Cash Collateral pursuant to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or (iii) the provisions of </w:t>
      </w:r>
      <w:r>
        <w:rPr>
          <w:rFonts w:ascii="Arial" w:cs="Arial" w:eastAsia="Arial" w:hAnsi="Arial"/>
          <w:sz w:val="17"/>
          <w:szCs w:val="17"/>
          <w:u w:val="single" w:color="auto"/>
          <w:color w:val="auto"/>
        </w:rPr>
        <w:t>Section 2.16(a)(v)</w:t>
      </w:r>
      <w:r>
        <w:rPr>
          <w:rFonts w:ascii="Arial" w:cs="Arial" w:eastAsia="Arial" w:hAnsi="Arial"/>
          <w:sz w:val="17"/>
          <w:szCs w:val="17"/>
          <w:color w:val="auto"/>
        </w:rPr>
        <w:t xml:space="preserve"> are in effect, the Borrower shall immediately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or within one Business Day (in all other cases) following any written request by the Administrative Agent or the Letter of Credit Issuer, provide Cash Collateral in an amount not less than the applicable Minimum Collateral Amount (determined in the case of Cash Collateral provided pursuant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and any Cash Collateral provided by the Defaulting Lender).</w:t>
      </w:r>
    </w:p>
    <w:p>
      <w:pPr>
        <w:spacing w:after="0" w:line="178" w:lineRule="exact"/>
        <w:rPr>
          <w:rFonts w:ascii="Arial" w:cs="Arial" w:eastAsia="Arial" w:hAnsi="Arial"/>
          <w:sz w:val="17"/>
          <w:szCs w:val="17"/>
          <w:color w:val="auto"/>
        </w:rPr>
      </w:pPr>
    </w:p>
    <w:p>
      <w:pPr>
        <w:ind w:right="100" w:firstLine="656"/>
        <w:spacing w:after="0" w:line="269" w:lineRule="auto"/>
        <w:tabs>
          <w:tab w:leader="none" w:pos="1263"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 and to the extent provided by any Defaulting Lender, such Defaulting Lender, hereby grant to (and subject to the control of) the Administrative Agent, for the benefit of the Administrative Agent, the Letter of Credit Issuer and the Lenders, and agree to maintain, a first priority security interest in all such cash, deposit accounts and all balances therein as described in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3.8(c)</w:t>
      </w:r>
      <w:r>
        <w:rPr>
          <w:rFonts w:ascii="Arial" w:cs="Arial" w:eastAsia="Arial" w:hAnsi="Arial"/>
          <w:sz w:val="17"/>
          <w:szCs w:val="17"/>
          <w:color w:val="auto"/>
        </w:rPr>
        <w:t>. If at any time the Administrative Agent determines that Cash Collateral is subject to any right or claim of any Person other than the Administrative Agent or the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ind w:right="120" w:firstLine="656"/>
        <w:spacing w:after="0" w:line="279" w:lineRule="auto"/>
        <w:tabs>
          <w:tab w:leader="none" w:pos="1253"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xml:space="preserve">. Notwithstanding anything to the contrary contained in this Agreement, Cash Collateral provided under any of this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Sections 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11.13</w:t>
      </w:r>
      <w:r>
        <w:rPr>
          <w:rFonts w:ascii="Arial" w:cs="Arial" w:eastAsia="Arial" w:hAnsi="Arial"/>
          <w:sz w:val="17"/>
          <w:szCs w:val="17"/>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1" w:lineRule="exact"/>
        <w:rPr>
          <w:rFonts w:ascii="Arial" w:cs="Arial" w:eastAsia="Arial" w:hAnsi="Arial"/>
          <w:sz w:val="17"/>
          <w:szCs w:val="17"/>
          <w:color w:val="auto"/>
        </w:rPr>
      </w:pPr>
    </w:p>
    <w:p>
      <w:pPr>
        <w:ind w:right="60" w:firstLine="656"/>
        <w:spacing w:after="0" w:line="302" w:lineRule="auto"/>
        <w:tabs>
          <w:tab w:leader="none" w:pos="126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13.6(b)(ii)</w:t>
      </w:r>
      <w:r>
        <w:rPr>
          <w:rFonts w:ascii="Arial" w:cs="Arial" w:eastAsia="Arial" w:hAnsi="Arial"/>
          <w:sz w:val="16"/>
          <w:szCs w:val="16"/>
          <w:color w:val="auto"/>
        </w:rPr>
        <w:t>) or there is no longer existing an Event of Default) or (ii) the determination by the Administrative Agent and the Letter of Credit Issuer that there exists excess Cash Collateral.</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Applicability of ISP</w:t>
      </w:r>
      <w:r>
        <w:rPr>
          <w:rFonts w:ascii="Arial" w:cs="Arial" w:eastAsia="Arial" w:hAnsi="Arial"/>
          <w:sz w:val="17"/>
          <w:szCs w:val="17"/>
          <w:color w:val="auto"/>
        </w:rPr>
        <w:t>. Unless otherwise expressly agreed by the Letter of Credit Issuer and the applicable Borrower when a Letter of Credit is issued (including any such agreement applicable to an Existing Letter of Credit), the rules of the ISP shall apply to each standby Letter of Credit. Notwithstanding the foregoing, the Letter of Credit Issuer shall not be responsible to the Borrower for, and the Letter of Credit Issuer’s rights and remedies against the Borrower shall not be impaired by, any action or inaction of the Letter of Credit Issuer required or permitted under any law, order, or practice that is required or permitted to be applied to any Letter of Credit or this Agreement, including the applicable law or any order of a jurisdiction where the Letter of Credit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 and any grant of security interest in any Issuer Documents shall be void.</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Letters of Credit Issued for Restricted Subsidiaries</w:t>
      </w:r>
      <w:r>
        <w:rPr>
          <w:rFonts w:ascii="Arial" w:cs="Arial" w:eastAsia="Arial" w:hAnsi="Arial"/>
          <w:sz w:val="18"/>
          <w:szCs w:val="18"/>
          <w:color w:val="auto"/>
        </w:rPr>
        <w:t>. Notwithstanding that a Letter of Credit issued or outstanding hereunder is in support of any obligations of, or is for the account of, Holdings or a Restricted Subsidiary, the Borrower shall be obligated to reimburse the Letter of Credit Issuer hereunder for any and all drawings under such Letter of Credit. The Borrower hereby acknowledges that the issuance of Letters of Credit for the account of Holdings or any other Restricted Subsidiaries inures to the benefit of the Borrower and that the Borrower’s business derives substantial benefits from the businesses of Holdings and the other Restricted Subsidiaries.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Provisions Related to Extended Revolving Credit Commitments</w:t>
      </w:r>
      <w:r>
        <w:rPr>
          <w:rFonts w:ascii="Arial" w:cs="Arial" w:eastAsia="Arial" w:hAnsi="Arial"/>
          <w:sz w:val="17"/>
          <w:szCs w:val="17"/>
          <w:color w:val="auto"/>
        </w:rPr>
        <w:t xml:space="preserve">. If the Letter of Credit Expiration Date in respect of any tranche of Revolving Credit Commitments occurs prior to the expiry date of any Letter of Credit, then (i) if consented to by the Letter of Credit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7"/>
          <w:szCs w:val="17"/>
          <w:u w:val="single" w:color="auto"/>
          <w:color w:val="auto"/>
        </w:rPr>
        <w:t>Sections 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the Borrower shall Cash Collateralize any such Letter of Credit in accordance with </w:t>
      </w:r>
      <w:r>
        <w:rPr>
          <w:rFonts w:ascii="Arial" w:cs="Arial" w:eastAsia="Arial" w:hAnsi="Arial"/>
          <w:sz w:val="17"/>
          <w:szCs w:val="17"/>
          <w:u w:val="single" w:color="auto"/>
          <w:color w:val="auto"/>
        </w:rPr>
        <w:t>Section 3.8</w:t>
      </w:r>
      <w:r>
        <w:rPr>
          <w:rFonts w:ascii="Arial" w:cs="Arial" w:eastAsia="Arial" w:hAnsi="Arial"/>
          <w:sz w:val="17"/>
          <w:szCs w:val="17"/>
          <w:color w:val="auto"/>
        </w:rPr>
        <w:t>. Upon the maturity date of any tranche of Revolving Credit Commitments, the sublimit for Letters of Credit may be reduced as agreed between the Letter of Credit Issuer and the Borrower, without the consent of any other Person.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spacing w:after="0"/>
        <w:tabs>
          <w:tab w:leader="none" w:pos="12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Fees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73" w:lineRule="auto"/>
        <w:tabs>
          <w:tab w:leader="none" w:pos="125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Without duplication, the Borrower agrees to pay to the Administrative Agent in Dollars, for the account of each Revolving Credit Lender (in each case pro rata according to the respective Revolving Credit Commitments of all such Lenders), a commitment fee (the “</w:t>
      </w:r>
      <w:r>
        <w:rPr>
          <w:rFonts w:ascii="Arial" w:cs="Arial" w:eastAsia="Arial" w:hAnsi="Arial"/>
          <w:sz w:val="17"/>
          <w:szCs w:val="17"/>
          <w:b w:val="1"/>
          <w:bCs w:val="1"/>
          <w:color w:val="auto"/>
        </w:rPr>
        <w:t>Commitment Fee</w:t>
      </w:r>
      <w:r>
        <w:rPr>
          <w:rFonts w:ascii="Arial" w:cs="Arial" w:eastAsia="Arial" w:hAnsi="Arial"/>
          <w:sz w:val="17"/>
          <w:szCs w:val="17"/>
          <w:color w:val="auto"/>
        </w:rPr>
        <w:t xml:space="preserve">”) for each day from the Restatement Effective Date to the Revolving Credit Termination Date. Each Commitment Fee shall be payable (x) quarterly in arrears on the last Business Day of March, June, September and December and (y) on the Revolving Credit Termination Date (for the period ended on such date for which no payment has been received pursuant to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above), and shall be computed for each day during such period at a rate per annum equal to the Commitment Fee Rate in effect on such day on the Available Commitment in effect on such day.</w:t>
      </w:r>
    </w:p>
    <w:p>
      <w:pPr>
        <w:spacing w:after="0" w:line="178" w:lineRule="exact"/>
        <w:rPr>
          <w:rFonts w:ascii="Arial" w:cs="Arial" w:eastAsia="Arial" w:hAnsi="Arial"/>
          <w:sz w:val="17"/>
          <w:szCs w:val="17"/>
          <w:color w:val="auto"/>
        </w:rPr>
      </w:pPr>
    </w:p>
    <w:p>
      <w:pPr>
        <w:ind w:right="40" w:firstLine="656"/>
        <w:spacing w:after="0" w:line="293" w:lineRule="auto"/>
        <w:tabs>
          <w:tab w:leader="none" w:pos="12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Without duplication, the Borrower agrees to pay to the Administrative Agent in Dollars for the account of the Revolving Credit Lenders pro rata on the basis of their respective Letter of Credit Exposure, a fee in respect of each Letter of Credit issued on the Borrower’s or any of the other Restricted Subsidiaries’ behalf (the “</w:t>
      </w:r>
      <w:r>
        <w:rPr>
          <w:rFonts w:ascii="Arial" w:cs="Arial" w:eastAsia="Arial" w:hAnsi="Arial"/>
          <w:sz w:val="16"/>
          <w:szCs w:val="16"/>
          <w:b w:val="1"/>
          <w:bCs w:val="1"/>
          <w:color w:val="auto"/>
        </w:rPr>
        <w:t>Letter of Credit Fee</w:t>
      </w:r>
      <w:r>
        <w:rPr>
          <w:rFonts w:ascii="Arial" w:cs="Arial" w:eastAsia="Arial" w:hAnsi="Arial"/>
          <w:sz w:val="16"/>
          <w:szCs w:val="16"/>
          <w:color w:val="auto"/>
        </w:rPr>
        <w:t>”), for the period from the date of issuance of such Letter of Credit to the termination date of such Letter of Credit computed at the per annum rate for each day equal to the Applicable Margin for Commitment Fee Rate. Except as provided below, such Letter of Credit Fees shall be due and payable (x) quarterly in arrears on the last Business Day of March, June, September and December and (y) on the date upon which the Total Revolving Credit Commitment terminates and the Letters of Credit Outstanding shall have been reduced to zero.</w:t>
      </w:r>
    </w:p>
    <w:p>
      <w:pPr>
        <w:spacing w:after="0" w:line="164" w:lineRule="exact"/>
        <w:rPr>
          <w:rFonts w:ascii="Arial" w:cs="Arial" w:eastAsia="Arial" w:hAnsi="Arial"/>
          <w:sz w:val="16"/>
          <w:szCs w:val="16"/>
          <w:color w:val="auto"/>
        </w:rPr>
      </w:pPr>
    </w:p>
    <w:p>
      <w:pPr>
        <w:ind w:right="260" w:firstLine="656"/>
        <w:spacing w:after="0" w:line="277" w:lineRule="auto"/>
        <w:tabs>
          <w:tab w:leader="none" w:pos="12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Without duplication, the Borrower agrees to pay to the Administrative Agent in Dollars, for its own account, administrative agent fees as have been previously agreed in writing or as may be agreed in writing from time to time.</w:t>
      </w:r>
    </w:p>
    <w:p>
      <w:pPr>
        <w:spacing w:after="0" w:line="170" w:lineRule="exact"/>
        <w:rPr>
          <w:rFonts w:ascii="Arial" w:cs="Arial" w:eastAsia="Arial" w:hAnsi="Arial"/>
          <w:sz w:val="18"/>
          <w:szCs w:val="18"/>
          <w:color w:val="auto"/>
        </w:rPr>
      </w:pPr>
    </w:p>
    <w:p>
      <w:pPr>
        <w:ind w:right="60" w:firstLine="656"/>
        <w:spacing w:after="0" w:line="255" w:lineRule="auto"/>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Without duplication, the Borrower agrees to pay to the Letter of Credit Issuer a fee in Dollars in respect of each Letter of Credit issued by it to the Borrower (the “</w:t>
      </w:r>
      <w:r>
        <w:rPr>
          <w:rFonts w:ascii="Arial" w:cs="Arial" w:eastAsia="Arial" w:hAnsi="Arial"/>
          <w:sz w:val="18"/>
          <w:szCs w:val="18"/>
          <w:b w:val="1"/>
          <w:bCs w:val="1"/>
          <w:color w:val="auto"/>
        </w:rPr>
        <w:t>Fronting Fee</w:t>
      </w:r>
      <w:r>
        <w:rPr>
          <w:rFonts w:ascii="Arial" w:cs="Arial" w:eastAsia="Arial" w:hAnsi="Arial"/>
          <w:sz w:val="18"/>
          <w:szCs w:val="18"/>
          <w:color w:val="auto"/>
        </w:rPr>
        <w:t>”), for the period from the date of issuance of such Letter of Credit to the termination date of such Letter of Credit, computed at the rate for each day equal to 0.125% per annum on the actual daily Stated Amount of such Letter of Credit (or at such other rate per annum as agreed in writing between the Borrower and the Letter of Credit Issuer). Such Fronting Fees shall be due and payable (x) quarterly in arrears on the last Business Day of March, June, September and December and (y) on the date upon which the Total Revolving Credit Commitment terminates and the Letters of Credit Outstanding shall have been reduced to zero.</w:t>
      </w:r>
    </w:p>
    <w:p>
      <w:pPr>
        <w:spacing w:after="0" w:line="193" w:lineRule="exact"/>
        <w:rPr>
          <w:rFonts w:ascii="Arial" w:cs="Arial" w:eastAsia="Arial" w:hAnsi="Arial"/>
          <w:sz w:val="18"/>
          <w:szCs w:val="18"/>
          <w:color w:val="auto"/>
        </w:rPr>
      </w:pPr>
    </w:p>
    <w:p>
      <w:pPr>
        <w:ind w:firstLine="656"/>
        <w:spacing w:after="0" w:line="259" w:lineRule="auto"/>
        <w:tabs>
          <w:tab w:leader="none" w:pos="12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Without duplication, the Borrower agrees to pay directly to the Letter of Credit Issuer in Dollars upon each issuance or renewal of, drawing under, and/or amendment of, a Letter of Credit issued by it such amount as shall at the time of such issuance or renewal of, drawing under, and/or amendment be the processing charge that the Letter of Credit Issuer is customarily charging for issuances or renewals of, drawings under or amendments of, letters of credit issued by it.</w:t>
      </w:r>
    </w:p>
    <w:p>
      <w:pPr>
        <w:spacing w:after="0" w:line="186" w:lineRule="exact"/>
        <w:rPr>
          <w:rFonts w:ascii="Arial" w:cs="Arial" w:eastAsia="Arial" w:hAnsi="Arial"/>
          <w:sz w:val="18"/>
          <w:szCs w:val="18"/>
          <w:color w:val="auto"/>
        </w:rPr>
      </w:pPr>
    </w:p>
    <w:p>
      <w:pPr>
        <w:ind w:left="1240" w:hanging="584"/>
        <w:spacing w:after="0"/>
        <w:tabs>
          <w:tab w:leader="none" w:pos="12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Borrower shall not be obligated to pay any amounts to any Defaulting Lender pursuant to this </w:t>
      </w:r>
      <w:r>
        <w:rPr>
          <w:rFonts w:ascii="Arial" w:cs="Arial" w:eastAsia="Arial" w:hAnsi="Arial"/>
          <w:sz w:val="16"/>
          <w:szCs w:val="16"/>
          <w:u w:val="single" w:color="auto"/>
          <w:color w:val="auto"/>
        </w:rPr>
        <w:t>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4.1</w:t>
      </w:r>
      <w:r>
        <w:rPr>
          <w:rFonts w:ascii="Arial" w:cs="Arial" w:eastAsia="Arial" w:hAnsi="Arial"/>
          <w:sz w:val="18"/>
          <w:szCs w:val="18"/>
          <w:color w:val="auto"/>
        </w:rPr>
        <w:t>.</w:t>
      </w:r>
    </w:p>
    <w:p>
      <w:pPr>
        <w:spacing w:after="0" w:line="211" w:lineRule="exact"/>
        <w:rPr>
          <w:sz w:val="20"/>
          <w:szCs w:val="20"/>
          <w:color w:val="auto"/>
        </w:rPr>
      </w:pPr>
    </w:p>
    <w:p>
      <w:pPr>
        <w:ind w:right="740" w:firstLine="656"/>
        <w:spacing w:after="0" w:line="277" w:lineRule="auto"/>
        <w:tabs>
          <w:tab w:leader="none" w:pos="12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such fees as stipulated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fully earned when paid and shall not be refundable for any reason whatsoever.</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0" w:name="page121"/>
    <w:bookmarkEnd w:id="120"/>
    <w:p>
      <w:pPr>
        <w:ind w:right="60" w:firstLine="648"/>
        <w:spacing w:after="0" w:line="26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Voluntary Reduction of Revolving Credit Commitments</w:t>
      </w:r>
      <w:r>
        <w:rPr>
          <w:rFonts w:ascii="Arial" w:cs="Arial" w:eastAsia="Arial" w:hAnsi="Arial"/>
          <w:sz w:val="17"/>
          <w:szCs w:val="17"/>
          <w:color w:val="auto"/>
        </w:rPr>
        <w:t xml:space="preserve">. Upon at least two Business Days’ prior written notice to the Administrative Agent at the Administrative Agent’s Office (which notice the Administrative Agent shall promptly transmit to each of the Lenders), the Borrower shall have the right, without premium or penalty, on any day, permanently to terminate or reduce the Revolving Credit Commitments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such reduction shall apply proportionately and permanently to reduce the Revolving Credit Commitment of each of the Lenders of any applicable Class, except that (i) notwithstanding the foregoing, in connection with the establishment on any date of any Extended Revolving Credit Commitments pursuant to </w:t>
      </w:r>
      <w:r>
        <w:rPr>
          <w:rFonts w:ascii="Arial" w:cs="Arial" w:eastAsia="Arial" w:hAnsi="Arial"/>
          <w:sz w:val="17"/>
          <w:szCs w:val="17"/>
          <w:u w:val="single" w:color="auto"/>
          <w:color w:val="auto"/>
        </w:rPr>
        <w:t>Section 2.14(g)</w:t>
      </w:r>
      <w:r>
        <w:rPr>
          <w:rFonts w:ascii="Arial" w:cs="Arial" w:eastAsia="Arial" w:hAnsi="Arial"/>
          <w:sz w:val="17"/>
          <w:szCs w:val="17"/>
          <w:color w:val="auto"/>
        </w:rPr>
        <w:t>, the Revolving Credit Commitments of any one or more Lenders providing any such Extended Revolving Credit Commitments on such date shall be reduced in an amount equal to the amount of Revolving Credit Commitments so extended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after giving effect to any such reduction and to the repayment of any Revolving Credit Loans made on 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with respect to the ratable allocation of payments hereunder, with such allocation being determined after giving effect to any conversion pursuant to </w:t>
      </w:r>
      <w:r>
        <w:rPr>
          <w:rFonts w:ascii="Arial" w:cs="Arial" w:eastAsia="Arial" w:hAnsi="Arial"/>
          <w:sz w:val="17"/>
          <w:szCs w:val="17"/>
          <w:u w:val="single" w:color="auto"/>
          <w:color w:val="auto"/>
        </w:rPr>
        <w:t>Section 2.14(g)</w:t>
      </w:r>
      <w:r>
        <w:rPr>
          <w:rFonts w:ascii="Arial" w:cs="Arial" w:eastAsia="Arial" w:hAnsi="Arial"/>
          <w:sz w:val="17"/>
          <w:szCs w:val="17"/>
          <w:color w:val="auto"/>
        </w:rPr>
        <w:t xml:space="preserve"> of Revolving Credit Commitments and Revolving Credit Loans into Extended Revolving Credit Commitments and Extended Revolving Credit Loans pursuant to </w:t>
      </w:r>
      <w:r>
        <w:rPr>
          <w:rFonts w:ascii="Arial" w:cs="Arial" w:eastAsia="Arial" w:hAnsi="Arial"/>
          <w:sz w:val="17"/>
          <w:szCs w:val="17"/>
          <w:u w:val="single" w:color="auto"/>
          <w:color w:val="auto"/>
        </w:rPr>
        <w:t>Section 2.14(g)</w:t>
      </w:r>
      <w:r>
        <w:rPr>
          <w:rFonts w:ascii="Arial" w:cs="Arial" w:eastAsia="Arial" w:hAnsi="Arial"/>
          <w:sz w:val="17"/>
          <w:szCs w:val="17"/>
          <w:color w:val="auto"/>
        </w:rPr>
        <w:t xml:space="preserve"> prior to any reduction being made to the Revolving Credit Commitment of any other Lender) and (ii) the Borrower may at its election permanently reduce the Revolving Credit Commitment of a Defaulting Lender to $0 without affecting the Revolving Credit Commitments of any other Lender, (b) any partial reduction pursuant to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shall be in the amount of at least $5,000,000, and (c) after giving effect to such termination or reduction and to any prepayments of the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 aggregate Revolving Credit Commitment of such Class.</w:t>
      </w:r>
    </w:p>
    <w:p>
      <w:pPr>
        <w:spacing w:after="0" w:line="19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Mandatory Termination of Commitments</w:t>
      </w:r>
      <w:r>
        <w:rPr>
          <w:rFonts w:ascii="Arial" w:cs="Arial" w:eastAsia="Arial" w:hAnsi="Arial"/>
          <w:sz w:val="16"/>
          <w:szCs w:val="16"/>
          <w:color w:val="auto"/>
        </w:rPr>
        <w:t>.</w:t>
      </w:r>
    </w:p>
    <w:p>
      <w:pPr>
        <w:spacing w:after="0" w:line="225" w:lineRule="exact"/>
        <w:rPr>
          <w:sz w:val="20"/>
          <w:szCs w:val="20"/>
          <w:color w:val="auto"/>
        </w:rPr>
      </w:pPr>
    </w:p>
    <w:p>
      <w:pPr>
        <w:ind w:left="1260" w:hanging="604"/>
        <w:spacing w:after="0"/>
        <w:tabs>
          <w:tab w:leader="none" w:pos="12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Term A Loan Commitment shall terminate in full on the Restatement Effective Date immediately following the funding of the Term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 thereunder.</w:t>
      </w:r>
    </w:p>
    <w:p>
      <w:pPr>
        <w:spacing w:after="0" w:line="210" w:lineRule="exact"/>
        <w:rPr>
          <w:rFonts w:ascii="Arial" w:cs="Arial" w:eastAsia="Arial" w:hAnsi="Arial"/>
          <w:sz w:val="16"/>
          <w:szCs w:val="16"/>
          <w:color w:val="auto"/>
        </w:rPr>
      </w:pPr>
    </w:p>
    <w:p>
      <w:pPr>
        <w:ind w:left="1260" w:hanging="604"/>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Revolving Credit Commitment shall terminate at 5:00 p.m. (New York City time) on the Revolving Credit Maturity Date.</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Swingline Commitment shall terminate at 5:00 p.m. (New York City time) on the Swingline Maturity Date.</w:t>
      </w:r>
    </w:p>
    <w:p>
      <w:pPr>
        <w:spacing w:after="0" w:line="225" w:lineRule="exact"/>
        <w:rPr>
          <w:rFonts w:ascii="Arial" w:cs="Arial" w:eastAsia="Arial" w:hAnsi="Arial"/>
          <w:sz w:val="18"/>
          <w:szCs w:val="18"/>
          <w:color w:val="auto"/>
        </w:rPr>
      </w:pPr>
    </w:p>
    <w:p>
      <w:pPr>
        <w:ind w:right="280" w:firstLine="656"/>
        <w:spacing w:after="0" w:line="277" w:lineRule="auto"/>
        <w:tabs>
          <w:tab w:leader="none" w:pos="1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New Term Loan Commitment for any Series shall, unless otherwise provided in the applicable Joinder Agreement, terminate at 5:00 p.m. (New York City time) on the Increased Amount Date for such Series.</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Payments</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Voluntary Prepayments</w:t>
      </w:r>
      <w:r>
        <w:rPr>
          <w:rFonts w:ascii="Arial" w:cs="Arial" w:eastAsia="Arial" w:hAnsi="Arial"/>
          <w:sz w:val="16"/>
          <w:szCs w:val="16"/>
          <w:color w:val="auto"/>
        </w:rPr>
        <w:t xml:space="preserve">. The Borrower shall have the right to prepay Loans, including Term Loans, Revolving Credit Loans, and Swingline Loans, as applicable, in each case, other than as set forth in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without premium or penalty, in whole or in part from time to time on the following terms and conditions: (1) the Borrower shall give the Administrative Agent at the Administrative Agent’s Office notice of its intent to make such prepayment, the amount of such prepayment and (in the case of LIBOR Loans) the specific Borrowing(s) pursuant to which made, which notice shall be given by the Borrower no later than 12:00 Noon (New York City time) (i) in the case of LIBOR Loans, three Business Days prior to, (ii) in the case of ABR Loans (other than Swingline Loans), one Business Day prior to or (ii) in the case of Swingline Loans, on, the date of such prepayment and shall promptly be transmitted by the Administrative Agent to each of the Lenders or the Swingline Lender, as the case may be; (2) each partial prepayment of (i) any Borrowing of LIBOR Loans shall be in a minimum amount of $5,000,000 and in multiples of $1,000,000 in excess thereof, (ii) any ABR Loans (other than Swingline Loans) shall be in a minimum amount of $1,000,000 and in multiples of $100,000 in excess thereof, and (iii) Swingline Loans shall be in a minimum amount of $500,000 and in multiples of $100,000 in excess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partial prepayment of LIBOR Loans made pursuant to a single Borrowing shall reduce the outstanding LIBOR Loans made pursuant to such Borrowing to an amount less than the applicable Minimum Borrowing Amount for such LIBOR Loans, and</w:t>
      </w:r>
    </w:p>
    <w:p>
      <w:pPr>
        <w:spacing w:after="0" w:line="5" w:lineRule="exact"/>
        <w:rPr>
          <w:sz w:val="20"/>
          <w:szCs w:val="20"/>
          <w:color w:val="auto"/>
        </w:rPr>
      </w:pPr>
    </w:p>
    <w:p>
      <w:pPr>
        <w:ind w:firstLine="8"/>
        <w:spacing w:after="0" w:line="287" w:lineRule="auto"/>
        <w:tabs>
          <w:tab w:leader="none" w:pos="25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in the case of any prepayment of LIBOR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Each prepayment in respect of any Term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be applied to the Class or Classes of Term Loans as the Borrower may specify. Such notice may be given by telephone;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promptly by delivery to the Administrative Agent of a written notice of prepayment. Each prepayment in respect of any Term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be (a) applied to the Class or Classes of Term Loans as the Borrower may specify and (b) applied to reduce any Term A Loan Repayment Amounts, New Term Loan Repayment Amounts, and, subject to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Extended Term Loan Repayment Amounts, as the case may be, in each case, in such order as the Borrower may specify. At the Borrower’s election in connection with any prepayment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such prepayment shall not be applied to any Term Loan or Revolving Credit Loan of a Defaulting Lender.</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1" w:name="page122"/>
    <w:bookmarkEnd w:id="121"/>
    <w:p>
      <w:pPr>
        <w:ind w:left="652"/>
        <w:spacing w:after="0"/>
        <w:tabs>
          <w:tab w:leader="none" w:pos="125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25" w:lineRule="exact"/>
        <w:rPr>
          <w:sz w:val="20"/>
          <w:szCs w:val="20"/>
          <w:color w:val="auto"/>
        </w:rPr>
      </w:pPr>
    </w:p>
    <w:p>
      <w:pPr>
        <w:ind w:left="1252" w:hanging="604"/>
        <w:spacing w:after="0"/>
        <w:tabs>
          <w:tab w:leader="none" w:pos="1252"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Term Loan Prepayments</w:t>
      </w:r>
      <w:r>
        <w:rPr>
          <w:rFonts w:ascii="Arial" w:cs="Arial" w:eastAsia="Arial" w:hAnsi="Arial"/>
          <w:sz w:val="18"/>
          <w:szCs w:val="18"/>
          <w:color w:val="auto"/>
        </w:rPr>
        <w:t>.</w:t>
      </w:r>
    </w:p>
    <w:p>
      <w:pPr>
        <w:spacing w:after="0" w:line="225" w:lineRule="exact"/>
        <w:rPr>
          <w:sz w:val="20"/>
          <w:szCs w:val="20"/>
          <w:color w:val="auto"/>
        </w:rPr>
      </w:pPr>
    </w:p>
    <w:p>
      <w:pPr>
        <w:ind w:left="-8" w:right="20" w:firstLine="656"/>
        <w:spacing w:after="0" w:line="283" w:lineRule="auto"/>
        <w:tabs>
          <w:tab w:leader="none" w:pos="121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On each occasion that a Prepayment Event occurs, the Borrower shall, within three Business Days after receipt of the Net Cash Proceeds of a Debt Incurrence Prepayment Event (other than one covered by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 and within ten Business Days after the occurrence of any other Prepayment Event (or, in the case of Deferred Net Cash Proceeds, within ten Business Days after the Deferred Net Cash Proceeds Payment Date), prepay,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Term Loans with an equivalent principal amount equal to 100% of the Net Cash Proceeds from such Prepayment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Net Cash Proceeds of an Asset Sale Prepayment Event, Casualty Event or Permitted Sale Leaseback, in each case solely to the extent with respect to any Collateral, the Borrower may use a portion of such Net Cash Proceeds to prepay or repurchase Permitted Other Indebtedness (and with such prepaid or repurchased Permitted Other Indebtedness permanently extinguished) with a Lien on the Collateral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Obligations to the extent any applicable Permitted Other Indebtedness Document requires the issuer of such Permitted Other Indebtedness to prepay or make an offer to purchase such Permitted Other Indebtedness with the proceeds of such Prepayment Event, in each case in an amount not to exceed the product of</w:t>
      </w:r>
    </w:p>
    <w:p>
      <w:pPr>
        <w:spacing w:after="0" w:line="6" w:lineRule="exact"/>
        <w:rPr>
          <w:rFonts w:ascii="Arial" w:cs="Arial" w:eastAsia="Arial" w:hAnsi="Arial"/>
          <w:sz w:val="16"/>
          <w:szCs w:val="16"/>
          <w:color w:val="auto"/>
        </w:rPr>
      </w:pPr>
    </w:p>
    <w:p>
      <w:pPr>
        <w:ind w:left="-8" w:right="60" w:firstLine="8"/>
        <w:spacing w:after="0" w:line="254" w:lineRule="auto"/>
        <w:tabs>
          <w:tab w:leader="none" w:pos="2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amount of such Net Cash Proceeds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(y) a fraction, the numerator of which is the outstanding principal amount of the Permitted Other Indebtedness with a Lien on the Collateral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securing the Obligations and with respect to which such a requirement to prepay or make an offer to purchase exists and the denominator of which is the sum of the outstanding principal amount of such Permitted Other Indebtedness and the outstanding principal amount of Term Loans.</w:t>
      </w:r>
    </w:p>
    <w:p>
      <w:pPr>
        <w:spacing w:after="0" w:line="189" w:lineRule="exact"/>
        <w:rPr>
          <w:rFonts w:ascii="Arial" w:cs="Arial" w:eastAsia="Arial" w:hAnsi="Arial"/>
          <w:sz w:val="18"/>
          <w:szCs w:val="18"/>
          <w:color w:val="auto"/>
        </w:rPr>
      </w:pPr>
    </w:p>
    <w:p>
      <w:pPr>
        <w:ind w:left="1272" w:hanging="624"/>
        <w:spacing w:after="0"/>
        <w:tabs>
          <w:tab w:leader="none" w:pos="127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8" w:right="380" w:firstLine="656"/>
        <w:spacing w:after="0" w:line="286" w:lineRule="auto"/>
        <w:tabs>
          <w:tab w:leader="none" w:pos="1315"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On each occasion that Permitted Other Indebtedness is issued or incurred pursuant to </w:t>
      </w:r>
      <w:r>
        <w:rPr>
          <w:rFonts w:ascii="Arial" w:cs="Arial" w:eastAsia="Arial" w:hAnsi="Arial"/>
          <w:sz w:val="17"/>
          <w:szCs w:val="17"/>
          <w:u w:val="single" w:color="auto"/>
          <w:color w:val="auto"/>
        </w:rPr>
        <w:t>Section 10.1(w)</w:t>
      </w:r>
      <w:r>
        <w:rPr>
          <w:rFonts w:ascii="Arial" w:cs="Arial" w:eastAsia="Arial" w:hAnsi="Arial"/>
          <w:sz w:val="17"/>
          <w:szCs w:val="17"/>
          <w:color w:val="auto"/>
        </w:rPr>
        <w:t xml:space="preserve">, the Borrower shall within three Business Days of receipt of the Net Cash Proceeds of such Permitted Other Indebtedness prepay, in accordance with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Term Loans with a principal amount equal to 100% of the Net Cash Proceeds from such issuance or incurrence of Permitted Other Indebtedness.</w:t>
      </w:r>
    </w:p>
    <w:p>
      <w:pPr>
        <w:spacing w:after="0" w:line="165" w:lineRule="exact"/>
        <w:rPr>
          <w:rFonts w:ascii="Arial" w:cs="Arial" w:eastAsia="Arial" w:hAnsi="Arial"/>
          <w:sz w:val="17"/>
          <w:szCs w:val="17"/>
          <w:color w:val="auto"/>
        </w:rPr>
      </w:pPr>
    </w:p>
    <w:p>
      <w:pPr>
        <w:ind w:left="-8" w:firstLine="656"/>
        <w:spacing w:after="0" w:line="285" w:lineRule="auto"/>
        <w:tabs>
          <w:tab w:leader="none" w:pos="130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 to the extent that any or all of the Net Cash Proceeds of any Prepayment Event by a Foreign Subsidiary giving rise to a prepayment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 “</w:t>
      </w:r>
      <w:r>
        <w:rPr>
          <w:rFonts w:ascii="Arial" w:cs="Arial" w:eastAsia="Arial" w:hAnsi="Arial"/>
          <w:sz w:val="16"/>
          <w:szCs w:val="16"/>
          <w:b w:val="1"/>
          <w:bCs w:val="1"/>
          <w:color w:val="auto"/>
        </w:rPr>
        <w:t>Foreign Prepayment Event</w:t>
      </w:r>
      <w:r>
        <w:rPr>
          <w:rFonts w:ascii="Arial" w:cs="Arial" w:eastAsia="Arial" w:hAnsi="Arial"/>
          <w:sz w:val="16"/>
          <w:szCs w:val="16"/>
          <w:color w:val="auto"/>
        </w:rPr>
        <w:t xml:space="preserve">”) are prohibited or delayed by any Requirement of Law from being repatriated to the Credit Parties, an amount equal to the portion of such Net Cash Proceeds so affected will not be required to be applied to repay Loans at the times provided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the case may be, but only so long, as the applicable Requirement of Law will not permit repatriation to the Credit Parties (the Credit Parties hereby agreeing to cause the applicable Foreign Subsidiary to promptly take all actions reasonably required by the applicable Requirement of Law to permit repatriation), and once a repatriation of any of such affected Net Cash Proceeds is permitted under the applicable Requirement of Law, an amount equal to such Net Cash Proceeds will be promptly (and in any event not later than ten Business Days after such repatriation is permitted) applied (net of any taxes that would be payable or reserved against if such amounts were actually repatriated whether or not they are repatriated) to the repayment of the Loans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applicable, and (B) to the extent that the Borrower has determined in good faith that repatriation of any of or all the Net Cash Proceeds of any Foreign Prepayment Event would have a material adverse tax consequence with respect to such Net Cash Proceeds, an amount equal to the Net Cash Proceeds so affected may be retained by the applicable Foreign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on or before the date on which any Net Cash Proceeds from any Foreign Prepayment Event so retained would otherwise have been required to be applied to reinvestments or prepayments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(x) the Borrower shall apply an amount equal to such Net Cash Proceeds to such reinvestments or prepayments as if such Net Cash Proceeds had been received by the Credit Parties rather than such Foreign Subsidiary, less the amount of any taxes that would have been payable or reserved against if such Net Cash Proceeds had been repatriated (or, if less, the Net Cash Proceeds that would be calculated if received by such Foreign Subsidiary) or (y) such Net Cash Proceeds shall be applied to the repayment of Indebtedness of a Foreign Subsidiary. For the avoidance of doubt, nothing in this Agreement, including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construed to require any Foreign Subsidiary to repatriate cash.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22" w:name="page123"/>
    <w:bookmarkEnd w:id="122"/>
    <w:p>
      <w:pPr>
        <w:ind w:left="-20" w:right="60" w:firstLine="656"/>
        <w:spacing w:after="0" w:line="276" w:lineRule="auto"/>
        <w:tabs>
          <w:tab w:leader="none" w:pos="1243"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Repayment of Revolving Credit Loans</w:t>
      </w:r>
      <w:r>
        <w:rPr>
          <w:rFonts w:ascii="Arial" w:cs="Arial" w:eastAsia="Arial" w:hAnsi="Arial"/>
          <w:sz w:val="17"/>
          <w:szCs w:val="17"/>
          <w:color w:val="auto"/>
        </w:rPr>
        <w:t>. If on any date the aggregate amount of the Lenders’ Revolving Credit Exposures in respect of any Class of Revolving Loans for any reason exceeds 100% of the Revolving Credit Commitment of such Class then in effect, the Borrower shall forthwith repay on such date Revolving Loans of such Class in an amount equal to such excess. If after giving effect to the prepayment of all outstanding Revolving Loans of such Class, the Revolving Credit Exposures of such Class exceed the Revolving Credit Commitment of such Class then in effect, the Borrower shall Cash Collateralize the Letters of Credit Outstanding in relation to such Class to the extent of such excess.</w:t>
      </w:r>
    </w:p>
    <w:p>
      <w:pPr>
        <w:spacing w:after="0" w:line="172" w:lineRule="exact"/>
        <w:rPr>
          <w:rFonts w:ascii="Arial" w:cs="Arial" w:eastAsia="Arial" w:hAnsi="Arial"/>
          <w:sz w:val="17"/>
          <w:szCs w:val="17"/>
          <w:color w:val="auto"/>
        </w:rPr>
      </w:pPr>
    </w:p>
    <w:p>
      <w:pPr>
        <w:ind w:left="-20" w:right="20" w:firstLine="656"/>
        <w:spacing w:after="0" w:line="289" w:lineRule="auto"/>
        <w:tabs>
          <w:tab w:leader="none" w:pos="123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Application to Repayment Amounts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each prepayment of Term Loans required by </w:t>
      </w:r>
      <w:r>
        <w:rPr>
          <w:rFonts w:ascii="Arial" w:cs="Arial" w:eastAsia="Arial" w:hAnsi="Arial"/>
          <w:sz w:val="16"/>
          <w:szCs w:val="16"/>
          <w:u w:val="single" w:color="auto"/>
          <w:color w:val="auto"/>
        </w:rPr>
        <w:t>Section 5.2(a)(i)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shall be allocated pro rata among the Term A Loans, New Term Loans and Extended Term Loans based on the applicable remaining Repayment Amounts due thereunder and shall be applied within each Class of Term Loans in respect of such Term Loans in direct order of maturity thereof or as otherwise directed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Class of Extended Term Loans have been established hereunder, the Borrower may allocate such prepayment in its sole discretion to the Term Loans of the Existing Term Loan Class, if any, from which such Extended Term Loans were converted (except, as to Term Loans made pursuant to a Joinder Agreement, as otherwise set forth in such Joinder Agreement, or as to a Replacement Term Loan). Subject to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with respect to each such prepayment, the Borrower will, not later than the date specified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for making such prepayment, give the Administrative Agent written notice which shall include a calculation of the amount of such prepayment to be applied to each Class of Term Loans requesting that the Administrative Agent provide notice of such prepayment to each Term A Lender, New Term Loan Lender, or Lender of Extended Term Loans, as applicable.</w:t>
      </w:r>
    </w:p>
    <w:p>
      <w:pPr>
        <w:spacing w:after="0" w:line="166" w:lineRule="exact"/>
        <w:rPr>
          <w:rFonts w:ascii="Arial" w:cs="Arial" w:eastAsia="Arial" w:hAnsi="Arial"/>
          <w:sz w:val="16"/>
          <w:szCs w:val="16"/>
          <w:color w:val="auto"/>
        </w:rPr>
      </w:pPr>
    </w:p>
    <w:p>
      <w:pPr>
        <w:ind w:left="-20" w:right="140" w:firstLine="656"/>
        <w:spacing w:after="0" w:line="293" w:lineRule="auto"/>
        <w:tabs>
          <w:tab w:leader="none" w:pos="124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Application to Term Loans</w:t>
      </w:r>
      <w:r>
        <w:rPr>
          <w:rFonts w:ascii="Arial" w:cs="Arial" w:eastAsia="Arial" w:hAnsi="Arial"/>
          <w:sz w:val="16"/>
          <w:szCs w:val="16"/>
          <w:color w:val="auto"/>
        </w:rPr>
        <w:t xml:space="preserve">. With respect to each prepayment of Term Loans required by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the Borrower may, if applicable, designate the Types of Loans that are to be prepaid and the specific Borrowing(s) pursuant to which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Lender has provided a Rejection Notice in compliance with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such prepayment shall be applied with respect to the Term Loans to be prepaid on a pro rata basis across all outstanding Types of such Term Loans in proportion to the percentage of such outstanding Term Loans to be prepaid represented by each such Class. In the absence of a Rejection Notice or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20" w:firstLine="656"/>
        <w:spacing w:after="0" w:line="293" w:lineRule="auto"/>
        <w:tabs>
          <w:tab w:leader="none" w:pos="123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Application to Revolving Credit Loans</w:t>
      </w:r>
      <w:r>
        <w:rPr>
          <w:rFonts w:ascii="Arial" w:cs="Arial" w:eastAsia="Arial" w:hAnsi="Arial"/>
          <w:sz w:val="16"/>
          <w:szCs w:val="16"/>
          <w:color w:val="auto"/>
        </w:rPr>
        <w:t xml:space="preserve">. With respect to each prepayment of Revolving Credit Loans, the Borrower may designate (i) the Types of Loans that are to be prepaid and the specific Borrowing(s) pursuant to which made and (ii) the Revolving Loans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 each prepayment of any Loans made pursuant to a Borrowing shall be applied pro rata among such Loans; and (z) notwithstanding the provisions of the preceding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no prepayment of Revolving Loans shall be applied to the Revolving Credit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20" w:right="40" w:firstLine="656"/>
        <w:spacing w:after="0" w:line="270" w:lineRule="auto"/>
        <w:tabs>
          <w:tab w:leader="none" w:pos="1213"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Rejection Right</w:t>
      </w:r>
      <w:r>
        <w:rPr>
          <w:rFonts w:ascii="Arial" w:cs="Arial" w:eastAsia="Arial" w:hAnsi="Arial"/>
          <w:sz w:val="17"/>
          <w:szCs w:val="17"/>
          <w:color w:val="auto"/>
        </w:rPr>
        <w:t xml:space="preserve">. Holdings or the Borrower shall notify the Administrative Agent in writing of any mandatory prepayment of Term Loans required to be made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at least three Business Days prior to the date of such prepayment. Each such notice shall specify the date of such prepayment and provide a reasonably detailed calculation of the amount of such prepayment. The Administrative Agent will promptly notify each Lender holding Term Loans of the contents of such prepayment notice and of such Lender’s pro rata share of the prepayment. Each Term Loan Lender may reject all (but not less than all) of its pro rata share of any mandatory prepayment other than any such mandatory prepayment with respect to a Debt Incurrence Prepayment Event under </w:t>
      </w:r>
      <w:r>
        <w:rPr>
          <w:rFonts w:ascii="Arial" w:cs="Arial" w:eastAsia="Arial" w:hAnsi="Arial"/>
          <w:sz w:val="17"/>
          <w:szCs w:val="17"/>
          <w:u w:val="single" w:color="auto"/>
          <w:color w:val="auto"/>
        </w:rPr>
        <w:t>Section 5.2(a)(i)</w:t>
      </w:r>
      <w:r>
        <w:rPr>
          <w:rFonts w:ascii="Arial" w:cs="Arial" w:eastAsia="Arial" w:hAnsi="Arial"/>
          <w:sz w:val="17"/>
          <w:szCs w:val="17"/>
          <w:color w:val="auto"/>
        </w:rPr>
        <w:t xml:space="preserve"> or Permitted Other Indebtedness under </w:t>
      </w:r>
      <w:r>
        <w:rPr>
          <w:rFonts w:ascii="Arial" w:cs="Arial" w:eastAsia="Arial" w:hAnsi="Arial"/>
          <w:sz w:val="17"/>
          <w:szCs w:val="17"/>
          <w:u w:val="single" w:color="auto"/>
          <w:color w:val="auto"/>
        </w:rPr>
        <w:t>Section 5.2(a)(iii)</w:t>
      </w:r>
      <w:r>
        <w:rPr>
          <w:rFonts w:ascii="Arial" w:cs="Arial" w:eastAsia="Arial" w:hAnsi="Arial"/>
          <w:sz w:val="17"/>
          <w:szCs w:val="17"/>
          <w:color w:val="auto"/>
        </w:rPr>
        <w:t xml:space="preserve"> (such declined amounts, the “</w:t>
      </w:r>
      <w:r>
        <w:rPr>
          <w:rFonts w:ascii="Arial" w:cs="Arial" w:eastAsia="Arial" w:hAnsi="Arial"/>
          <w:sz w:val="17"/>
          <w:szCs w:val="17"/>
          <w:b w:val="1"/>
          <w:bCs w:val="1"/>
          <w:color w:val="auto"/>
        </w:rPr>
        <w:t>Declined</w:t>
      </w:r>
      <w:r>
        <w:rPr>
          <w:rFonts w:ascii="Arial" w:cs="Arial" w:eastAsia="Arial" w:hAnsi="Arial"/>
          <w:sz w:val="17"/>
          <w:szCs w:val="17"/>
          <w:color w:val="auto"/>
        </w:rPr>
        <w:t xml:space="preserve"> </w:t>
      </w:r>
      <w:r>
        <w:rPr>
          <w:rFonts w:ascii="Arial" w:cs="Arial" w:eastAsia="Arial" w:hAnsi="Arial"/>
          <w:sz w:val="17"/>
          <w:szCs w:val="17"/>
          <w:b w:val="1"/>
          <w:bCs w:val="1"/>
          <w:color w:val="auto"/>
        </w:rPr>
        <w:t>Proceeds</w:t>
      </w:r>
      <w:r>
        <w:rPr>
          <w:rFonts w:ascii="Arial" w:cs="Arial" w:eastAsia="Arial" w:hAnsi="Arial"/>
          <w:sz w:val="17"/>
          <w:szCs w:val="17"/>
          <w:color w:val="auto"/>
        </w:rPr>
        <w:t>”) of Term Loans required to be made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5.2(a)</w:t>
      </w:r>
      <w:r>
        <w:rPr>
          <w:rFonts w:ascii="Arial" w:cs="Arial" w:eastAsia="Arial" w:hAnsi="Arial"/>
          <w:sz w:val="17"/>
          <w:szCs w:val="17"/>
          <w:b w:val="1"/>
          <w:bCs w:val="1"/>
          <w:color w:val="auto"/>
        </w:rPr>
        <w:t xml:space="preserve"> </w:t>
      </w:r>
      <w:r>
        <w:rPr>
          <w:rFonts w:ascii="Arial" w:cs="Arial" w:eastAsia="Arial" w:hAnsi="Arial"/>
          <w:sz w:val="17"/>
          <w:szCs w:val="17"/>
          <w:color w:val="auto"/>
        </w:rPr>
        <w:t>by providing written notice (each, a “</w:t>
      </w:r>
      <w:r>
        <w:rPr>
          <w:rFonts w:ascii="Arial" w:cs="Arial" w:eastAsia="Arial" w:hAnsi="Arial"/>
          <w:sz w:val="17"/>
          <w:szCs w:val="17"/>
          <w:b w:val="1"/>
          <w:bCs w:val="1"/>
          <w:color w:val="auto"/>
        </w:rPr>
        <w:t>Rejection Notice</w:t>
      </w:r>
      <w:r>
        <w:rPr>
          <w:rFonts w:ascii="Arial" w:cs="Arial" w:eastAsia="Arial" w:hAnsi="Arial"/>
          <w:sz w:val="17"/>
          <w:szCs w:val="17"/>
          <w:color w:val="auto"/>
        </w:rPr>
        <w:t>”) to the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Agent no later than 5:00 p.m. (New York City time) one Business Day after the date of such Lender’s receipt of notice from the Administrative Agent regarding such prepayment. If a Lender fails to deliver a Rejection Notice to the Administrative Agent within the time frame specified above, any such failure will be deemed an acceptance of the total amount of such mandatory prepayment of Term Loans.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3" w:name="page124"/>
    <w:bookmarkEnd w:id="123"/>
    <w:p>
      <w:pPr>
        <w:ind w:left="640"/>
        <w:spacing w:after="0"/>
        <w:tabs>
          <w:tab w:leader="none" w:pos="12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Method and Place of Payment</w:t>
      </w:r>
      <w:r>
        <w:rPr>
          <w:rFonts w:ascii="Arial" w:cs="Arial" w:eastAsia="Arial" w:hAnsi="Arial"/>
          <w:sz w:val="16"/>
          <w:szCs w:val="16"/>
          <w:color w:val="auto"/>
        </w:rPr>
        <w:t>.</w:t>
      </w:r>
    </w:p>
    <w:p>
      <w:pPr>
        <w:spacing w:after="0" w:line="225" w:lineRule="exact"/>
        <w:rPr>
          <w:sz w:val="20"/>
          <w:szCs w:val="20"/>
          <w:color w:val="auto"/>
        </w:rPr>
      </w:pPr>
    </w:p>
    <w:p>
      <w:pPr>
        <w:ind w:left="-20" w:firstLine="656"/>
        <w:spacing w:after="0" w:line="269" w:lineRule="auto"/>
        <w:tabs>
          <w:tab w:leader="none" w:pos="123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Except as otherwise specifically provided herein, all payments under this Agreement shall be made by the Borrower, without set-off, counterclaim or deduction of any kind, to the Administrative Agent for the ratable account of the Lenders entitled thereto (or, in the case of the Swingline Loans to the Swingline Lender) or the Letter of Credit Issuer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(or, in the case of the Swingline Loans, at such office as the Swingline Lender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shall be made in the currency in which such Loans are denominated and all other payments under each Credit Document shall, unless otherwise specified in such Credit Document, be made in Dollars. The Administrative Agent will thereafter cause to be distributed on the same day (if payment was actually received by the Administrative Agent prior to 2:00 p.m. (New York City time) or, otherwise, on the next Business Day in the Administrative Agent’s sole discretion) like funds relating to the payment of principal or interest or Fees ratably to the Lenders entitled thereto.</w:t>
      </w:r>
    </w:p>
    <w:p>
      <w:pPr>
        <w:spacing w:after="0" w:line="179" w:lineRule="exact"/>
        <w:rPr>
          <w:rFonts w:ascii="Arial" w:cs="Arial" w:eastAsia="Arial" w:hAnsi="Arial"/>
          <w:sz w:val="17"/>
          <w:szCs w:val="17"/>
          <w:color w:val="auto"/>
        </w:rPr>
      </w:pPr>
    </w:p>
    <w:p>
      <w:pPr>
        <w:ind w:left="-20" w:right="20" w:firstLine="656"/>
        <w:spacing w:after="0" w:line="276" w:lineRule="auto"/>
        <w:tabs>
          <w:tab w:leader="none" w:pos="123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payments under this Agreement that are made later than 2:00 p.m. (New York City time) may be deemed to have been made on the next succeeding Business Day in the Administrative Agent’s sole discretion for purposes of calculating interest thereon (or, in the case of the Swingline Loans, at the Swingline Lender’s sole discretion).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Net Payments</w:t>
      </w:r>
      <w:r>
        <w:rPr>
          <w:rFonts w:ascii="Arial" w:cs="Arial" w:eastAsia="Arial" w:hAnsi="Arial"/>
          <w:sz w:val="16"/>
          <w:szCs w:val="16"/>
          <w:color w:val="auto"/>
        </w:rPr>
        <w:t>.</w:t>
      </w:r>
    </w:p>
    <w:p>
      <w:pPr>
        <w:spacing w:after="0" w:line="225" w:lineRule="exact"/>
        <w:rPr>
          <w:sz w:val="20"/>
          <w:szCs w:val="20"/>
          <w:color w:val="auto"/>
        </w:rPr>
      </w:pPr>
    </w:p>
    <w:p>
      <w:pPr>
        <w:ind w:left="1240" w:hanging="604"/>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225" w:lineRule="exact"/>
        <w:rPr>
          <w:sz w:val="20"/>
          <w:szCs w:val="20"/>
          <w:color w:val="auto"/>
        </w:rPr>
      </w:pPr>
    </w:p>
    <w:p>
      <w:pPr>
        <w:ind w:left="-20" w:right="420" w:firstLine="656"/>
        <w:spacing w:after="0" w:line="277" w:lineRule="auto"/>
        <w:tabs>
          <w:tab w:leader="none" w:pos="119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and all payments by or on account of any obligation of any Credit Party hereunder or under any other Credit Document shall to the extent permitted by applicable laws be made free and clear of and without reduction or withholding for any Taxes.</w:t>
      </w:r>
    </w:p>
    <w:p>
      <w:pPr>
        <w:spacing w:after="0" w:line="170" w:lineRule="exact"/>
        <w:rPr>
          <w:rFonts w:ascii="Arial" w:cs="Arial" w:eastAsia="Arial" w:hAnsi="Arial"/>
          <w:sz w:val="18"/>
          <w:szCs w:val="18"/>
          <w:color w:val="auto"/>
        </w:rPr>
      </w:pPr>
    </w:p>
    <w:p>
      <w:pPr>
        <w:ind w:left="-20" w:right="20" w:firstLine="656"/>
        <w:spacing w:after="0" w:line="291" w:lineRule="auto"/>
        <w:tabs>
          <w:tab w:leader="none" w:pos="125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If any Credit Party, the Administrative Agent or any other applicable Withholding Agent shall be required by applicable law to withhold or deduct any Taxes from any payment, then (A) such Withholding Agent shall withhold or make such deductions as are reasonably determined by such Withholding Agent to be required by applicable law, (B) such 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each Lender (or, in the case of a payment to the Administrative Agent for its own account, the Administrative Agent) receives an amount equal to the sum it would have received had no such withholding or deductions been made.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4" w:name="page125"/>
    <w:bookmarkEnd w:id="124"/>
    <w:p>
      <w:pPr>
        <w:ind w:left="-8" w:right="20" w:firstLine="656"/>
        <w:spacing w:after="0" w:line="264" w:lineRule="auto"/>
        <w:tabs>
          <w:tab w:leader="none" w:pos="1255"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any Other Taxes to the relevant Governmental Authority in accordance with applicable law or timely reimburse the Administrative Agent or any Lender for the payment of any Other Taxes.</w:t>
      </w:r>
    </w:p>
    <w:p>
      <w:pPr>
        <w:spacing w:after="0" w:line="181" w:lineRule="exact"/>
        <w:rPr>
          <w:rFonts w:ascii="Arial" w:cs="Arial" w:eastAsia="Arial" w:hAnsi="Arial"/>
          <w:sz w:val="18"/>
          <w:szCs w:val="18"/>
          <w:color w:val="auto"/>
        </w:rPr>
      </w:pPr>
    </w:p>
    <w:p>
      <w:pPr>
        <w:ind w:left="-8" w:right="40" w:firstLine="656"/>
        <w:spacing w:after="0" w:line="288" w:lineRule="auto"/>
        <w:tabs>
          <w:tab w:leader="none" w:pos="1245"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Without limiting the provisions of subsection (a) or (b) above, the Borrower shall indemnify the Administrative Agent and each Lender, and shall make payment in respect thereof within 15 days after demand therefor, for the full amount of Indemnified Taxes or Other Taxes (including Indemnified Taxes or Other Taxes imposed or asserted on or attributable to amounts payable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payable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w:t>
      </w:r>
    </w:p>
    <w:p>
      <w:pPr>
        <w:spacing w:after="0" w:line="169" w:lineRule="exact"/>
        <w:rPr>
          <w:rFonts w:ascii="Arial" w:cs="Arial" w:eastAsia="Arial" w:hAnsi="Arial"/>
          <w:sz w:val="16"/>
          <w:szCs w:val="16"/>
          <w:color w:val="auto"/>
        </w:rPr>
      </w:pPr>
    </w:p>
    <w:p>
      <w:pPr>
        <w:ind w:left="-8" w:firstLine="656"/>
        <w:spacing w:after="0" w:line="302" w:lineRule="auto"/>
        <w:tabs>
          <w:tab w:leader="none" w:pos="1255"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After any payment of Taxes by any Credit Party or the Administrative Agent to a Governmental Authority as provided in this </w:t>
      </w:r>
      <w:r>
        <w:rPr>
          <w:rFonts w:ascii="Arial" w:cs="Arial" w:eastAsia="Arial" w:hAnsi="Arial"/>
          <w:sz w:val="16"/>
          <w:szCs w:val="16"/>
          <w:u w:val="single" w:color="auto"/>
          <w:color w:val="auto"/>
        </w:rPr>
        <w:t>Section 5.4</w:t>
      </w:r>
      <w:r>
        <w:rPr>
          <w:rFonts w:ascii="Arial" w:cs="Arial" w:eastAsia="Arial" w:hAnsi="Arial"/>
          <w:sz w:val="16"/>
          <w:szCs w:val="16"/>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54" w:lineRule="exact"/>
        <w:rPr>
          <w:rFonts w:ascii="Arial" w:cs="Arial" w:eastAsia="Arial" w:hAnsi="Arial"/>
          <w:sz w:val="16"/>
          <w:szCs w:val="16"/>
          <w:color w:val="auto"/>
        </w:rPr>
      </w:pPr>
    </w:p>
    <w:p>
      <w:pPr>
        <w:ind w:left="1252" w:hanging="604"/>
        <w:spacing w:after="0"/>
        <w:tabs>
          <w:tab w:leader="none" w:pos="125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Status of Lenders and Tax Documentation</w:t>
      </w:r>
      <w:r>
        <w:rPr>
          <w:rFonts w:ascii="Arial" w:cs="Arial" w:eastAsia="Arial" w:hAnsi="Arial"/>
          <w:sz w:val="18"/>
          <w:szCs w:val="18"/>
          <w:color w:val="auto"/>
        </w:rPr>
        <w:t>.</w:t>
      </w:r>
    </w:p>
    <w:p>
      <w:pPr>
        <w:spacing w:after="0" w:line="225" w:lineRule="exact"/>
        <w:rPr>
          <w:sz w:val="20"/>
          <w:szCs w:val="20"/>
          <w:color w:val="auto"/>
        </w:rPr>
      </w:pPr>
    </w:p>
    <w:p>
      <w:pPr>
        <w:ind w:left="-8" w:firstLine="656"/>
        <w:spacing w:after="0" w:line="286" w:lineRule="auto"/>
        <w:tabs>
          <w:tab w:leader="none" w:pos="12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w:t>
      </w:r>
    </w:p>
    <w:p>
      <w:pPr>
        <w:spacing w:after="0" w:line="1" w:lineRule="exact"/>
        <w:rPr>
          <w:rFonts w:ascii="Arial" w:cs="Arial" w:eastAsia="Arial" w:hAnsi="Arial"/>
          <w:sz w:val="16"/>
          <w:szCs w:val="16"/>
          <w:color w:val="auto"/>
        </w:rPr>
      </w:pPr>
    </w:p>
    <w:p>
      <w:pPr>
        <w:ind w:left="-8" w:right="140" w:firstLine="8"/>
        <w:spacing w:after="0" w:line="287" w:lineRule="auto"/>
        <w:tabs>
          <w:tab w:leader="none" w:pos="27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Any documentation and information required to be delivered by a Lender pursuant to this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(including any specific documentation set forth in subsection (ii) below) shall be delivered by such Lender (i) on or prior to the Restatement Effective Date (or on or prior to the date it becomes a party to this Agreement), (ii) on or before any date on which such documentation expires or becomes obsolete or invalid, (iii)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w:t>
      </w:r>
    </w:p>
    <w:p>
      <w:pPr>
        <w:spacing w:after="0" w:line="170" w:lineRule="exact"/>
        <w:rPr>
          <w:rFonts w:ascii="Arial" w:cs="Arial" w:eastAsia="Arial" w:hAnsi="Arial"/>
          <w:sz w:val="16"/>
          <w:szCs w:val="16"/>
          <w:color w:val="auto"/>
        </w:rPr>
      </w:pPr>
    </w:p>
    <w:p>
      <w:pPr>
        <w:ind w:left="1232" w:hanging="584"/>
        <w:spacing w:after="0"/>
        <w:tabs>
          <w:tab w:leader="none" w:pos="123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1" w:lineRule="exact"/>
        <w:rPr>
          <w:rFonts w:ascii="Arial" w:cs="Arial" w:eastAsia="Arial" w:hAnsi="Arial"/>
          <w:sz w:val="18"/>
          <w:szCs w:val="18"/>
          <w:color w:val="auto"/>
        </w:rPr>
      </w:pPr>
    </w:p>
    <w:p>
      <w:pPr>
        <w:ind w:left="652" w:right="40" w:firstLine="645"/>
        <w:spacing w:after="0" w:line="258" w:lineRule="auto"/>
        <w:tabs>
          <w:tab w:leader="none" w:pos="191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any Lender that is a “United States person” within the meaning of Section 7701(a)(30) of the Code (a “</w:t>
      </w:r>
      <w:r>
        <w:rPr>
          <w:rFonts w:ascii="Arial" w:cs="Arial" w:eastAsia="Arial" w:hAnsi="Arial"/>
          <w:sz w:val="18"/>
          <w:szCs w:val="18"/>
          <w:b w:val="1"/>
          <w:bCs w:val="1"/>
          <w:color w:val="auto"/>
        </w:rPr>
        <w:t>U.S. Lender</w:t>
      </w:r>
      <w:r>
        <w:rPr>
          <w:rFonts w:ascii="Arial" w:cs="Arial" w:eastAsia="Arial" w:hAnsi="Arial"/>
          <w:sz w:val="18"/>
          <w:szCs w:val="18"/>
          <w:color w:val="auto"/>
        </w:rPr>
        <w:t>”) shall deliver to the Borrower and the Administrative Agent executed originals of Internal Revenue Service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25" w:name="page126"/>
    <w:bookmarkEnd w:id="125"/>
    <w:p>
      <w:pPr>
        <w:ind w:left="-540" w:right="260" w:firstLine="645"/>
        <w:spacing w:after="0" w:line="286" w:lineRule="auto"/>
        <w:tabs>
          <w:tab w:leader="none" w:pos="70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each Non-U.S. Lender that is entitled under the Code or any applicable treaty to an exemption from or reduction of U.S. federal withholding tax with respect to any payments hereunder or under any other Credit Document shall deliver to the Borrower and the Administrative Agent (in such number of copies as shall be requested by the recipient) whichever of the following is applicable:</w:t>
      </w:r>
    </w:p>
    <w:p>
      <w:pPr>
        <w:spacing w:after="0" w:line="165" w:lineRule="exact"/>
        <w:rPr>
          <w:rFonts w:ascii="Arial" w:cs="Arial" w:eastAsia="Arial" w:hAnsi="Arial"/>
          <w:sz w:val="17"/>
          <w:szCs w:val="17"/>
          <w:color w:val="auto"/>
        </w:rPr>
      </w:pPr>
    </w:p>
    <w:p>
      <w:pPr>
        <w:ind w:left="100" w:right="580" w:firstLine="653"/>
        <w:spacing w:after="0" w:line="277" w:lineRule="auto"/>
        <w:tabs>
          <w:tab w:leader="none" w:pos="1273" w:val="left"/>
        </w:tabs>
        <w:numPr>
          <w:ilvl w:val="1"/>
          <w:numId w:val="116"/>
        </w:numPr>
        <w:rPr>
          <w:rFonts w:ascii="Arial" w:cs="Arial" w:eastAsia="Arial" w:hAnsi="Arial"/>
          <w:sz w:val="18"/>
          <w:szCs w:val="18"/>
          <w:color w:val="010000"/>
        </w:rPr>
      </w:pPr>
      <w:r>
        <w:rPr>
          <w:rFonts w:ascii="Arial" w:cs="Arial" w:eastAsia="Arial" w:hAnsi="Arial"/>
          <w:sz w:val="18"/>
          <w:szCs w:val="18"/>
          <w:color w:val="auto"/>
        </w:rPr>
        <w:t>executed originals of Internal Revenue Service Form W-8BEN or W-8BEN-E, as applicable, (or any successor form thereto) claiming eligibility for benefits of an income tax treaty to which the United States is a party;</w:t>
      </w:r>
    </w:p>
    <w:p>
      <w:pPr>
        <w:spacing w:after="0" w:line="170" w:lineRule="exact"/>
        <w:rPr>
          <w:rFonts w:ascii="Arial" w:cs="Arial" w:eastAsia="Arial" w:hAnsi="Arial"/>
          <w:sz w:val="18"/>
          <w:szCs w:val="18"/>
          <w:color w:val="010000"/>
        </w:rPr>
      </w:pPr>
    </w:p>
    <w:p>
      <w:pPr>
        <w:ind w:left="1280" w:hanging="527"/>
        <w:spacing w:after="0"/>
        <w:tabs>
          <w:tab w:leader="none" w:pos="1280" w:val="left"/>
        </w:tabs>
        <w:numPr>
          <w:ilvl w:val="1"/>
          <w:numId w:val="116"/>
        </w:numPr>
        <w:rPr>
          <w:rFonts w:ascii="Arial" w:cs="Arial" w:eastAsia="Arial" w:hAnsi="Arial"/>
          <w:sz w:val="18"/>
          <w:szCs w:val="18"/>
          <w:color w:val="010000"/>
        </w:rPr>
      </w:pPr>
      <w:r>
        <w:rPr>
          <w:rFonts w:ascii="Arial" w:cs="Arial" w:eastAsia="Arial" w:hAnsi="Arial"/>
          <w:sz w:val="18"/>
          <w:szCs w:val="18"/>
          <w:color w:val="auto"/>
        </w:rPr>
        <w:t>executed originals of Internal Revenue Service Form W-8ECI (or any successor form thereto);</w:t>
      </w:r>
    </w:p>
    <w:p>
      <w:pPr>
        <w:spacing w:after="0" w:line="225" w:lineRule="exact"/>
        <w:rPr>
          <w:rFonts w:ascii="Arial" w:cs="Arial" w:eastAsia="Arial" w:hAnsi="Arial"/>
          <w:sz w:val="18"/>
          <w:szCs w:val="18"/>
          <w:color w:val="010000"/>
        </w:rPr>
      </w:pPr>
    </w:p>
    <w:p>
      <w:pPr>
        <w:ind w:left="100" w:right="60" w:firstLine="653"/>
        <w:spacing w:after="0" w:line="286" w:lineRule="auto"/>
        <w:tabs>
          <w:tab w:leader="none" w:pos="1273" w:val="left"/>
        </w:tabs>
        <w:numPr>
          <w:ilvl w:val="1"/>
          <w:numId w:val="116"/>
        </w:numPr>
        <w:rPr>
          <w:rFonts w:ascii="Arial" w:cs="Arial" w:eastAsia="Arial" w:hAnsi="Arial"/>
          <w:sz w:val="16"/>
          <w:szCs w:val="16"/>
          <w:color w:val="010000"/>
        </w:rPr>
      </w:pPr>
      <w:r>
        <w:rPr>
          <w:rFonts w:ascii="Arial" w:cs="Arial" w:eastAsia="Arial" w:hAnsi="Arial"/>
          <w:sz w:val="16"/>
          <w:szCs w:val="16"/>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w:t>
      </w:r>
      <w:r>
        <w:rPr>
          <w:rFonts w:ascii="Arial" w:cs="Arial" w:eastAsia="Arial" w:hAnsi="Arial"/>
          <w:sz w:val="16"/>
          <w:szCs w:val="16"/>
          <w:u w:val="single" w:color="auto"/>
          <w:color w:val="auto"/>
        </w:rPr>
        <w:t>J-2</w:t>
      </w:r>
      <w:r>
        <w:rPr>
          <w:rFonts w:ascii="Arial" w:cs="Arial" w:eastAsia="Arial" w:hAnsi="Arial"/>
          <w:sz w:val="16"/>
          <w:szCs w:val="16"/>
          <w:color w:val="auto"/>
        </w:rPr>
        <w:t xml:space="preserve">, </w:t>
      </w:r>
      <w:r>
        <w:rPr>
          <w:rFonts w:ascii="Arial" w:cs="Arial" w:eastAsia="Arial" w:hAnsi="Arial"/>
          <w:sz w:val="16"/>
          <w:szCs w:val="16"/>
          <w:u w:val="single" w:color="auto"/>
          <w:color w:val="auto"/>
        </w:rPr>
        <w:t>J-3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J-4</w:t>
      </w:r>
      <w:r>
        <w:rPr>
          <w:rFonts w:ascii="Arial" w:cs="Arial" w:eastAsia="Arial" w:hAnsi="Arial"/>
          <w:sz w:val="16"/>
          <w:szCs w:val="16"/>
          <w:color w:val="auto"/>
        </w:rPr>
        <w:t>, as applicable, (a “</w:t>
      </w:r>
      <w:r>
        <w:rPr>
          <w:rFonts w:ascii="Arial" w:cs="Arial" w:eastAsia="Arial" w:hAnsi="Arial"/>
          <w:sz w:val="16"/>
          <w:szCs w:val="16"/>
          <w:b w:val="1"/>
          <w:bCs w:val="1"/>
          <w:color w:val="auto"/>
        </w:rPr>
        <w:t>Non-Bank Tax Certificate</w:t>
      </w:r>
      <w:r>
        <w:rPr>
          <w:rFonts w:ascii="Arial" w:cs="Arial" w:eastAsia="Arial" w:hAnsi="Arial"/>
          <w:sz w:val="16"/>
          <w:szCs w:val="16"/>
          <w:color w:val="auto"/>
        </w:rPr>
        <w:t>”), to the effect that such Non-U.S. Lender is not (A) a “bank” within the meaning of Section 881(c)(3)(A) of the Code, (B) a “10 percent shareholder” of the Borrower within the meaning of Section 881(c)(3)(B) of the Code, or (C) a “controlled foreign corporation” described in Section 881(c)</w:t>
      </w:r>
    </w:p>
    <w:p>
      <w:pPr>
        <w:spacing w:after="0" w:line="1" w:lineRule="exact"/>
        <w:rPr>
          <w:rFonts w:ascii="Arial" w:cs="Arial" w:eastAsia="Arial" w:hAnsi="Arial"/>
          <w:sz w:val="16"/>
          <w:szCs w:val="16"/>
          <w:color w:val="010000"/>
        </w:rPr>
      </w:pPr>
    </w:p>
    <w:p>
      <w:pPr>
        <w:ind w:left="100" w:right="100"/>
        <w:spacing w:after="0" w:line="255" w:lineRule="auto"/>
        <w:rPr>
          <w:rFonts w:ascii="Arial" w:cs="Arial" w:eastAsia="Arial" w:hAnsi="Arial"/>
          <w:sz w:val="16"/>
          <w:szCs w:val="16"/>
          <w:color w:val="010000"/>
        </w:rPr>
      </w:pPr>
      <w:r>
        <w:rPr>
          <w:rFonts w:ascii="Arial" w:cs="Arial" w:eastAsia="Arial" w:hAnsi="Arial"/>
          <w:sz w:val="18"/>
          <w:szCs w:val="18"/>
          <w:color w:val="auto"/>
        </w:rPr>
        <w:t>(3)(C) of the Code and that no payments under any Credit Document are effectively connected with such Non-U.S. Lender’s conduct of a United States trade or business and (y) executed originals of Internal Revenue Service Form W-8BEN or W-8BEN-E, as applicable (or any successor thereto);</w:t>
      </w:r>
    </w:p>
    <w:p>
      <w:pPr>
        <w:spacing w:after="0" w:line="190" w:lineRule="exact"/>
        <w:rPr>
          <w:rFonts w:ascii="Arial" w:cs="Arial" w:eastAsia="Arial" w:hAnsi="Arial"/>
          <w:sz w:val="16"/>
          <w:szCs w:val="16"/>
          <w:color w:val="010000"/>
        </w:rPr>
      </w:pPr>
    </w:p>
    <w:p>
      <w:pPr>
        <w:ind w:left="100" w:right="20" w:firstLine="653"/>
        <w:spacing w:after="0" w:line="276" w:lineRule="auto"/>
        <w:tabs>
          <w:tab w:leader="none" w:pos="1273" w:val="left"/>
        </w:tabs>
        <w:numPr>
          <w:ilvl w:val="1"/>
          <w:numId w:val="116"/>
        </w:numPr>
        <w:rPr>
          <w:rFonts w:ascii="Arial" w:cs="Arial" w:eastAsia="Arial" w:hAnsi="Arial"/>
          <w:sz w:val="17"/>
          <w:szCs w:val="17"/>
          <w:color w:val="010000"/>
        </w:rPr>
      </w:pPr>
      <w:r>
        <w:rPr>
          <w:rFonts w:ascii="Arial" w:cs="Arial" w:eastAsia="Arial" w:hAnsi="Arial"/>
          <w:sz w:val="17"/>
          <w:szCs w:val="17"/>
          <w:color w:val="auto"/>
        </w:rPr>
        <w:t>where such Lender is a partnership (for U.S. federal income tax purposes) or otherwise not a beneficial owner (e.g., where such Lender has sold a participation), IRS Form W-8IMY (or any successor thereto) and all required supporting documentation (including, where one or more of the underlying beneficial owner(s) is claiming the benefits of the portfolio interest exemption, a Non-Bank Tax Certificate of such beneficial owner(s))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Non-U.S. Lender is a partnership and not a participating Lender, the Non-Bank Tax Certificate(s) may be provided by the Non-U.S. Lender on behalf of the direct or indirect partner(s)); or</w:t>
      </w:r>
    </w:p>
    <w:p>
      <w:pPr>
        <w:spacing w:after="0" w:line="172" w:lineRule="exact"/>
        <w:rPr>
          <w:rFonts w:ascii="Arial" w:cs="Arial" w:eastAsia="Arial" w:hAnsi="Arial"/>
          <w:sz w:val="17"/>
          <w:szCs w:val="17"/>
          <w:color w:val="010000"/>
        </w:rPr>
      </w:pPr>
    </w:p>
    <w:p>
      <w:pPr>
        <w:ind w:left="100" w:right="60" w:firstLine="653"/>
        <w:spacing w:after="0" w:line="286" w:lineRule="auto"/>
        <w:tabs>
          <w:tab w:leader="none" w:pos="1273" w:val="left"/>
        </w:tabs>
        <w:numPr>
          <w:ilvl w:val="1"/>
          <w:numId w:val="116"/>
        </w:numPr>
        <w:rPr>
          <w:rFonts w:ascii="Arial" w:cs="Arial" w:eastAsia="Arial" w:hAnsi="Arial"/>
          <w:sz w:val="17"/>
          <w:szCs w:val="17"/>
          <w:color w:val="010000"/>
        </w:rPr>
      </w:pPr>
      <w:r>
        <w:rPr>
          <w:rFonts w:ascii="Arial" w:cs="Arial" w:eastAsia="Arial" w:hAnsi="Arial"/>
          <w:sz w:val="17"/>
          <w:szCs w:val="17"/>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65" w:lineRule="exact"/>
        <w:rPr>
          <w:rFonts w:ascii="Arial" w:cs="Arial" w:eastAsia="Arial" w:hAnsi="Arial"/>
          <w:sz w:val="17"/>
          <w:szCs w:val="17"/>
          <w:color w:val="010000"/>
        </w:rPr>
      </w:pPr>
    </w:p>
    <w:p>
      <w:pPr>
        <w:ind w:left="-540" w:firstLine="645"/>
        <w:spacing w:after="0" w:line="290" w:lineRule="auto"/>
        <w:tabs>
          <w:tab w:leader="none" w:pos="70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Arial" w:cs="Arial" w:eastAsia="Arial" w:hAnsi="Arial"/>
          <w:sz w:val="16"/>
          <w:szCs w:val="16"/>
          <w:u w:val="single" w:color="auto"/>
          <w:color w:val="auto"/>
        </w:rPr>
        <w:t>clause (C)</w:t>
      </w:r>
      <w:r>
        <w:rPr>
          <w:rFonts w:ascii="Arial" w:cs="Arial" w:eastAsia="Arial" w:hAnsi="Arial"/>
          <w:sz w:val="16"/>
          <w:szCs w:val="16"/>
          <w:color w:val="auto"/>
        </w:rPr>
        <w:t>, “FATCA” shall include any amendments made to FATCA after the date of this Agreement; and</w:t>
      </w:r>
    </w:p>
    <w:p>
      <w:pPr>
        <w:spacing w:after="0" w:line="166" w:lineRule="exact"/>
        <w:rPr>
          <w:rFonts w:ascii="Arial" w:cs="Arial" w:eastAsia="Arial" w:hAnsi="Arial"/>
          <w:sz w:val="16"/>
          <w:szCs w:val="16"/>
          <w:color w:val="auto"/>
        </w:rPr>
      </w:pPr>
    </w:p>
    <w:p>
      <w:pPr>
        <w:ind w:left="-540" w:right="120" w:firstLine="645"/>
        <w:spacing w:after="0" w:line="259" w:lineRule="auto"/>
        <w:tabs>
          <w:tab w:leader="none" w:pos="71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Administrative Agent is a “United States person” (as defined in Section 7701(a)(30) of the Code), it shall provide the Borrower with two duly completed original copies of Internal Revenue Service Form W-9. If the Administrative Agent is not a “United States person” (as defined in Section 7701(a)(3) of the Code), it shall provide applicable Form W-8 (together with required accompanying documentation) with respect to payments to be received by it on behalf of the Lenders.</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6" w:name="page127"/>
    <w:bookmarkEnd w:id="126"/>
    <w:p>
      <w:pPr>
        <w:ind w:left="-20" w:right="700" w:firstLine="656"/>
        <w:spacing w:after="0" w:line="277" w:lineRule="auto"/>
        <w:tabs>
          <w:tab w:leader="none" w:pos="121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5.4</w:t>
      </w:r>
      <w:r>
        <w:rPr>
          <w:rFonts w:ascii="Arial" w:cs="Arial" w:eastAsia="Arial" w:hAnsi="Arial"/>
          <w:sz w:val="18"/>
          <w:szCs w:val="18"/>
          <w:color w:val="auto"/>
        </w:rPr>
        <w:t>, no Lender or the Administrative Agent shall be required to deliver any documentation that it is not legally eligible to deliver.</w:t>
      </w:r>
    </w:p>
    <w:p>
      <w:pPr>
        <w:spacing w:after="0" w:line="170" w:lineRule="exact"/>
        <w:rPr>
          <w:sz w:val="20"/>
          <w:szCs w:val="20"/>
          <w:color w:val="auto"/>
        </w:rPr>
      </w:pPr>
    </w:p>
    <w:p>
      <w:pPr>
        <w:ind w:left="-20" w:firstLine="656"/>
        <w:spacing w:after="0" w:line="285" w:lineRule="auto"/>
        <w:tabs>
          <w:tab w:leader="none" w:pos="1213"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Lender may delete any information therein that it deems confidential). Notwithstanding anything to the contrary in this paragraph (f), in no event will the Administrative Agent or any Lender be required to pay any amount to an indemnifying party pursuant to this paragraph (f) the payment of which would place the Administrative Agent or any Lender in a less favorable net after-Tax position than the Administrative Agent or any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the Administrative Agent or any Lender to make available its Tax returns (or any other information relating to its Taxes that it deems confidential) to any Credit Party or any other Person.</w:t>
      </w:r>
    </w:p>
    <w:p>
      <w:pPr>
        <w:spacing w:after="0" w:line="175" w:lineRule="exact"/>
        <w:rPr>
          <w:rFonts w:ascii="Arial" w:cs="Arial" w:eastAsia="Arial" w:hAnsi="Arial"/>
          <w:sz w:val="16"/>
          <w:szCs w:val="16"/>
          <w:color w:val="auto"/>
        </w:rPr>
      </w:pPr>
    </w:p>
    <w:p>
      <w:pPr>
        <w:ind w:left="-20" w:right="500" w:firstLine="656"/>
        <w:spacing w:after="0" w:line="277" w:lineRule="auto"/>
        <w:tabs>
          <w:tab w:leader="none" w:pos="12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For the avoidance of doubt, for purposes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term “Lender” includes any Letter of Credit Issuer and any Swingline Lender and the term “applicable law” includes FATCA.</w:t>
      </w:r>
    </w:p>
    <w:p>
      <w:pPr>
        <w:spacing w:after="0" w:line="170" w:lineRule="exact"/>
        <w:rPr>
          <w:rFonts w:ascii="Arial" w:cs="Arial" w:eastAsia="Arial" w:hAnsi="Arial"/>
          <w:sz w:val="18"/>
          <w:szCs w:val="18"/>
          <w:color w:val="auto"/>
        </w:rPr>
      </w:pPr>
    </w:p>
    <w:p>
      <w:pPr>
        <w:ind w:left="-20" w:right="180" w:firstLine="656"/>
        <w:spacing w:after="0" w:line="264" w:lineRule="auto"/>
        <w:tabs>
          <w:tab w:leader="none" w:pos="12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Credit Documents.</w:t>
      </w:r>
    </w:p>
    <w:p>
      <w:pPr>
        <w:spacing w:after="0" w:line="18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Computations of Interest and Fees</w:t>
      </w:r>
      <w:r>
        <w:rPr>
          <w:rFonts w:ascii="Arial" w:cs="Arial" w:eastAsia="Arial" w:hAnsi="Arial"/>
          <w:sz w:val="16"/>
          <w:szCs w:val="16"/>
          <w:color w:val="auto"/>
        </w:rPr>
        <w:t>.</w:t>
      </w:r>
    </w:p>
    <w:p>
      <w:pPr>
        <w:spacing w:after="0" w:line="225" w:lineRule="exact"/>
        <w:rPr>
          <w:sz w:val="20"/>
          <w:szCs w:val="20"/>
          <w:color w:val="auto"/>
        </w:rPr>
      </w:pPr>
    </w:p>
    <w:p>
      <w:pPr>
        <w:ind w:left="-20" w:right="460" w:firstLine="656"/>
        <w:spacing w:after="0" w:line="342" w:lineRule="auto"/>
        <w:tabs>
          <w:tab w:leader="none" w:pos="123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Except as provided in the next succeeding sentence, interest on LIBOR Loans shall be calculated on the basis of a 360-day year for the actual days elapsed. Interest on ABR Loans shall be calculated on the basis of a 365- (or 366-, as the case may be) day year for the actual days elapsed.</w:t>
      </w:r>
    </w:p>
    <w:p>
      <w:pPr>
        <w:spacing w:after="0" w:line="123" w:lineRule="exact"/>
        <w:rPr>
          <w:rFonts w:ascii="Arial" w:cs="Arial" w:eastAsia="Arial" w:hAnsi="Arial"/>
          <w:sz w:val="16"/>
          <w:szCs w:val="16"/>
          <w:color w:val="auto"/>
        </w:rPr>
      </w:pPr>
    </w:p>
    <w:p>
      <w:pPr>
        <w:ind w:left="1260" w:hanging="624"/>
        <w:spacing w:after="0"/>
        <w:tabs>
          <w:tab w:leader="none" w:pos="12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Fees and the average daily Stated Amount of Letters of Credit shall be calculated on the basis of a 360-day year for the actual days elapsed.</w:t>
      </w:r>
    </w:p>
    <w:p>
      <w:pPr>
        <w:spacing w:after="0" w:line="24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5.6</w:t>
      </w:r>
      <w:r>
        <w:rPr>
          <w:rFonts w:ascii="Arial" w:cs="Arial" w:eastAsia="Arial" w:hAnsi="Arial"/>
          <w:sz w:val="16"/>
          <w:szCs w:val="16"/>
          <w:u w:val="single" w:color="auto"/>
          <w:color w:val="auto"/>
        </w:rPr>
        <w:t>Limit on Rate of Interest</w:t>
      </w:r>
      <w:r>
        <w:rPr>
          <w:rFonts w:ascii="Arial" w:cs="Arial" w:eastAsia="Arial" w:hAnsi="Arial"/>
          <w:sz w:val="16"/>
          <w:szCs w:val="16"/>
          <w:color w:val="auto"/>
        </w:rPr>
        <w:t>.</w:t>
      </w:r>
    </w:p>
    <w:p>
      <w:pPr>
        <w:spacing w:after="0" w:line="225" w:lineRule="exact"/>
        <w:rPr>
          <w:sz w:val="20"/>
          <w:szCs w:val="20"/>
          <w:color w:val="auto"/>
        </w:rPr>
      </w:pPr>
    </w:p>
    <w:p>
      <w:pPr>
        <w:ind w:left="-20" w:right="300" w:firstLine="656"/>
        <w:spacing w:after="0" w:line="264" w:lineRule="auto"/>
        <w:tabs>
          <w:tab w:leader="none" w:pos="1233"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 Payment Shall Exceed Lawful Rate</w:t>
      </w:r>
      <w:r>
        <w:rPr>
          <w:rFonts w:ascii="Arial" w:cs="Arial" w:eastAsia="Arial" w:hAnsi="Arial"/>
          <w:sz w:val="18"/>
          <w:szCs w:val="18"/>
          <w:color w:val="auto"/>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spacing w:after="0" w:line="181" w:lineRule="exact"/>
        <w:rPr>
          <w:rFonts w:ascii="Arial" w:cs="Arial" w:eastAsia="Arial" w:hAnsi="Arial"/>
          <w:sz w:val="18"/>
          <w:szCs w:val="18"/>
          <w:color w:val="auto"/>
        </w:rPr>
      </w:pPr>
    </w:p>
    <w:p>
      <w:pPr>
        <w:ind w:left="-20" w:right="160" w:firstLine="656"/>
        <w:spacing w:after="0" w:line="342" w:lineRule="auto"/>
        <w:tabs>
          <w:tab w:leader="none" w:pos="1243"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Payment at Highest Lawful Rate</w:t>
      </w:r>
      <w:r>
        <w:rPr>
          <w:rFonts w:ascii="Arial" w:cs="Arial" w:eastAsia="Arial" w:hAnsi="Arial"/>
          <w:sz w:val="16"/>
          <w:szCs w:val="16"/>
          <w:color w:val="auto"/>
        </w:rPr>
        <w:t xml:space="preserve">. If the Borrower is not obliged to make a payment that it would otherwise be required to make, as a result of </w:t>
      </w:r>
      <w:r>
        <w:rPr>
          <w:rFonts w:ascii="Arial" w:cs="Arial" w:eastAsia="Arial" w:hAnsi="Arial"/>
          <w:sz w:val="16"/>
          <w:szCs w:val="16"/>
          <w:u w:val="single" w:color="auto"/>
          <w:color w:val="auto"/>
        </w:rPr>
        <w:t>Section 5.6(a)</w:t>
      </w:r>
      <w:r>
        <w:rPr>
          <w:rFonts w:ascii="Arial" w:cs="Arial" w:eastAsia="Arial" w:hAnsi="Arial"/>
          <w:sz w:val="16"/>
          <w:szCs w:val="16"/>
          <w:color w:val="auto"/>
        </w:rPr>
        <w:t>, the Borrower shall make such payment to the maximum extent permitted by or consistent with applicable laws, rules, and regulations.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27" w:name="page128"/>
    <w:bookmarkEnd w:id="127"/>
    <w:p>
      <w:pPr>
        <w:ind w:right="120" w:firstLine="656"/>
        <w:spacing w:after="0" w:line="290" w:lineRule="auto"/>
        <w:tabs>
          <w:tab w:leader="none" w:pos="1253"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Adjustment if Any Payment Exceeds Lawful Rate</w:t>
      </w:r>
      <w:r>
        <w:rPr>
          <w:rFonts w:ascii="Arial" w:cs="Arial" w:eastAsia="Arial" w:hAnsi="Arial"/>
          <w:sz w:val="16"/>
          <w:szCs w:val="16"/>
          <w:color w:val="auto"/>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18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Conditions Precedent to Initial Borrowing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 of any Lender to make any Loan hereunder on the Restatement Effective Date is subject to the satisfaction of the following conditions precedent, except as otherwise agreed between the Borrower and the Administrative Agent.</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Credit Documents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Administrative Agent (or its counsel) shall have received the Restatement Agreement, executed and delivered by the Former Agent, each Lender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 each Letter of Credit Issuer, Holdings, the Borrower and each Guarantor.</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Collateral</w:t>
      </w:r>
      <w:r>
        <w:rPr>
          <w:rFonts w:ascii="Arial" w:cs="Arial" w:eastAsia="Arial" w:hAnsi="Arial"/>
          <w:sz w:val="16"/>
          <w:szCs w:val="16"/>
          <w:color w:val="auto"/>
        </w:rPr>
        <w:t>. Except for any items referred to on</w:t>
      </w:r>
      <w:r>
        <w:rPr>
          <w:rFonts w:ascii="Arial" w:cs="Arial" w:eastAsia="Arial" w:hAnsi="Arial"/>
          <w:sz w:val="16"/>
          <w:szCs w:val="16"/>
          <w:u w:val="single" w:color="auto"/>
          <w:color w:val="auto"/>
        </w:rPr>
        <w:t xml:space="preserve"> Schedule 9.14</w:t>
      </w:r>
      <w:r>
        <w:rPr>
          <w:rFonts w:ascii="Arial" w:cs="Arial" w:eastAsia="Arial" w:hAnsi="Arial"/>
          <w:sz w:val="16"/>
          <w:szCs w:val="16"/>
          <w:color w:val="auto"/>
        </w:rPr>
        <w:t>:</w:t>
      </w:r>
    </w:p>
    <w:p>
      <w:pPr>
        <w:spacing w:after="0" w:line="225" w:lineRule="exact"/>
        <w:rPr>
          <w:sz w:val="20"/>
          <w:szCs w:val="20"/>
          <w:color w:val="auto"/>
        </w:rPr>
      </w:pPr>
    </w:p>
    <w:p>
      <w:pPr>
        <w:ind w:left="1820" w:hanging="515"/>
        <w:spacing w:after="0"/>
        <w:tabs>
          <w:tab w:leader="none" w:pos="1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Collateral Agent shall have received updated schedules to the Security Agreement;</w:t>
      </w:r>
    </w:p>
    <w:p>
      <w:pPr>
        <w:spacing w:after="0" w:line="225" w:lineRule="exact"/>
        <w:rPr>
          <w:rFonts w:ascii="Arial" w:cs="Arial" w:eastAsia="Arial" w:hAnsi="Arial"/>
          <w:sz w:val="18"/>
          <w:szCs w:val="18"/>
          <w:color w:val="auto"/>
        </w:rPr>
      </w:pPr>
    </w:p>
    <w:p>
      <w:pPr>
        <w:ind w:left="660" w:right="360" w:firstLine="645"/>
        <w:spacing w:after="0" w:line="342" w:lineRule="auto"/>
        <w:tabs>
          <w:tab w:leader="none" w:pos="182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All outstanding equity interests in whatever form of the Borrower and each Restricted Subsidiary that is directly owned by or on behalf of any Credit Party and required to be pledged pursuant to the Security Documents shall have been pledged pursuant thereto;</w:t>
      </w:r>
    </w:p>
    <w:p>
      <w:pPr>
        <w:spacing w:after="0" w:line="123" w:lineRule="exact"/>
        <w:rPr>
          <w:rFonts w:ascii="Arial" w:cs="Arial" w:eastAsia="Arial" w:hAnsi="Arial"/>
          <w:sz w:val="16"/>
          <w:szCs w:val="16"/>
          <w:color w:val="auto"/>
        </w:rPr>
      </w:pPr>
    </w:p>
    <w:p>
      <w:pPr>
        <w:ind w:left="660" w:firstLine="645"/>
        <w:spacing w:after="0" w:line="259" w:lineRule="auto"/>
        <w:tabs>
          <w:tab w:leader="none" w:pos="1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Collateral Agent shall have received the certificates representing securities of the Borrower and of each Credit Party’s Wholly-Owned Restricted Subsidiaries that are Domestic Subsidiaries to the extent required to be delivered under the Security Documents and pledged under the Security Documents to the extent certificated, accompanied by instruments of transfer and undated stock powers or allonges endorsed in blank; and</w:t>
      </w:r>
    </w:p>
    <w:p>
      <w:pPr>
        <w:spacing w:after="0" w:line="186" w:lineRule="exact"/>
        <w:rPr>
          <w:rFonts w:ascii="Arial" w:cs="Arial" w:eastAsia="Arial" w:hAnsi="Arial"/>
          <w:sz w:val="18"/>
          <w:szCs w:val="18"/>
          <w:color w:val="auto"/>
        </w:rPr>
      </w:pPr>
    </w:p>
    <w:p>
      <w:pPr>
        <w:ind w:left="660" w:right="60" w:firstLine="645"/>
        <w:spacing w:after="0" w:line="264" w:lineRule="auto"/>
        <w:tabs>
          <w:tab w:leader="none" w:pos="182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Uniform Commercial Code financing statements (and amendments thereto)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(or its counsel) shall have received the executed legal opinion, in customary form, of (i) Simpson Thacher &amp; Bartlett LLP, special New York counsel to the Credit Parties and (ii) Kilpatrick Townsend &amp; Stockton LLP, special Georgia counsel to the Credit Parties. Holdings and the Borrower hereby instruct and agree to instruct the other Credit Parties to have such counsel deliver such legal opinions.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8" w:name="page129"/>
    <w:bookmarkEnd w:id="128"/>
    <w:p>
      <w:pPr>
        <w:ind w:right="20" w:firstLine="648"/>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Closing Certificates</w:t>
      </w:r>
      <w:r>
        <w:rPr>
          <w:rFonts w:ascii="Arial" w:cs="Arial" w:eastAsia="Arial" w:hAnsi="Arial"/>
          <w:sz w:val="18"/>
          <w:szCs w:val="18"/>
          <w:color w:val="auto"/>
        </w:rPr>
        <w:t xml:space="preserve">. The Administrative Agent (or its counsel) shall have received a certificate of (x) each of Holdings and the Borrower, dated the Restatement Effective Date,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with appropriate insertions, executed by any Authorized Officer (or in the case of Holdings any Director or authorized agent of Holdings) and the Secretary or any Assistant Secretary of Holdings or the Borrower (or in the case of Holdings any Director or authorized agent of Holdings), as applicable, and attaching the documents referred to in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(y) an Authorized Officer certifying compliance with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6.10</w:t>
      </w:r>
      <w:r>
        <w:rPr>
          <w:rFonts w:ascii="Arial" w:cs="Arial" w:eastAsia="Arial" w:hAnsi="Arial"/>
          <w:sz w:val="18"/>
          <w:szCs w:val="18"/>
          <w:color w:val="auto"/>
        </w:rPr>
        <w:t>.</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Authorization of Proceedings of the Credit Parties; Corporate Documents</w:t>
      </w:r>
      <w:r>
        <w:rPr>
          <w:rFonts w:ascii="Arial" w:cs="Arial" w:eastAsia="Arial" w:hAnsi="Arial"/>
          <w:sz w:val="17"/>
          <w:szCs w:val="17"/>
          <w:color w:val="auto"/>
        </w:rPr>
        <w:t>. The Administrative Agent shall have received (i) a copy of the resolutions of the board of directors or other managers of each Credit Party (or a duly authorized committee thereof) authorizing (a) the execution, delivery, and performance of the Credit Documents (and any agreements relating thereto) to which it is a party and (b) in the case of the Borrower, the extensions of credit contemplated hereunder, (ii) the Certificate of Incorporation and By-Laws, Certificate of Formation and Operating Agreement or other comparable organizational documents, as applicable, of each Credit Party, and (iii) signature and incumbency certificates (or other comparable documents evidencing the same) of the Authorized Officers of each Credit Party executing the Credit Documents to which it is a party.</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Fees</w:t>
      </w:r>
      <w:r>
        <w:rPr>
          <w:rFonts w:ascii="Arial" w:cs="Arial" w:eastAsia="Arial" w:hAnsi="Arial"/>
          <w:sz w:val="18"/>
          <w:szCs w:val="18"/>
          <w:color w:val="auto"/>
        </w:rPr>
        <w:t>. The Agents and Lenders shall have received, substantially simultaneously with the funding of the Term A Loans, fees and, to the extent invoiced at least three business days prior to the Restatement Effective Date (except as otherwise reasonably agreed by the Borrower) expenses in the amounts previously agreed in writing to be received on the Restatement Effective Date (which amounts may, at the Borrower’s option, be offset against the proceeds of the Term A Loans).</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Representations and Warranties; No Default</w:t>
      </w:r>
      <w:r>
        <w:rPr>
          <w:rFonts w:ascii="Arial" w:cs="Arial" w:eastAsia="Arial" w:hAnsi="Arial"/>
          <w:sz w:val="16"/>
          <w:szCs w:val="16"/>
          <w:color w:val="auto"/>
        </w:rPr>
        <w:t>. On the Restatement Effective Date, the condition set forth in Section 7.1 shall be satisfied.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On the Restatement Effective Date, the Administrative Agent shall have received a certificate from the Chief Executive Officer, President, the Chief Financial Officer, the Treasurer, the Vice President-Finance, a Director, a Manager, or any other senior financial officer of Holdings to the effect that after giving effect to the consummation of the Transactions, Holdings on a consolidated basis with the Restricted Subsidiaries is Solvent.</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u w:val="single" w:color="auto"/>
          <w:color w:val="auto"/>
        </w:rPr>
        <w:t>KYC Information</w:t>
      </w:r>
      <w:r>
        <w:rPr>
          <w:rFonts w:ascii="Arial" w:cs="Arial" w:eastAsia="Arial" w:hAnsi="Arial"/>
          <w:sz w:val="17"/>
          <w:szCs w:val="17"/>
          <w:color w:val="auto"/>
        </w:rPr>
        <w:t>.</w:t>
      </w:r>
    </w:p>
    <w:p>
      <w:pPr>
        <w:spacing w:after="0" w:line="225" w:lineRule="exact"/>
        <w:rPr>
          <w:sz w:val="20"/>
          <w:szCs w:val="20"/>
          <w:color w:val="auto"/>
        </w:rPr>
      </w:pPr>
    </w:p>
    <w:p>
      <w:pPr>
        <w:ind w:right="80" w:firstLine="656"/>
        <w:spacing w:after="0" w:line="286" w:lineRule="auto"/>
        <w:tabs>
          <w:tab w:leader="none" w:pos="125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Upon the reasonable request of any Lender made at least ten days prior to the Restatement Effective Date, the Borrower shall have provided to such Lender the documentation and other information so requested in connection with applicable “know your customer” and anti-money-laundering rules and regulations, including the PATRIOT Act, in each case at least three days prior to the Restatement Effective Date.</w:t>
      </w:r>
    </w:p>
    <w:p>
      <w:pPr>
        <w:spacing w:after="0" w:line="165" w:lineRule="exact"/>
        <w:rPr>
          <w:rFonts w:ascii="Arial" w:cs="Arial" w:eastAsia="Arial" w:hAnsi="Arial"/>
          <w:sz w:val="17"/>
          <w:szCs w:val="17"/>
          <w:color w:val="auto"/>
        </w:rPr>
      </w:pPr>
    </w:p>
    <w:p>
      <w:pPr>
        <w:ind w:right="560" w:firstLine="656"/>
        <w:spacing w:after="0" w:line="277" w:lineRule="auto"/>
        <w:tabs>
          <w:tab w:leader="none" w:pos="12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least three days prior to the Restatement Effective Date, if the Borrower qualifies as a “legal entity customer” under the Beneficial Ownership Regulation, the Borrower shall deliver a Beneficial Ownership Certification in relation to the Borrower.</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Refinancing</w:t>
      </w:r>
      <w:r>
        <w:rPr>
          <w:rFonts w:ascii="Arial" w:cs="Arial" w:eastAsia="Arial" w:hAnsi="Arial"/>
          <w:sz w:val="16"/>
          <w:szCs w:val="16"/>
          <w:color w:val="auto"/>
        </w:rPr>
        <w:t>. Substantially simultaneously with the funding of the Term A Loans, the Restatement Date Refinancing shall be consummated.</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Notice of Term Loan Borrowing</w:t>
      </w:r>
      <w:r>
        <w:rPr>
          <w:rFonts w:ascii="Arial" w:cs="Arial" w:eastAsia="Arial" w:hAnsi="Arial"/>
          <w:sz w:val="18"/>
          <w:szCs w:val="18"/>
          <w:color w:val="auto"/>
        </w:rPr>
        <w:t xml:space="preserve">. The Administrative Agent (or its counsel) shall have received a Notice of Borrowing with respect to the Term A Loan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For purposes of determining compliance with the conditions specified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on the Restatement Effective Date, each Lender that has signed the Restatement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9" w:name="page130"/>
    <w:bookmarkEnd w:id="129"/>
    <w:p>
      <w:pPr>
        <w:spacing w:after="0"/>
        <w:tabs>
          <w:tab w:leader="none" w:pos="13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Conditions Precedent to All Credit Events on and after the Restatement Effective Date</w:t>
      </w:r>
    </w:p>
    <w:p>
      <w:pPr>
        <w:spacing w:after="0" w:line="225"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the agreement of each Lender to make any Loan requested to be made by it on any date (excluding (i) Mandatory Borrowings and Revolving Credit Loans required to be made by the Revolving Credit Lenders in respect of Unpaid Drawings pursuant to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and</w:t>
      </w:r>
    </w:p>
    <w:p>
      <w:pPr>
        <w:ind w:right="80"/>
        <w:spacing w:after="0" w:line="261" w:lineRule="auto"/>
        <w:rPr>
          <w:sz w:val="20"/>
          <w:szCs w:val="20"/>
          <w:color w:val="auto"/>
        </w:rPr>
      </w:pPr>
      <w:r>
        <w:rPr>
          <w:rFonts w:ascii="Arial" w:cs="Arial" w:eastAsia="Arial" w:hAnsi="Arial"/>
          <w:sz w:val="18"/>
          <w:szCs w:val="18"/>
          <w:u w:val="single" w:color="auto"/>
          <w:color w:val="auto"/>
        </w:rPr>
        <w:t>3.4</w:t>
      </w:r>
      <w:r>
        <w:rPr>
          <w:rFonts w:ascii="Arial" w:cs="Arial" w:eastAsia="Arial" w:hAnsi="Arial"/>
          <w:sz w:val="18"/>
          <w:szCs w:val="18"/>
          <w:color w:val="auto"/>
        </w:rPr>
        <w:t xml:space="preserve"> and (ii) borrowings under </w:t>
      </w:r>
      <w:r>
        <w:rPr>
          <w:rFonts w:ascii="Arial" w:cs="Arial" w:eastAsia="Arial" w:hAnsi="Arial"/>
          <w:sz w:val="18"/>
          <w:szCs w:val="18"/>
          <w:u w:val="single" w:color="auto"/>
          <w:color w:val="auto"/>
        </w:rPr>
        <w:t>Sections 2.14</w:t>
      </w:r>
      <w:r>
        <w:rPr>
          <w:rFonts w:ascii="Arial" w:cs="Arial" w:eastAsia="Arial" w:hAnsi="Arial"/>
          <w:sz w:val="18"/>
          <w:szCs w:val="18"/>
          <w:color w:val="auto"/>
        </w:rPr>
        <w:t>) and the obligation of the Letter of Credit Issuer to issue Letters of Credit on any date on or after the Restatement Effective Date is subject to the satisfaction (or waiver) of the following conditions precedent:</w:t>
      </w:r>
    </w:p>
    <w:p>
      <w:pPr>
        <w:spacing w:after="0" w:line="18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Default; Representations and Warranties</w:t>
      </w:r>
      <w:r>
        <w:rPr>
          <w:rFonts w:ascii="Arial" w:cs="Arial" w:eastAsia="Arial" w:hAnsi="Arial"/>
          <w:sz w:val="17"/>
          <w:szCs w:val="17"/>
          <w:color w:val="auto"/>
        </w:rPr>
        <w:t xml:space="preserve">. At the time of each Credit Event and also after giving effect thereto (other than any Credit Event pursuant to any Loan made pursuant to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(which shall be subject to the terms of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(a) no Default or Event of Default shall have occurred and be continuing and (b) all representations and warranties made by any Credit Party contained herein or in the other Credit Documents shall be true and correct in all material respects (provided that any such representations and warranties which are qualified by materiality, material adverse effect or similar language 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(provided that any such representations and warranties which are qualified by materiality, material adverse effect or similar language shall be true and correct in all respects)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solely with respect to any Credit event pursuant to any Incremental Term Loan made pursuant to Section 2.14(a), in connection with a Permitted Acquisition or other Investment permitted hereunder, all representations and warranties shall be subject to customary Sungard and “funds certain” provisions as reasonably agreed by the Borrower and the Administrative Agent.</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Notice of Borrowing; Letter of Credit Request</w:t>
      </w:r>
      <w:r>
        <w:rPr>
          <w:rFonts w:ascii="Arial" w:cs="Arial" w:eastAsia="Arial" w:hAnsi="Arial"/>
          <w:sz w:val="16"/>
          <w:szCs w:val="16"/>
          <w:color w:val="auto"/>
        </w:rPr>
        <w:t>.</w:t>
      </w:r>
    </w:p>
    <w:p>
      <w:pPr>
        <w:spacing w:after="0" w:line="225" w:lineRule="exact"/>
        <w:rPr>
          <w:sz w:val="20"/>
          <w:szCs w:val="20"/>
          <w:color w:val="auto"/>
        </w:rPr>
      </w:pPr>
    </w:p>
    <w:p>
      <w:pPr>
        <w:ind w:right="500" w:firstLine="656"/>
        <w:spacing w:after="0" w:line="277" w:lineRule="auto"/>
        <w:tabs>
          <w:tab w:leader="none" w:pos="12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Prior to the making of each Term Loan after the Restatement Effective Date, the Administrative Agent shall have received a Notice of Borrowing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560" w:firstLine="656"/>
        <w:spacing w:after="0" w:line="308" w:lineRule="auto"/>
        <w:tabs>
          <w:tab w:leader="none" w:pos="126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Prior to the making of each Revolving Credit Loan (other than any Revolving Credit Loan made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each Swingline Loan, the Administrative Agent shall have received a Notice of Borrowing meeting the requirements of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120" w:firstLine="656"/>
        <w:spacing w:after="0" w:line="277" w:lineRule="auto"/>
        <w:tabs>
          <w:tab w:leader="none" w:pos="12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Prior to the issuance of each Letter of Credit, the Administrative Agent and the Letter of Credit Issuer shall have received a Letter of Credit Request meeting the requirements of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acceptance of the benefits of each Credit Event shall constitute a representation and warranty by each Credit Party to each of the Lenders that all the applicable conditions specified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above have been satisfied as of that time.</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u w:val="single" w:color="auto"/>
          <w:color w:val="auto"/>
        </w:rPr>
        <w:t>Representations and Warranties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order to induce the Lenders to enter into this Agreement, to make the Loans and issue or participate in Letters of Credit as provided for herein, Holdings and the Borrower make the following representations and warranties to the Lenders, all of which shall survive the execution and delivery of this Agreement and the making of the Loans and the issuance of the Letters of Credit (it being understood that the following representations and warranties shall be deemed made with respect to any Foreign Subsidiary only to the extent relevant under applicable law):</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Corporate Status</w:t>
      </w:r>
      <w:r>
        <w:rPr>
          <w:rFonts w:ascii="Arial" w:cs="Arial" w:eastAsia="Arial" w:hAnsi="Arial"/>
          <w:sz w:val="18"/>
          <w:szCs w:val="18"/>
          <w:color w:val="auto"/>
        </w:rPr>
        <w:t>. Each Credit Party (a) is a duly organized and validly existing corporation, limited liability company or other entity in good standing (if applicable) under the laws of the jurisdiction of its organization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0" w:name="page131"/>
    <w:bookmarkEnd w:id="130"/>
    <w:p>
      <w:pPr>
        <w:ind w:right="40" w:firstLine="648"/>
        <w:spacing w:after="0" w:line="27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Corporate Power and Authority</w:t>
      </w:r>
      <w:r>
        <w:rPr>
          <w:rFonts w:ascii="Arial" w:cs="Arial" w:eastAsia="Arial" w:hAnsi="Arial"/>
          <w:sz w:val="17"/>
          <w:szCs w:val="17"/>
          <w:color w:val="auto"/>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creation and perfection of security interests 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 thereof may be limited by bankruptcy, insolvency or similar laws affecting creditors’ rights generally and subject to general principles of equity.</w:t>
      </w:r>
    </w:p>
    <w:p>
      <w:pPr>
        <w:spacing w:after="0" w:line="1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Violation</w:t>
      </w:r>
      <w:r>
        <w:rPr>
          <w:rFonts w:ascii="Arial" w:cs="Arial" w:eastAsia="Arial" w:hAnsi="Arial"/>
          <w:sz w:val="17"/>
          <w:szCs w:val="17"/>
          <w:color w:val="auto"/>
        </w:rPr>
        <w:t>. Neither the execution, delivery or performance by any Credit Party of the Credit Documents to which it is a party nor compliance with the terms and provisions thereof and the other transactions contemplated hereby or thereby will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Arial" w:cs="Arial" w:eastAsia="Arial" w:hAnsi="Arial"/>
          <w:sz w:val="17"/>
          <w:szCs w:val="17"/>
          <w:b w:val="1"/>
          <w:bCs w:val="1"/>
          <w:color w:val="auto"/>
        </w:rPr>
        <w:t>Contractual Requirement</w:t>
      </w:r>
      <w:r>
        <w:rPr>
          <w:rFonts w:ascii="Arial" w:cs="Arial" w:eastAsia="Arial" w:hAnsi="Arial"/>
          <w:sz w:val="17"/>
          <w:szCs w:val="17"/>
          <w:color w:val="auto"/>
        </w:rPr>
        <w:t>”) other than any such breach, default or Lien that would not reasonably be expected to result in a Material Adverse Effect or (c) violate any provision of the certificate of incorporation, by-laws, articles or other organizational documents of such Credit Party or any of the Restricted Subsidiaries.</w:t>
      </w:r>
    </w:p>
    <w:p>
      <w:pPr>
        <w:spacing w:after="0" w:line="178"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or proceedings pending or, to the knowledge of Holdings or the Borrower, threatened in writing against Holdings, the Borrower or any of the Restricted Subsidiaries that would reasonably be expected to result in a Material Adverse Effect.</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Margin Regulations</w:t>
      </w:r>
      <w:r>
        <w:rPr>
          <w:rFonts w:ascii="Arial" w:cs="Arial" w:eastAsia="Arial" w:hAnsi="Arial"/>
          <w:sz w:val="18"/>
          <w:szCs w:val="18"/>
          <w:color w:val="auto"/>
        </w:rPr>
        <w:t>. Neither the making of any Loan hereunder nor the use of the proceeds thereof will violate the provisions of Regulation T, U or X of the Board.</w:t>
      </w:r>
    </w:p>
    <w:p>
      <w:pPr>
        <w:spacing w:after="0" w:line="170" w:lineRule="exact"/>
        <w:rPr>
          <w:sz w:val="20"/>
          <w:szCs w:val="20"/>
          <w:color w:val="auto"/>
        </w:rPr>
      </w:pPr>
    </w:p>
    <w:p>
      <w:pPr>
        <w:jc w:val="both"/>
        <w:ind w:right="160" w:firstLine="648"/>
        <w:spacing w:after="0" w:line="291"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The execution, delivery and performance of each Credit Document does not require any consent or approval of, registration or filing with, or other action by, any Governmental Authority, except for (i) such as have been obtained or made and are in full force and effect,</w:t>
      </w:r>
    </w:p>
    <w:p>
      <w:pPr>
        <w:ind w:firstLine="8"/>
        <w:spacing w:after="0" w:line="255" w:lineRule="auto"/>
        <w:tabs>
          <w:tab w:leader="none" w:pos="2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w:t>
      </w:r>
    </w:p>
    <w:p>
      <w:pPr>
        <w:spacing w:after="0" w:line="19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Holdings, the Borrower, or any other Restricted Subsidiary is an “investment company” within the meaning of the Investment Company Act of 1940, as amended.</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0" w:lineRule="auto"/>
        <w:tabs>
          <w:tab w:leader="none" w:pos="125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None of the written factual information and written data (taken as a whole) heretofore or contemporaneously furnished by or on behalf of Holdings, the Borrower, any of the other Restricted Subsidiaries or any of their respective authorized representatives to the Administrative Agent, any Documentation Agent, Syndication Agent, any Joint Lead Arranger and Bookrunner, and/or any Lender on or before the Restatement Effective Date (including all such written information and data contained in (i) the Lender Presentation (as updated prior to the Restatement Effective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purposes of this </w:t>
      </w:r>
      <w:r>
        <w:rPr>
          <w:rFonts w:ascii="Arial" w:cs="Arial" w:eastAsia="Arial" w:hAnsi="Arial"/>
          <w:sz w:val="17"/>
          <w:szCs w:val="17"/>
          <w:u w:val="single" w:color="auto"/>
          <w:color w:val="auto"/>
        </w:rPr>
        <w:t>Section 8.8(a)</w:t>
      </w:r>
      <w:r>
        <w:rPr>
          <w:rFonts w:ascii="Arial" w:cs="Arial" w:eastAsia="Arial" w:hAnsi="Arial"/>
          <w:sz w:val="17"/>
          <w:szCs w:val="17"/>
          <w:color w:val="auto"/>
        </w:rPr>
        <w:t xml:space="preserve">, such factual information and data shall not include </w:t>
      </w:r>
      <w:r>
        <w:rPr>
          <w:rFonts w:ascii="Arial" w:cs="Arial" w:eastAsia="Arial" w:hAnsi="Arial"/>
          <w:sz w:val="17"/>
          <w:szCs w:val="17"/>
          <w:u w:val="single" w:color="auto"/>
          <w:color w:val="auto"/>
        </w:rPr>
        <w:t>pro</w:t>
      </w:r>
      <w:r>
        <w:rPr>
          <w:rFonts w:ascii="Arial" w:cs="Arial" w:eastAsia="Arial" w:hAnsi="Arial"/>
          <w:sz w:val="17"/>
          <w:szCs w:val="17"/>
          <w:color w:val="auto"/>
        </w:rPr>
        <w:t xml:space="preserve"> </w:t>
      </w:r>
      <w:r>
        <w:rPr>
          <w:rFonts w:ascii="Arial" w:cs="Arial" w:eastAsia="Arial" w:hAnsi="Arial"/>
          <w:sz w:val="17"/>
          <w:szCs w:val="17"/>
          <w:u w:val="single" w:color="auto"/>
          <w:color w:val="auto"/>
        </w:rPr>
        <w:t>forma</w:t>
      </w:r>
      <w:r>
        <w:rPr>
          <w:rFonts w:ascii="Arial" w:cs="Arial" w:eastAsia="Arial" w:hAnsi="Arial"/>
          <w:sz w:val="17"/>
          <w:szCs w:val="17"/>
          <w:color w:val="auto"/>
        </w:rPr>
        <w:t xml:space="preserve"> financial information, projections, estimates (including financial estimates, forecasts, and other forward-looking information) or other forward looking information and information of a general economic or general industry nature.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1" w:name="page132"/>
    <w:bookmarkEnd w:id="131"/>
    <w:p>
      <w:pPr>
        <w:ind w:firstLine="656"/>
        <w:spacing w:after="0" w:line="279" w:lineRule="auto"/>
        <w:tabs>
          <w:tab w:leader="none" w:pos="12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The projections (including financial estimates, forecasts, and other forward-looking information) contained in the information and data referred to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71" w:lineRule="exact"/>
        <w:rPr>
          <w:rFonts w:ascii="Arial" w:cs="Arial" w:eastAsia="Arial" w:hAnsi="Arial"/>
          <w:sz w:val="17"/>
          <w:szCs w:val="17"/>
          <w:color w:val="auto"/>
        </w:rPr>
      </w:pPr>
    </w:p>
    <w:p>
      <w:pPr>
        <w:ind w:left="1260" w:hanging="604"/>
        <w:spacing w:after="0"/>
        <w:tabs>
          <w:tab w:leader="none" w:pos="12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As of the Restatement Effective Date, the information included in the Beneficial Ownership Certification is true and correct in all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respects.</w:t>
      </w:r>
    </w:p>
    <w:p>
      <w:pPr>
        <w:spacing w:after="0" w:line="21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Financial Condition; Financial Statements</w:t>
      </w:r>
      <w:r>
        <w:rPr>
          <w:rFonts w:ascii="Arial" w:cs="Arial" w:eastAsia="Arial" w:hAnsi="Arial"/>
          <w:sz w:val="16"/>
          <w:szCs w:val="16"/>
          <w:color w:val="auto"/>
        </w:rPr>
        <w:t>.</w:t>
      </w:r>
    </w:p>
    <w:p>
      <w:pPr>
        <w:spacing w:after="0" w:line="225" w:lineRule="exact"/>
        <w:rPr>
          <w:sz w:val="20"/>
          <w:szCs w:val="20"/>
          <w:color w:val="auto"/>
        </w:rPr>
      </w:pPr>
    </w:p>
    <w:p>
      <w:pPr>
        <w:ind w:right="540" w:firstLine="656"/>
        <w:spacing w:after="0" w:line="302" w:lineRule="auto"/>
        <w:tabs>
          <w:tab w:leader="none" w:pos="125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(i) The unaudited historical consolidated financial information of Holdings set forth in the Lender Presentation, and (ii) the Historical Financial Statements, in each case present fairly in all material respects the combined financial position of Holdings at the respective dates of said information, statements and results of operations for the respective periods covered thereby. The financial statements referred to in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8.9</w:t>
      </w:r>
      <w:r>
        <w:rPr>
          <w:rFonts w:ascii="Arial" w:cs="Arial" w:eastAsia="Arial" w:hAnsi="Arial"/>
          <w:sz w:val="16"/>
          <w:szCs w:val="16"/>
          <w:color w:val="auto"/>
        </w:rPr>
        <w:t xml:space="preserve"> have been prepared in accordance with GAAP consistently applied except to the extent provided in the notes to said financial statements.</w:t>
      </w:r>
    </w:p>
    <w:p>
      <w:pPr>
        <w:spacing w:after="0" w:line="154" w:lineRule="exact"/>
        <w:rPr>
          <w:rFonts w:ascii="Arial" w:cs="Arial" w:eastAsia="Arial" w:hAnsi="Arial"/>
          <w:sz w:val="16"/>
          <w:szCs w:val="16"/>
          <w:color w:val="auto"/>
        </w:rPr>
      </w:pPr>
    </w:p>
    <w:p>
      <w:pPr>
        <w:ind w:left="1260" w:hanging="604"/>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has been no Material Adverse Effect since the Restatement Effective Date.</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Each Lender and the Administrative Agent hereby acknowledges and agrees that Holdings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Compliance with Laws; No Default</w:t>
      </w:r>
      <w:r>
        <w:rPr>
          <w:rFonts w:ascii="Arial" w:cs="Arial" w:eastAsia="Arial" w:hAnsi="Arial"/>
          <w:sz w:val="16"/>
          <w:szCs w:val="16"/>
          <w:color w:val="auto"/>
        </w:rPr>
        <w:t>. Each Credit Party is in compliance with all Requirements of Law applicable to it or its property, except where the failure to be in compliance would not reasonably be expected to result in a Material Adverse Effect. No Default has occurred and is continuing.</w:t>
      </w:r>
    </w:p>
    <w:p>
      <w:pPr>
        <w:spacing w:after="0" w:line="124"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Anti-Corruption, Sanctions and Anti-Money Laundering Compliance</w:t>
      </w:r>
      <w:r>
        <w:rPr>
          <w:rFonts w:ascii="Arial" w:cs="Arial" w:eastAsia="Arial" w:hAnsi="Arial"/>
          <w:sz w:val="17"/>
          <w:szCs w:val="17"/>
          <w:color w:val="auto"/>
        </w:rPr>
        <w:t>. The Credit Parties have instituted and maintained policies and procedures reasonably designed to promote and achieve compliance with Anti-Corruption Laws and Sanctions and each Credit Party, their respective Subsidiaries, and to the knowledge of each Credit Party, their respective Related Parties, are in compliance, in all material respects, with Anti-Corruption Laws, Sanctions, the Trading with the Enemy Act, as amended and Anti-Money Laundering Laws. None of the Credit Parties, their respective Subsidiaries, and to the knowledge of the Credit Parties, their respective Related Parties, is (a) the subject or target of Sanctions, (b) included on List of Specially Designated Nationals by the United States Treasury Department’s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or any similar list enforced by any other relevant sanctions authority or (c) is located, organized or resident in a Designated Jurisdiction. No Borrowing or Letter of Credit, use of proceeds or other transaction contemplated by this Agreement will violate any Anti-Corruption Law or applicable Sanctions.</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Tax Matters</w:t>
      </w:r>
      <w:r>
        <w:rPr>
          <w:rFonts w:ascii="Arial" w:cs="Arial" w:eastAsia="Arial" w:hAnsi="Arial"/>
          <w:sz w:val="16"/>
          <w:szCs w:val="16"/>
          <w:color w:val="auto"/>
        </w:rPr>
        <w:t>. Except as would not reasonably be expected to have a Material Adverse Effect, (a) each of Holdings, the Borrower and each of the other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Holdings, the Borrower or such Restricted Subsidiary, as applicable) with respect thereto in accordance with GAAP and (b) each of Holdings, the Borrower and each of the Restricted Subsidiaries has paid, or has provided adequate reserves (in the good faith judgment of management of Holdings, the Borrower or such Restricted Subsidiary, as applicable) in accordance with GAAP for the payment of all Taxes not yet due and payable. There is no current or proposed Tax assessment, deficiency or other claim against Holdings, the Borrower or any Restricted Subsidiary that would reasonably be expected to result in a Material Adverse Effect.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2" w:name="page133"/>
    <w:bookmarkEnd w:id="132"/>
    <w:p>
      <w:pPr>
        <w:ind w:left="660"/>
        <w:spacing w:after="0"/>
        <w:tabs>
          <w:tab w:leader="none" w:pos="12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7"/>
          <w:szCs w:val="17"/>
          <w:color w:val="auto"/>
        </w:rPr>
        <w:t>Compliance with ERISA.</w:t>
      </w:r>
    </w:p>
    <w:p>
      <w:pPr>
        <w:spacing w:after="0" w:line="225" w:lineRule="exact"/>
        <w:rPr>
          <w:sz w:val="20"/>
          <w:szCs w:val="20"/>
          <w:color w:val="auto"/>
        </w:rPr>
      </w:pPr>
    </w:p>
    <w:p>
      <w:pPr>
        <w:ind w:left="1260" w:hanging="604"/>
        <w:spacing w:after="0"/>
        <w:tabs>
          <w:tab w:leader="none" w:pos="12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Adverse Effect, no ERISA Event has occurred or is reasonably expected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right="620" w:firstLine="656"/>
        <w:spacing w:after="0" w:line="277" w:lineRule="auto"/>
        <w:tabs>
          <w:tab w:leader="none" w:pos="12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 Material Adverse Effect, no Foreign Plan Event has occurred or is reasonably expected to occur.</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8.14</w:t>
      </w:r>
      <w:r>
        <w:rPr>
          <w:rFonts w:ascii="Arial" w:cs="Arial" w:eastAsia="Arial" w:hAnsi="Arial"/>
          <w:sz w:val="18"/>
          <w:szCs w:val="18"/>
          <w:color w:val="auto"/>
        </w:rPr>
        <w:t xml:space="preserve"> lists each Subsidiary of Holdings and the Borrower (and the direct and indirect ownership interest of Holdings and the Borrower therein), in each case existing on the Restatement Effective Date.</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Each of Holdings, the Borrower and the other Restricted Subsidiaries owns or has the right to use all Intellectual Property that is used in or otherwise necessary for the operation of their respective businesses as currently conducted, except where the failure of the foregoing would not reasonably be expected to have a Material Adverse Effect. The operation of their respective businesses by each of Holdings, the Borrower, and the other Restricted Subsidiaries does not infringe upon, misappropriate, violate or otherwise conflict with the Intellectual Property of any third party, except as would not reasonably be expected to have a Material Adverse Effect.</w:t>
      </w:r>
    </w:p>
    <w:p>
      <w:pPr>
        <w:spacing w:after="0" w:line="17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55" w:lineRule="auto"/>
        <w:tabs>
          <w:tab w:leader="none" w:pos="12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8.16</w:t>
      </w:r>
      <w:r>
        <w:rPr>
          <w:rFonts w:ascii="Arial" w:cs="Arial" w:eastAsia="Arial" w:hAnsi="Arial"/>
          <w:sz w:val="18"/>
          <w:szCs w:val="18"/>
          <w:color w:val="auto"/>
        </w:rPr>
        <w:t>, or as would not reasonably be expected to have a Material Adverse Effect: (i) each of Holdings, the Borrower, and the other Restricted Subsidiaries and their respective operations and properties are in compliance with all applicable Environmental Laws; (ii) none of Holdings, the Borrower, or any other Restricted Subsidiary has received written notice of any Environmental Claim; (iii) none of Holdings,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Holdings, the Borrower or any of the Restricted Subsidiaries.</w:t>
      </w:r>
    </w:p>
    <w:p>
      <w:pPr>
        <w:spacing w:after="0" w:line="189" w:lineRule="exact"/>
        <w:rPr>
          <w:rFonts w:ascii="Arial" w:cs="Arial" w:eastAsia="Arial" w:hAnsi="Arial"/>
          <w:sz w:val="18"/>
          <w:szCs w:val="18"/>
          <w:color w:val="auto"/>
        </w:rPr>
      </w:pPr>
    </w:p>
    <w:p>
      <w:pPr>
        <w:ind w:right="120" w:firstLine="656"/>
        <w:spacing w:after="0" w:line="279" w:lineRule="auto"/>
        <w:tabs>
          <w:tab w:leader="none" w:pos="126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8.16</w:t>
      </w:r>
      <w:r>
        <w:rPr>
          <w:rFonts w:ascii="Arial" w:cs="Arial" w:eastAsia="Arial" w:hAnsi="Arial"/>
          <w:sz w:val="17"/>
          <w:szCs w:val="17"/>
          <w:color w:val="auto"/>
        </w:rPr>
        <w:t>, none of Holdings,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spacing w:after="0" w:line="17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93" w:lineRule="auto"/>
        <w:tabs>
          <w:tab w:leader="none" w:pos="125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Each of Holdings, the Borrower, and the other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(b) no Mortgage encumbers improved Real Estate that is located in an area that has been identified by the Secretary of Housing and Urban Development as an area having special flood hazards within the meaning of the National Flood Insurance Act of 1968, as amended, unless flood insurance available under such act has been obtained in accordance with </w:t>
      </w:r>
      <w:r>
        <w:rPr>
          <w:rFonts w:ascii="Arial" w:cs="Arial" w:eastAsia="Arial" w:hAnsi="Arial"/>
          <w:sz w:val="16"/>
          <w:szCs w:val="16"/>
          <w:u w:val="single" w:color="auto"/>
          <w:color w:val="auto"/>
        </w:rPr>
        <w:t>Section 9.3(b)</w:t>
      </w:r>
      <w:r>
        <w:rPr>
          <w:rFonts w:ascii="Arial" w:cs="Arial" w:eastAsia="Arial" w:hAnsi="Arial"/>
          <w:sz w:val="16"/>
          <w:szCs w:val="16"/>
          <w:color w:val="auto"/>
        </w:rPr>
        <w: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3" w:name="page134"/>
    <w:bookmarkEnd w:id="133"/>
    <w:p>
      <w:pPr>
        <w:ind w:right="380" w:firstLine="656"/>
        <w:spacing w:after="0" w:line="277" w:lineRule="auto"/>
        <w:tabs>
          <w:tab w:leader="none" w:pos="126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is a list of each real property owned by any Credit Party as of the Restatement Effective Date having a Fair Market Value in excess of $20,000,000.</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u w:val="single" w:color="auto"/>
          <w:color w:val="auto"/>
        </w:rPr>
        <w:t>Solvency</w:t>
      </w:r>
      <w:r>
        <w:rPr>
          <w:rFonts w:ascii="Arial" w:cs="Arial" w:eastAsia="Arial" w:hAnsi="Arial"/>
          <w:sz w:val="17"/>
          <w:szCs w:val="17"/>
          <w:color w:val="auto"/>
        </w:rPr>
        <w:t>. On the Restatement Effective Date (after giving effect to the Transactions) immediately following the making of the Loans and after giving effect to the application of the proceeds of such Loans, Holdings on a consolidated basis with its Subsidiaries will be Solvent.</w:t>
      </w:r>
    </w:p>
    <w:p>
      <w:pPr>
        <w:spacing w:after="0" w:line="14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8.19</w:t>
      </w:r>
      <w:r>
        <w:rPr>
          <w:sz w:val="20"/>
          <w:szCs w:val="20"/>
          <w:color w:val="auto"/>
        </w:rPr>
        <w:tab/>
      </w:r>
      <w:r>
        <w:rPr>
          <w:rFonts w:ascii="Arial" w:cs="Arial" w:eastAsia="Arial" w:hAnsi="Arial"/>
          <w:sz w:val="16"/>
          <w:szCs w:val="16"/>
          <w:u w:val="single" w:color="auto"/>
          <w:color w:val="auto"/>
        </w:rPr>
        <w:t>Patriot Act</w:t>
      </w:r>
      <w:r>
        <w:rPr>
          <w:rFonts w:ascii="Arial" w:cs="Arial" w:eastAsia="Arial" w:hAnsi="Arial"/>
          <w:sz w:val="16"/>
          <w:szCs w:val="16"/>
          <w:color w:val="auto"/>
        </w:rPr>
        <w:t>. On the Restatement Effective Date, the use of proceeds of the Loans will not violate the PATRIOT Act in any material respect.</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Affirmative Covenants</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Each of Holdings and the Borrower hereby covenants and agrees that on the Restatement Effective Date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15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Information Covenants</w:t>
      </w:r>
      <w:r>
        <w:rPr>
          <w:rFonts w:ascii="Arial" w:cs="Arial" w:eastAsia="Arial" w:hAnsi="Arial"/>
          <w:sz w:val="18"/>
          <w:szCs w:val="18"/>
          <w:color w:val="auto"/>
        </w:rPr>
        <w:t>. The Borrower will furnish to the Administrative Agent (which shall promptly make such information available to the Lenders in accordance with its customary practice):</w:t>
      </w:r>
    </w:p>
    <w:p>
      <w:pPr>
        <w:spacing w:after="0" w:line="170" w:lineRule="exact"/>
        <w:rPr>
          <w:sz w:val="20"/>
          <w:szCs w:val="20"/>
          <w:color w:val="auto"/>
        </w:rPr>
      </w:pPr>
    </w:p>
    <w:p>
      <w:pPr>
        <w:ind w:left="660" w:right="40" w:firstLine="645"/>
        <w:spacing w:after="0" w:line="269" w:lineRule="auto"/>
        <w:tabs>
          <w:tab w:leader="none" w:pos="1823"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(commencing with the fiscal year ending December 28, 2019), the consolidated balance sheets of Holdings and the Restricted Subsidiaries as at the end of each fiscal year, and the related consolidated statements of operations and cash flows for such fiscal year, setting forth comparative consolidated and/or combined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Holdings or any of the Material Subsidiaries (or group of Subsidiaries that together would constitute a Material Subsidiary) as a going concern (other than any exception, explanatory paragraph or qualification, that is expressly solely with respect to, or expressly resulting solely from, (i) an upcoming maturity date under any Indebtedness occurring within one year from the time such opinion is delivered or (ii) any potential inability to satisfy a financial maintenance covenant on a future date or in a future period).</w:t>
      </w:r>
    </w:p>
    <w:p>
      <w:pPr>
        <w:spacing w:after="0" w:line="182" w:lineRule="exact"/>
        <w:rPr>
          <w:rFonts w:ascii="Arial" w:cs="Arial" w:eastAsia="Arial" w:hAnsi="Arial"/>
          <w:sz w:val="17"/>
          <w:szCs w:val="17"/>
          <w:color w:val="auto"/>
        </w:rPr>
      </w:pPr>
    </w:p>
    <w:p>
      <w:pPr>
        <w:ind w:left="660" w:firstLine="645"/>
        <w:spacing w:after="0" w:line="268" w:lineRule="auto"/>
        <w:tabs>
          <w:tab w:leader="none" w:pos="1833"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Holdings (or, if such financial statements are not required to be filed with the SEC, on or before the date that is 45 days after the end of each such quarterly accounting period), the consolidated balance sheets of Holdings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September 30, 2019 setting forth comparative consolidated and/or combined figures for the related periods in the prior fiscal year or, in the case of such consolidated balance sheet, for the last day of the related period in the prior fiscal year, all of which shall be certified by an Authorized Officer of Holdings as fairly presenting in all material respects the financial condition, results of operations and cash flows of Holdings and its Restricted Subsidiaries in accordance with GAAP (except as noted therein), subject to changes resulting from normal year-end adjustments and the absence of footnotes, and, with respect to fiscal 2014 reporting periods, subject to finalization of the purchase price allocation to the fair value of assets acquired and liabilities assumed in the Transactions, as required by GAAP.</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4" w:name="page135"/>
    <w:bookmarkEnd w:id="134"/>
    <w:p>
      <w:pPr>
        <w:ind w:right="120" w:firstLine="645"/>
        <w:spacing w:after="0" w:line="289" w:lineRule="auto"/>
        <w:tabs>
          <w:tab w:leader="none" w:pos="1163"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Budgets</w:t>
      </w:r>
      <w:r>
        <w:rPr>
          <w:rFonts w:ascii="Arial" w:cs="Arial" w:eastAsia="Arial" w:hAnsi="Arial"/>
          <w:sz w:val="16"/>
          <w:szCs w:val="16"/>
          <w:color w:val="auto"/>
        </w:rPr>
        <w:t xml:space="preserve">. In the event that Holdings (or any Parent Entity) ceases to provide public guidance or provides public guidance that is substantially less in scope than the most recent annual guidance provided by National Vision Holdings, Inc. prior to the Restatement Effective Date, within 90 days after the commencement of each fiscal year of Holdings, a budget of Holdings in reasonable detail on an annual basis for such fiscal year as customarily prepared by management of Holdings for its internal use consistent in scope with the financial statements provided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setting forth the principal assumptions upon which such budget is based (collectively, the “</w:t>
      </w:r>
      <w:r>
        <w:rPr>
          <w:rFonts w:ascii="Arial" w:cs="Arial" w:eastAsia="Arial" w:hAnsi="Arial"/>
          <w:sz w:val="16"/>
          <w:szCs w:val="16"/>
          <w:b w:val="1"/>
          <w:bCs w:val="1"/>
          <w:color w:val="auto"/>
        </w:rPr>
        <w:t>Projections</w:t>
      </w:r>
      <w:r>
        <w:rPr>
          <w:rFonts w:ascii="Arial" w:cs="Arial" w:eastAsia="Arial" w:hAnsi="Arial"/>
          <w:sz w:val="16"/>
          <w:szCs w:val="16"/>
          <w:color w:val="auto"/>
        </w:rPr>
        <w:t>”), which Projections shall in each case be accompanied by a certificate of an Authorized Officer of Holdings or the Borrower stating that such Projections have been prepared in good faith on the basis of the assumptions stated therein, which assumptions were believed to be reasonable at the time of preparation of such Projections, it being understood and agreed that such Projections and assumptions as to future events are not to be viewed as facts and that actual results during the period or periods covered by any such Projections may differ from the projected results and such differences may be material.</w:t>
      </w:r>
    </w:p>
    <w:p>
      <w:pPr>
        <w:spacing w:after="0" w:line="166" w:lineRule="exact"/>
        <w:rPr>
          <w:rFonts w:ascii="Arial" w:cs="Arial" w:eastAsia="Arial" w:hAnsi="Arial"/>
          <w:sz w:val="16"/>
          <w:szCs w:val="16"/>
          <w:color w:val="auto"/>
        </w:rPr>
      </w:pPr>
    </w:p>
    <w:p>
      <w:pPr>
        <w:ind w:firstLine="645"/>
        <w:spacing w:after="0" w:line="269" w:lineRule="auto"/>
        <w:tabs>
          <w:tab w:leader="none" w:pos="1173"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Officer’s Certificates</w:t>
      </w:r>
      <w:r>
        <w:rPr>
          <w:rFonts w:ascii="Arial" w:cs="Arial" w:eastAsia="Arial" w:hAnsi="Arial"/>
          <w:sz w:val="17"/>
          <w:szCs w:val="17"/>
          <w:color w:val="auto"/>
        </w:rPr>
        <w:t xml:space="preserve">. Not later than five days after the delivery of the financial statements provided for in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 certificate of an Authorized Officer of Holdings or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Restatement Effective Date or the most recent fiscal year or period, as the case may be and (ii) the then applicable status and underlying calculations in connection therewith. At the time of the delivery of the financial statements provided for in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 certificate of an Authorized Officer of Holdings or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Restatement Effective Date or the date of the most recent certificate delivered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as the case may be.</w:t>
      </w:r>
    </w:p>
    <w:p>
      <w:pPr>
        <w:spacing w:after="0" w:line="182" w:lineRule="exact"/>
        <w:rPr>
          <w:rFonts w:ascii="Arial" w:cs="Arial" w:eastAsia="Arial" w:hAnsi="Arial"/>
          <w:sz w:val="17"/>
          <w:szCs w:val="17"/>
          <w:color w:val="auto"/>
        </w:rPr>
      </w:pPr>
    </w:p>
    <w:p>
      <w:pPr>
        <w:ind w:right="60" w:firstLine="645"/>
        <w:spacing w:after="0" w:line="257" w:lineRule="auto"/>
        <w:tabs>
          <w:tab w:leader="none" w:pos="1163"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Notice of Default or Litigation</w:t>
      </w:r>
      <w:r>
        <w:rPr>
          <w:rFonts w:ascii="Arial" w:cs="Arial" w:eastAsia="Arial" w:hAnsi="Arial"/>
          <w:sz w:val="18"/>
          <w:szCs w:val="18"/>
          <w:color w:val="auto"/>
        </w:rPr>
        <w:t>. Promptly after an Authorized Officer of Holdings or any of the Restricted Subsidiaries obtains knowledge thereof, notice of (i) the occurrence of any event that constitutes a Default or Event of Default, which notice shall specify the nature thereof, the period of existence thereof and what action Holdings proposes to take with respect thereto and (ii) any litigation or governmental proceeding pending against Holdings or any of the Subsidiaries that would reasonably be expected to be determined adversely and, if so determined, to result in a Material Adverse Effect.</w:t>
      </w:r>
    </w:p>
    <w:p>
      <w:pPr>
        <w:spacing w:after="0" w:line="188" w:lineRule="exact"/>
        <w:rPr>
          <w:rFonts w:ascii="Arial" w:cs="Arial" w:eastAsia="Arial" w:hAnsi="Arial"/>
          <w:sz w:val="18"/>
          <w:szCs w:val="18"/>
          <w:color w:val="auto"/>
        </w:rPr>
      </w:pPr>
    </w:p>
    <w:p>
      <w:pPr>
        <w:jc w:val="both"/>
        <w:ind w:right="40" w:firstLine="645"/>
        <w:spacing w:after="0" w:line="264" w:lineRule="auto"/>
        <w:tabs>
          <w:tab w:leader="none" w:pos="1143"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Promptly after an Authorized Officer of Holdings or any of the Restricted Subsidiaries obtains knowledge of any one or more of the following environmental matters, unless such environmental matters would not reasonably be expected to result in a Material Adverse Effect, notice of:</w:t>
      </w:r>
    </w:p>
    <w:p>
      <w:pPr>
        <w:spacing w:after="0" w:line="181" w:lineRule="exact"/>
        <w:rPr>
          <w:rFonts w:ascii="Arial" w:cs="Arial" w:eastAsia="Arial" w:hAnsi="Arial"/>
          <w:sz w:val="18"/>
          <w:szCs w:val="18"/>
          <w:color w:val="auto"/>
        </w:rPr>
      </w:pPr>
    </w:p>
    <w:p>
      <w:pPr>
        <w:ind w:left="1780" w:hanging="487"/>
        <w:spacing w:after="0"/>
        <w:tabs>
          <w:tab w:leader="none" w:pos="17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pending or threatened Environmental Claim against any Credit Party or any Real Estate; and</w:t>
      </w:r>
    </w:p>
    <w:p>
      <w:pPr>
        <w:spacing w:after="0" w:line="225" w:lineRule="exact"/>
        <w:rPr>
          <w:rFonts w:ascii="Arial" w:cs="Arial" w:eastAsia="Arial" w:hAnsi="Arial"/>
          <w:sz w:val="18"/>
          <w:szCs w:val="18"/>
          <w:color w:val="auto"/>
        </w:rPr>
      </w:pPr>
    </w:p>
    <w:p>
      <w:pPr>
        <w:ind w:left="640" w:right="360" w:firstLine="653"/>
        <w:spacing w:after="0" w:line="308" w:lineRule="auto"/>
        <w:tabs>
          <w:tab w:leader="none" w:pos="1778"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conduct of any investigation, or any removal, remedial or other corrective action in response to the actual or alleged presence, Release or threatened Release of any Hazardous Material on, at, under or from any Real Estate.</w:t>
      </w:r>
    </w:p>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All such notices shall describe in reasonable detail the nature of the claim, investigation or removal, remedial or other corrective action in response thereto. The term “</w:t>
      </w:r>
      <w:r>
        <w:rPr>
          <w:rFonts w:ascii="Arial" w:cs="Arial" w:eastAsia="Arial" w:hAnsi="Arial"/>
          <w:sz w:val="17"/>
          <w:szCs w:val="17"/>
          <w:b w:val="1"/>
          <w:bCs w:val="1"/>
          <w:color w:val="auto"/>
        </w:rPr>
        <w:t>Real Estate</w:t>
      </w:r>
      <w:r>
        <w:rPr>
          <w:rFonts w:ascii="Arial" w:cs="Arial" w:eastAsia="Arial" w:hAnsi="Arial"/>
          <w:sz w:val="17"/>
          <w:szCs w:val="17"/>
          <w:color w:val="auto"/>
        </w:rPr>
        <w:t>” shall mean land, buildings, facilities and improvements owned or leased by any Credit Party.</w:t>
      </w:r>
    </w:p>
    <w:p>
      <w:pPr>
        <w:spacing w:after="0" w:line="36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35" w:name="page136"/>
    <w:bookmarkEnd w:id="135"/>
    <w:p>
      <w:pPr>
        <w:ind w:left="660" w:firstLine="645"/>
        <w:spacing w:after="0" w:line="268" w:lineRule="auto"/>
        <w:tabs>
          <w:tab w:leader="none" w:pos="1833"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Other Information</w:t>
      </w:r>
      <w:r>
        <w:rPr>
          <w:rFonts w:ascii="Arial" w:cs="Arial" w:eastAsia="Arial" w:hAnsi="Arial"/>
          <w:sz w:val="17"/>
          <w:szCs w:val="17"/>
          <w:color w:val="auto"/>
        </w:rPr>
        <w:t xml:space="preserve">. Promptly upon filing thereof, copies of any filings (including on Form 10-K, 10-Q or 8-K) or registration statements (other than drafts of pre-effective versions of registration statements) with, and reports to, the SEC or any analogous Governmental Authority in any relevant jurisdiction by Holdings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Holdings or any of the Restricted Subsidiaries shall send to the holders of any publicly issued debt of Holdings and/or any of the Restricted Subsidiaries, in their capacity as such holders, lenders or agents (in each case to the extent not theretofore delivered to the Administrative Agent pursuant to this Agreement) and, with reasonable promptness, such other information (financial or otherwise) as the Administrative Agent on its own behalf or on behalf of any Lender (acting through the Administrative Agent) may reasonably request in writing from time to time (including, without limitation, information and documentation reasonably requested by the Administrative Agent or any Lender for purposes of compliance with applicable “know your customer” requirements under the PATRIOT Act or other applicable anti-money laundering laws); </w:t>
      </w:r>
      <w:r>
        <w:rPr>
          <w:rFonts w:ascii="Arial" w:cs="Arial" w:eastAsia="Arial" w:hAnsi="Arial"/>
          <w:sz w:val="17"/>
          <w:szCs w:val="17"/>
          <w:u w:val="single" w:color="auto"/>
          <w:color w:val="auto"/>
        </w:rPr>
        <w:t>provided</w:t>
      </w:r>
      <w:r>
        <w:rPr>
          <w:rFonts w:ascii="Arial" w:cs="Arial" w:eastAsia="Arial" w:hAnsi="Arial"/>
          <w:sz w:val="17"/>
          <w:szCs w:val="17"/>
          <w:color w:val="auto"/>
        </w:rPr>
        <w:t>, that none of Holdings, the Borrower nor any other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or (iii) that is subject to attorney client or similar privilege or constitutes attorney work product.</w:t>
      </w:r>
    </w:p>
    <w:p>
      <w:pPr>
        <w:spacing w:after="0" w:line="183" w:lineRule="exact"/>
        <w:rPr>
          <w:rFonts w:ascii="Arial" w:cs="Arial" w:eastAsia="Arial" w:hAnsi="Arial"/>
          <w:sz w:val="17"/>
          <w:szCs w:val="17"/>
          <w:color w:val="auto"/>
        </w:rPr>
      </w:pPr>
    </w:p>
    <w:p>
      <w:pPr>
        <w:ind w:left="660" w:right="60" w:firstLine="645"/>
        <w:spacing w:after="0" w:line="286" w:lineRule="auto"/>
        <w:tabs>
          <w:tab w:leader="none" w:pos="183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Patriot Act/Beneficial Ownership Regulation.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16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Notwithstanding the foregoing, the obligations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may be satisfied with respect to financial information of Holdings and the Restricted Subsidiaries by furnishing (A) the applicable financial statements of the Borrower or any direct or indirect parent of Holdings or</w:t>
      </w:r>
    </w:p>
    <w:p>
      <w:pPr>
        <w:ind w:right="100" w:firstLine="8"/>
        <w:spacing w:after="0" w:line="254" w:lineRule="auto"/>
        <w:tabs>
          <w:tab w:leader="none" w:pos="28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Holdings’ (or any direct or indirect parent thereof), as applicable, Form 10-K or 10-Q, as applicable, filed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of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paragraph, to the extent such information relates to a parent of Holdings, such information is accompanied by consolidating or other information that explains in reasonable detail the differences between the information relating to such parent, on the one hand, and the information relating to Holdings and the Restricted Subsidiaries on a standalone basis, on the other hand.</w:t>
      </w:r>
    </w:p>
    <w:p>
      <w:pPr>
        <w:spacing w:after="0" w:line="19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earliest date on which (i) Holdings posts such documents, or provides a link thereto on Holdings’ website on the Internet; (ii) such documents are posted on Holdings’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Borrower shall, at the request of the Administrative Agent, continue to deliver copies (which delivery may be by electronic transmission )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spacing w:after="0" w:line="17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 xml:space="preserve">Each Credit Party hereby acknowledges and agrees that, unless the Borrower notifies the Administrative Agent in advance, all financial statements and certificates furnished pursuant to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are hereby deemed to be suitable for distribution, and to be made available, to all Lenders and may be treated by the Administrative Agent and the Lenders as not containing any material nonpublic information.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6" w:name="page137"/>
    <w:bookmarkEnd w:id="136"/>
    <w:p>
      <w:pPr>
        <w:ind w:firstLine="648"/>
        <w:spacing w:after="0" w:line="285"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Books, Records, and Inspections</w:t>
      </w:r>
      <w:r>
        <w:rPr>
          <w:rFonts w:ascii="Arial" w:cs="Arial" w:eastAsia="Arial" w:hAnsi="Arial"/>
          <w:sz w:val="16"/>
          <w:szCs w:val="16"/>
          <w:color w:val="auto"/>
        </w:rPr>
        <w:t xml:space="preserve">. Holdings will, and will cause each Restricted Subsidiary to, permit officers and designated representatives of the Administrative Agent or the Required Lenders to visit and inspect any of the properties or assets of Holdings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Holdings and any such Subsidiary and discuss the affairs, finances and accounts of Holdings and of any such Subsidiary with, and be advised as to the same by, its and their officers and independent accountants,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excluding any such visits and inspections during the continuation of an Event of Default, (a) only the Administrative Agent on behalf of the Required Lenders may exercise rights of the Administrative Agent and the Lenders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(b) the Administrative Agent shall not exercise such rights more than one time in any calendar year, which such visit will be at Holdings’ expense, and (c) notwithstanding anything to the contrary in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none of Holdings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agreement binding on a third-party or (iii) is subject to attorney-client or similar privilege or constitutes attorney work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when an Event of Default exists, the Administrative Agent (or any of its respective representatives or independent contractors) or any representative of the Required Lenders may do any of the foregoing at the expense of Holdings at any time during normal business hours and upon reasonable advance notice. The Administrative Agent and the Required Lenders shall give Holdings the opportunity to participate in any discussions with Holdings’ independent public accountants.</w:t>
      </w:r>
    </w:p>
    <w:p>
      <w:pPr>
        <w:spacing w:after="0" w:line="39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(a) Holdings will, and will cause each Material Subsidiary to, at all times maintain in full force and effect, pursuant to self-insurance arrangements or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the availability of insurance on a cost-effective basis) and against at least such risks (and with such risk retentions) as Holdings believes (in the good faith judgment of management of Holdings) is reasonable and prudent in light of the size and nature of its business and the availability of insurance on a cost-effective basis; and will furnish to the Administrative Agent, promptly following written request from the Administrative Agent, information presented in reasonable detail as to the insurance so carried and (b) with respect to each Mortgaged Property, Holdings will obtain flood insurance in such total amount as may reasonably be required by the Collateral Agent but in any event in the minimum amount as required by law, if at any time the area in which any improvements located on any Mortgaged Property is designated a “special flood hazard area” in any Flood Insurance Rate Map published by the Federal Emergency Management Agency (or any successor agency), and otherwise comply with the National Flood Insurance Program as set forth in the Flood Disaster Protection Act of 1973, as amended from time to time. Each such policy of insurance shall (i) name the Collateral Agent, on behalf of the Secured Parties as an additional insured thereunder as its interests may appear and (ii) in the case of each casualty insurance policy, contain a loss payable clause or endorsement that names the Collateral Agent, on behalf of the Secured Parties as the loss payee thereunder.</w:t>
      </w:r>
    </w:p>
    <w:p>
      <w:pPr>
        <w:spacing w:after="0" w:line="17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Payment of Taxes</w:t>
      </w:r>
      <w:r>
        <w:rPr>
          <w:rFonts w:ascii="Arial" w:cs="Arial" w:eastAsia="Arial" w:hAnsi="Arial"/>
          <w:sz w:val="17"/>
          <w:szCs w:val="17"/>
          <w:color w:val="auto"/>
        </w:rPr>
        <w:t xml:space="preserve">. Holdings will pay and discharge, and will cause each of the Restricted Subsidiaries to pay and discharge, all material Taxes imposed upon it (including in its capacity as a withholding agent) or upon its income or profits, or upon any properties belonging to it, prior to the date on which material penalties attach thereto, and all lawful material claims in respect of any Taxes imposed, assessed or levied that, if unpaid, would reasonably be expected to become a material Lien upon any properties of Holdings or any of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Holdings nor any of the Restricted Subsidiaries shall be required to pay any such Tax that is being contested in good faith and by proper proceedings if it has maintained adequate reserves (in the good faith judgment of management of Holdings) with respect thereto in accordance with GAAP and the failure to pay would not reasonably be expected to result in a Material Adverse Effect.</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Preservation of Existence; Consolidated Corporate Franchises</w:t>
      </w:r>
      <w:r>
        <w:rPr>
          <w:rFonts w:ascii="Arial" w:cs="Arial" w:eastAsia="Arial" w:hAnsi="Arial"/>
          <w:sz w:val="17"/>
          <w:szCs w:val="17"/>
          <w:color w:val="auto"/>
        </w:rPr>
        <w:t xml:space="preserve">. Holdings and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 to the extent that the failure to do so would not reasonably be expected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Holdings and its Subsidiaries may consummate any transaction permitted under Permitted Investments and </w:t>
      </w:r>
      <w:r>
        <w:rPr>
          <w:rFonts w:ascii="Arial" w:cs="Arial" w:eastAsia="Arial" w:hAnsi="Arial"/>
          <w:sz w:val="17"/>
          <w:szCs w:val="17"/>
          <w:u w:val="single" w:color="auto"/>
          <w:color w:val="auto"/>
        </w:rPr>
        <w:t>Sections 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10.5</w:t>
      </w:r>
      <w:r>
        <w:rPr>
          <w:rFonts w:ascii="Arial" w:cs="Arial" w:eastAsia="Arial" w:hAnsi="Arial"/>
          <w:sz w:val="17"/>
          <w:szCs w:val="17"/>
          <w:color w:val="auto"/>
        </w:rPr>
        <w: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37" w:name="page138"/>
    <w:bookmarkEnd w:id="137"/>
    <w:p>
      <w:pPr>
        <w:ind w:right="80" w:firstLine="648"/>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Compliance with Statutes, Regulations, Etc.</w:t>
      </w:r>
      <w:r>
        <w:rPr>
          <w:rFonts w:ascii="Arial" w:cs="Arial" w:eastAsia="Arial" w:hAnsi="Arial"/>
          <w:sz w:val="16"/>
          <w:szCs w:val="16"/>
          <w:color w:val="auto"/>
        </w:rPr>
        <w:t xml:space="preserve"> Holdings will, and will cause each Restricted Subsidiary to, (a) comply with all applicable laws, rules, regulations, and orders applicable to it or its property, including, without limitation, applicable Sanctions and Anti-Corruption Laws, as amended, and the rules and regulations promulgated thereunder,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9.6</w:t>
      </w:r>
      <w:r>
        <w:rPr>
          <w:rFonts w:ascii="Arial" w:cs="Arial" w:eastAsia="Arial" w:hAnsi="Arial"/>
          <w:sz w:val="16"/>
          <w:szCs w:val="16"/>
          <w:color w:val="auto"/>
        </w:rPr>
        <w:t>, where the failure to do so would not reasonably be expected to result in a Material Adverse Effect.</w:t>
      </w:r>
    </w:p>
    <w:p>
      <w:pPr>
        <w:spacing w:after="0" w:line="16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ERISA</w:t>
      </w:r>
      <w:r>
        <w:rPr>
          <w:rFonts w:ascii="Arial" w:cs="Arial" w:eastAsia="Arial" w:hAnsi="Arial"/>
          <w:sz w:val="16"/>
          <w:szCs w:val="16"/>
          <w:color w:val="auto"/>
        </w:rPr>
        <w:t xml:space="preserve">. (a) Holdings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 Administrative Agent promptly after receipt thereof; and further provided, that the rights granted to the Administrative Agent in this Section shall be exercised not more than once during a 12-month period, and (b) Holdings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spacing w:after="0" w:line="16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Holdings will, and will cause each of the Restricted Subsidiaries to, keep and maintain all property material to the conduct of its business in good working order and condition, ordinary wear and tear, casualty, and condemnation excepted, except to the extent that the failure to do so would not reasonably be expected to have a Material Adverse Effect.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8" w:name="page139"/>
    <w:bookmarkEnd w:id="138"/>
    <w:p>
      <w:pPr>
        <w:ind w:firstLine="648"/>
        <w:spacing w:after="0" w:line="283"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Holdings will conduct, and cause each of the Restricted Subsidiaries to conduct, all transactions with any of its Affiliates (other than Holdings and the Restricted Subsidiaries) involving aggregate payments or consideration in excess of $2,500,000 for any individual transaction or series of related transactions on terms that are at least substantially as favorable to Holdings or such Restricted Subsidiary as it would obtain in a comparable arm’s-length transaction with a Person that is not an Affiliate, as determined by the board of directors of Holdings or such Restricted Subsidiary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restrictions shall not apply to (a) the payment of fees for management, consulting, and financial services rendered to Holdings and the Restricted Subsidiaries and customary investment banking fees for services rendered to Holdings and the Subsidiaries in connection with divestitures, acquisitions, financings and other transactions which payments are approved by a majority of the board of directors of Holdings in good faith, (b) transactions permitted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(c) consummation of the Transactions and the payment of the Transaction Expenses, (d) the issuance of Capital Stock or Stock Equivalents of Holdings (or any direct or indirect parent thereof) or any of its Subsidiaries not otherwise prohibited by the Credit Documents, (e) loans, advances and other transactions between or among Holdings, any Restricted Subsidiary or any joint venture (regardless of the form of legal entity) in which Holdings or any Subsidiary has invested (and which Subsidiary or joint venture would not be an Affiliate of Holdings but for Holdings’ or a Subsidiary’s ownership of Capital Stock or Stock Equivalents in such joint venture or Subsidiary) to the extent permitted under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(f) employment and severance arrangements between Holdings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 payments by Holdings (and any direct or indirect parent thereof) and the Subsidiaries pursuant to the tax sharing agreements among Holdings (and any such parent) and the Subsidiaries that are permitted under </w:t>
      </w:r>
      <w:r>
        <w:rPr>
          <w:rFonts w:ascii="Arial" w:cs="Arial" w:eastAsia="Arial" w:hAnsi="Arial"/>
          <w:sz w:val="16"/>
          <w:szCs w:val="16"/>
          <w:u w:val="single" w:color="auto"/>
          <w:color w:val="auto"/>
        </w:rPr>
        <w:t>Section 10.5(b)(15)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amount of such payments in any fiscal year does not exceed the amount that Holdings, the Restricted Subsidiaries and the Unrestricted Subsidiaries (to the extent of the amount received from Unrestricted Subsidiaries) would have been required to pay in respect of such foreign, federal, state and/or local taxes for such fiscal year had Holdings, the Restricted Subsidiaries and the Unrestricted Subsidiaries (to the extent described above) paid such taxes separately from any such direct or indirect parent company of Holdings, (h) the payment of customary fees and reasonable out of pocket costs to, and indemnities provided on behalf of, directors, managers, consultants, officers, employees of Holdings (or any direct or indirect parent thereof) and the Subsidiaries in the ordinary course of business to the extent attributable to the ownership or operation of Holdings and the Subsidiaries, (i) transactions undertaken pursuant to membership in a purchasing consortium, (j) transactions pursuant to any agreement or arrangement as in effect as of the Restatement Effective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Restatement Effective Date as determined by the Borrower in good faith), (k) customary payments by Holdings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provided that such transaction was not 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 and (n) any customary transactions with a Receivables Subsidiary effected as part of a Receivables Facility.</w:t>
      </w:r>
    </w:p>
    <w:p>
      <w:pPr>
        <w:spacing w:after="0" w:line="200" w:lineRule="exact"/>
        <w:rPr>
          <w:sz w:val="20"/>
          <w:szCs w:val="20"/>
          <w:color w:val="auto"/>
        </w:rPr>
      </w:pPr>
    </w:p>
    <w:p>
      <w:pPr>
        <w:spacing w:after="0" w:line="20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End of Fiscal Years</w:t>
      </w:r>
      <w:r>
        <w:rPr>
          <w:rFonts w:ascii="Arial" w:cs="Arial" w:eastAsia="Arial" w:hAnsi="Arial"/>
          <w:sz w:val="17"/>
          <w:szCs w:val="17"/>
          <w:color w:val="auto"/>
        </w:rPr>
        <w:t xml:space="preserve">. Holdings will, for financial reporting purposes, cause each of its, and each of the Restricted Subsidiaries’, fiscal years to end on dates consistent with past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Holdings may, upon written notice to the Administrative Agent change the financial reporting convention specified above to (x) align the dates of such fiscal year and for any Restricted Subsidiary whose fiscal years end on dates different from those of Holdings or (y) any other financial reporting convention (including a change of fiscal year) reasonably acceptable (such consent not to be unreasonably withheld or delayed) to the Administrative Agent, in which case Holdings and the Administrative Agent will, and are hereby authorized by the Lenders to, make any adjustments to this Agreement that are necessary in order to reflect such change in financial reporting.</w:t>
      </w:r>
    </w:p>
    <w:p>
      <w:pPr>
        <w:spacing w:after="0" w:line="17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Additional Guarantors and Grantors</w:t>
      </w:r>
      <w:r>
        <w:rPr>
          <w:rFonts w:ascii="Arial" w:cs="Arial" w:eastAsia="Arial" w:hAnsi="Arial"/>
          <w:sz w:val="16"/>
          <w:szCs w:val="16"/>
          <w:color w:val="auto"/>
        </w:rPr>
        <w:t xml:space="preserve">. Subject to any applicable limitations set forth in the Security Documents, Holdings will cause each direct or indirect Subsidiary (other than any Excluded Subsidiary) formed or otherwise purchased or acquired after the Restatement Effective Date (including pursuant to a Permitted Acquisition), and each other Subsidiary that ceases to constitute an Excluded Subsidiary, within 60 days from the date of such formation, acquisition or cessation, as applicable (or such longer period as the Administrative Agent may agree in its reasonable discretion), and Holdings may at its option cause any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Credit Parties on the Restatement Effective Date and pursuant to </w:t>
      </w:r>
      <w:r>
        <w:rPr>
          <w:rFonts w:ascii="Arial" w:cs="Arial" w:eastAsia="Arial" w:hAnsi="Arial"/>
          <w:sz w:val="16"/>
          <w:szCs w:val="16"/>
          <w:u w:val="single" w:color="auto"/>
          <w:color w:val="auto"/>
        </w:rPr>
        <w:t>Section 9.14(d)</w:t>
      </w:r>
      <w:r>
        <w:rPr>
          <w:rFonts w:ascii="Arial" w:cs="Arial" w:eastAsia="Arial" w:hAnsi="Arial"/>
          <w:sz w:val="16"/>
          <w:szCs w:val="16"/>
          <w:color w:val="auto"/>
        </w:rPr>
        <w:t xml:space="preserve"> in the case of such Credit Parties. For the avoidance of doubt, no Credit Party or any Restricted Subsidiary that is a Domestic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9" w:name="page140"/>
    <w:bookmarkEnd w:id="139"/>
    <w:p>
      <w:pPr>
        <w:ind w:right="60" w:firstLine="648"/>
        <w:spacing w:after="0" w:line="268"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Pledge of Additional Stock and Evidence of Indebtedness</w:t>
      </w:r>
      <w:r>
        <w:rPr>
          <w:rFonts w:ascii="Arial" w:cs="Arial" w:eastAsia="Arial" w:hAnsi="Arial"/>
          <w:sz w:val="17"/>
          <w:szCs w:val="17"/>
          <w:color w:val="auto"/>
        </w:rPr>
        <w:t xml:space="preserve">.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$10,000,000 received by Holdings or any of the Guarantors in connection with any disposition of assets pursuant to </w:t>
      </w:r>
      <w:r>
        <w:rPr>
          <w:rFonts w:ascii="Arial" w:cs="Arial" w:eastAsia="Arial" w:hAnsi="Arial"/>
          <w:sz w:val="17"/>
          <w:szCs w:val="17"/>
          <w:u w:val="single" w:color="auto"/>
          <w:color w:val="auto"/>
        </w:rPr>
        <w:t>Section 10.4(b)</w:t>
      </w:r>
      <w:r>
        <w:rPr>
          <w:rFonts w:ascii="Arial" w:cs="Arial" w:eastAsia="Arial" w:hAnsi="Arial"/>
          <w:sz w:val="17"/>
          <w:szCs w:val="17"/>
          <w:color w:val="auto"/>
        </w:rPr>
        <w:t>, and (iii) any promissory notes executed after the Restatement Effective Date evidencing Indebtedness in excess of $10,000,000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Holdings and/or its Subsidiaries need not be delivered to the Collateral Agent so long as (i) a global intercompany note superseding such promissory note has been delivered to the Collateral Agent, (ii) such promissory note is not delivered to any other party other than Holdings or any other Credit Party, in each case, owed money thereunder, and (iii) such promissory note indicates on its face that it is subject to the security interest of the Collateral Agent.</w:t>
      </w:r>
    </w:p>
    <w:p>
      <w:pPr>
        <w:spacing w:after="0" w:line="18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ind w:right="700" w:firstLine="656"/>
        <w:spacing w:after="0" w:line="277" w:lineRule="auto"/>
        <w:tabs>
          <w:tab w:leader="none" w:pos="12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Borrower will use Letters of Credit, Revolving Loans and Swingline Loans for working capital and general corporate purposes (including any transaction not prohibited by the Credit Documents).</w:t>
      </w:r>
    </w:p>
    <w:p>
      <w:pPr>
        <w:spacing w:after="0" w:line="170" w:lineRule="exact"/>
        <w:rPr>
          <w:rFonts w:ascii="Arial" w:cs="Arial" w:eastAsia="Arial" w:hAnsi="Arial"/>
          <w:sz w:val="18"/>
          <w:szCs w:val="18"/>
          <w:color w:val="auto"/>
        </w:rPr>
      </w:pPr>
    </w:p>
    <w:p>
      <w:pPr>
        <w:jc w:val="both"/>
        <w:ind w:right="380" w:firstLine="656"/>
        <w:spacing w:after="0" w:line="264" w:lineRule="auto"/>
        <w:tabs>
          <w:tab w:leader="none" w:pos="12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 the Restatement Effective Date, the Borrower will use the proceeds of the Term A Loans and cash on hand to effect the transactions contemplated by the Restatement Agreement, including the prepayment of all amounts outstanding (other than contingent obligations) under the Original Credit Agreement immediately prior the Restatement Effective Date.</w:t>
      </w:r>
    </w:p>
    <w:p>
      <w:pPr>
        <w:spacing w:after="0" w:line="181" w:lineRule="exact"/>
        <w:rPr>
          <w:rFonts w:ascii="Arial" w:cs="Arial" w:eastAsia="Arial" w:hAnsi="Arial"/>
          <w:sz w:val="18"/>
          <w:szCs w:val="18"/>
          <w:color w:val="auto"/>
        </w:rPr>
      </w:pPr>
    </w:p>
    <w:p>
      <w:pPr>
        <w:ind w:right="380" w:firstLine="656"/>
        <w:spacing w:after="0" w:line="277" w:lineRule="auto"/>
        <w:tabs>
          <w:tab w:leader="none" w:pos="125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Borrower shall not use the proceeds of any Loan in any manner that would make the representations described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untrue.</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ind w:firstLine="656"/>
        <w:spacing w:after="0" w:line="297" w:lineRule="auto"/>
        <w:tabs>
          <w:tab w:leader="none" w:pos="125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Subject to the terms of </w:t>
      </w:r>
      <w:r>
        <w:rPr>
          <w:rFonts w:ascii="Arial" w:cs="Arial" w:eastAsia="Arial" w:hAnsi="Arial"/>
          <w:sz w:val="16"/>
          <w:szCs w:val="16"/>
          <w:u w:val="single" w:color="auto"/>
          <w:color w:val="auto"/>
        </w:rPr>
        <w:t>Sections 9.11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9.12</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Holdings and the Restricted Subsidiaries.</w:t>
      </w:r>
    </w:p>
    <w:p>
      <w:pPr>
        <w:spacing w:after="0" w:line="158" w:lineRule="exact"/>
        <w:rPr>
          <w:rFonts w:ascii="Arial" w:cs="Arial" w:eastAsia="Arial" w:hAnsi="Arial"/>
          <w:sz w:val="16"/>
          <w:szCs w:val="16"/>
          <w:color w:val="auto"/>
        </w:rPr>
      </w:pPr>
    </w:p>
    <w:p>
      <w:pPr>
        <w:ind w:right="40" w:firstLine="656"/>
        <w:spacing w:after="0" w:line="268" w:lineRule="auto"/>
        <w:tabs>
          <w:tab w:leader="none" w:pos="126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as reasonably determined by the Borrower in consultation with the Administrative Agent, if any assets (other than Excluded Property) (including any real estate or improvements thereto or any interest therein but excluding Capital Stock and Stock Equivalents of any Subsidiary and excluding any real estate which the Borrower or applicable Credit Party intends to dispose of pursuant to a Permitted Sale Leaseback so long as actually disposed of within 270 days of acquisition (or such longer period as the Administrative Agent may reasonably agree)) with a book value in excess of $20,000,000 (at the time of acquisition) are acquired by Holdings or any other Credit Party after the Restatement Effective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Holdings will notify the Collateral Agent, and, if requested by the Collateral Agent, Holdings will cause such assets to be subjected to a Lien securing the Obligations and will take, and cause the other applicable Credit Parties to take, such actions as shall be necessary or reasonably requested by the Collateral Agent, as soon as commercially reasonable but in no event later than 90 days, unless extended by the Administrative Agent in its sole discretion, to grant and perfect such Liens consistent with the applicable requirements of the Security Documents, including actions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9.14</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0" w:name="page141"/>
    <w:bookmarkEnd w:id="140"/>
    <w:p>
      <w:pPr>
        <w:ind w:firstLine="656"/>
        <w:spacing w:after="0" w:line="283" w:lineRule="auto"/>
        <w:tabs>
          <w:tab w:leader="none" w:pos="1243"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Any Mortgage delivered to the Administrative Agent in accordance with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if requested by the Collateral Agent, be received as soon as commercially reasonable but in no event later than 90 days (except as set forth in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as otherwise permitted by the Administrative Agent and otherwise in form and substance reasonably acceptable to the Administrative Agent and the Borrower, together with such endorsements, coinsurance and reinsurance as the Administrative Agent may reasonably request but only to the extent such endorsements are (i) available in the relevant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the Administrative Agent request a creditors’ rights endorsement) and (ii) available at commercially reasonable rates, (y) an opinion of local counsel to the applicable Credit Party in form and substance reasonably acceptable to the Administrative Agent, (z) 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w:t>
      </w:r>
    </w:p>
    <w:p>
      <w:pPr>
        <w:spacing w:after="0" w:line="3" w:lineRule="exact"/>
        <w:rPr>
          <w:rFonts w:ascii="Arial" w:cs="Arial" w:eastAsia="Arial" w:hAnsi="Arial"/>
          <w:sz w:val="16"/>
          <w:szCs w:val="16"/>
          <w:color w:val="auto"/>
        </w:rPr>
      </w:pPr>
    </w:p>
    <w:p>
      <w:pPr>
        <w:ind w:left="280" w:hanging="272"/>
        <w:spacing w:after="0"/>
        <w:tabs>
          <w:tab w:leader="none" w:pos="2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certificates of insurance evidencing the insurance required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in form and substance reasonably satisfactory to the Administrative Agent, and</w:t>
      </w:r>
    </w:p>
    <w:p>
      <w:pPr>
        <w:spacing w:after="0" w:line="32" w:lineRule="exact"/>
        <w:rPr>
          <w:rFonts w:ascii="Arial" w:cs="Arial" w:eastAsia="Arial" w:hAnsi="Arial"/>
          <w:sz w:val="16"/>
          <w:szCs w:val="16"/>
          <w:color w:val="auto"/>
        </w:rPr>
      </w:pPr>
    </w:p>
    <w:p>
      <w:pPr>
        <w:ind w:right="60" w:firstLine="8"/>
        <w:spacing w:after="0" w:line="302" w:lineRule="auto"/>
        <w:tabs>
          <w:tab w:leader="none" w:pos="32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(x)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Mortgage shall be executed and delivered until each Lender has received the documents stipulated in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above.</w:t>
      </w:r>
    </w:p>
    <w:p>
      <w:pPr>
        <w:spacing w:after="0" w:line="155" w:lineRule="exact"/>
        <w:rPr>
          <w:rFonts w:ascii="Arial" w:cs="Arial" w:eastAsia="Arial" w:hAnsi="Arial"/>
          <w:sz w:val="16"/>
          <w:szCs w:val="16"/>
          <w:color w:val="auto"/>
        </w:rPr>
      </w:pPr>
    </w:p>
    <w:p>
      <w:pPr>
        <w:ind w:right="100" w:firstLine="656"/>
        <w:spacing w:after="0" w:line="264" w:lineRule="auto"/>
        <w:tabs>
          <w:tab w:leader="none" w:pos="1263"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Post-Closing Covenant</w:t>
      </w:r>
      <w:r>
        <w:rPr>
          <w:rFonts w:ascii="Arial" w:cs="Arial" w:eastAsia="Arial" w:hAnsi="Arial"/>
          <w:sz w:val="18"/>
          <w:szCs w:val="18"/>
          <w:color w:val="auto"/>
        </w:rPr>
        <w:t xml:space="preserve">. Holdings agrees that it will, or will cause its relevant Subsidiaries to, complete each of the actions described on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as soon as commercially reasonable and by no later than the date set forth in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with respect to such action or such later date as the Administrative Agent may reasonably agree.</w:t>
      </w:r>
    </w:p>
    <w:p>
      <w:pPr>
        <w:spacing w:after="0" w:line="181"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Lines of Business</w:t>
      </w:r>
      <w:r>
        <w:rPr>
          <w:rFonts w:ascii="Arial" w:cs="Arial" w:eastAsia="Arial" w:hAnsi="Arial"/>
          <w:sz w:val="17"/>
          <w:szCs w:val="17"/>
          <w:color w:val="auto"/>
        </w:rPr>
        <w:t>. Holdings and the Restricted Subsidiaries, taken as a whole, will not fundamentally and substantively alter the character of their business, taken as a whole, from the business conducted by Holdings and the Subsidiaries, taken as a whole, on the Restatement Effective Date and other business activities which are extensions thereof or otherwise incidental, synergistic, reasonably related, or ancillary to any of the foregoing (and non-core incidental businesses acquired in connection with any Permitted Acquisition or permitted Investment).</w:t>
      </w:r>
    </w:p>
    <w:p>
      <w:pPr>
        <w:spacing w:after="0" w:line="17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Negative Covenants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Each of Holdings and the Borrower hereby covenants and agrees that on the Restatement Effective Date (immediately after consummation of the Acquisition)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18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Limitation on Indebtedness</w:t>
      </w:r>
      <w:r>
        <w:rPr>
          <w:rFonts w:ascii="Arial" w:cs="Arial" w:eastAsia="Arial" w:hAnsi="Arial"/>
          <w:sz w:val="17"/>
          <w:szCs w:val="17"/>
          <w:color w:val="auto"/>
        </w:rPr>
        <w:t>. Holdings will not, and will not permit any Restricted Subsidiary to create, incur, issue, assume, guarantee or otherwise become liable, contingently or otherwise (collectively, “</w:t>
      </w:r>
      <w:r>
        <w:rPr>
          <w:rFonts w:ascii="Arial" w:cs="Arial" w:eastAsia="Arial" w:hAnsi="Arial"/>
          <w:sz w:val="17"/>
          <w:szCs w:val="17"/>
          <w:b w:val="1"/>
          <w:bCs w:val="1"/>
          <w:color w:val="auto"/>
        </w:rPr>
        <w:t>incur</w:t>
      </w:r>
      <w:r>
        <w:rPr>
          <w:rFonts w:ascii="Arial" w:cs="Arial" w:eastAsia="Arial" w:hAnsi="Arial"/>
          <w:sz w:val="17"/>
          <w:szCs w:val="17"/>
          <w:color w:val="auto"/>
        </w:rPr>
        <w:t>” and collectively, an “</w:t>
      </w:r>
      <w:r>
        <w:rPr>
          <w:rFonts w:ascii="Arial" w:cs="Arial" w:eastAsia="Arial" w:hAnsi="Arial"/>
          <w:sz w:val="17"/>
          <w:szCs w:val="17"/>
          <w:b w:val="1"/>
          <w:bCs w:val="1"/>
          <w:color w:val="auto"/>
        </w:rPr>
        <w:t>incurrence</w:t>
      </w:r>
      <w:r>
        <w:rPr>
          <w:rFonts w:ascii="Arial" w:cs="Arial" w:eastAsia="Arial" w:hAnsi="Arial"/>
          <w:sz w:val="17"/>
          <w:szCs w:val="17"/>
          <w:color w:val="auto"/>
        </w:rPr>
        <w:t xml:space="preserve">”) with respect to any Indebtedness (including Acquired Indebtedness) and Holdings will not issue any shares of Disqualified Stock and will not permit any Restricted Subsidiary to issue any shares of Disqualified Stock or, in the case of Restricted Subsidiaries that are not Guarantors, preferred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Holdings may incur Indebtedness (including Acquired Indebtedness) or issue shares of Disqualified Stock, and any Restricted Subsidiary may incur Indebtedness (including Acquired Indebtedness), issue shares of Disqualified Stock and issue shares of preferred stock, if, after giving effect thereto, the Fixed Charge Coverage Ratio of Holdings and the Restricted Subsidiaries would be at least 2.00 to 1.00;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amount of Indebtedness (other than Acquired Indebtedness), Disqualified Stock and preferred stock that may be incurred pursuant to the foregoing together with any amounts incurred under </w:t>
      </w:r>
      <w:r>
        <w:rPr>
          <w:rFonts w:ascii="Arial" w:cs="Arial" w:eastAsia="Arial" w:hAnsi="Arial"/>
          <w:sz w:val="17"/>
          <w:szCs w:val="17"/>
          <w:u w:val="single" w:color="auto"/>
          <w:color w:val="auto"/>
        </w:rPr>
        <w:t>Section 10.1(n)(x)</w:t>
      </w:r>
      <w:r>
        <w:rPr>
          <w:rFonts w:ascii="Arial" w:cs="Arial" w:eastAsia="Arial" w:hAnsi="Arial"/>
          <w:sz w:val="17"/>
          <w:szCs w:val="17"/>
          <w:color w:val="auto"/>
        </w:rPr>
        <w:t xml:space="preserve"> by Restricted Subsidiaries that are not Guarantors shall not exceed the greater of (x) $35,000,000 and (y) 30.0% of Consolidated EBITDA for the most recently ended Test Period (calculated on a Pro Forma Basis) at any one time outstanding.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The foregoing limitations will not apply to:</w:t>
      </w:r>
    </w:p>
    <w:p>
      <w:pPr>
        <w:spacing w:after="0" w:line="225" w:lineRule="exact"/>
        <w:rPr>
          <w:sz w:val="20"/>
          <w:szCs w:val="20"/>
          <w:color w:val="auto"/>
        </w:rPr>
      </w:pPr>
    </w:p>
    <w:p>
      <w:pPr>
        <w:ind w:left="1160" w:hanging="515"/>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Indebtedness arising under the Credit Documents;</w:t>
      </w:r>
    </w:p>
    <w:p>
      <w:pPr>
        <w:spacing w:after="0" w:line="225" w:lineRule="exact"/>
        <w:rPr>
          <w:rFonts w:ascii="Arial" w:cs="Arial" w:eastAsia="Arial" w:hAnsi="Arial"/>
          <w:sz w:val="18"/>
          <w:szCs w:val="18"/>
          <w:color w:val="auto"/>
        </w:rPr>
      </w:pPr>
    </w:p>
    <w:p>
      <w:pPr>
        <w:ind w:left="1160" w:hanging="515"/>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80" w:firstLine="645"/>
        <w:spacing w:after="0" w:line="264" w:lineRule="auto"/>
        <w:tabs>
          <w:tab w:leader="none" w:pos="116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(i) Indebtedness (including any unused commitment) outstanding on the Restatement Effective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and (ii) intercompany Indebtedness (including any unused commitment) outstanding on the Restatement Effective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(other than intercompany Indebtedness owed by a Credit Party to another Credit Party);</w:t>
      </w:r>
    </w:p>
    <w:p>
      <w:pPr>
        <w:spacing w:after="0" w:line="181" w:lineRule="exact"/>
        <w:rPr>
          <w:rFonts w:ascii="Arial" w:cs="Arial" w:eastAsia="Arial" w:hAnsi="Arial"/>
          <w:sz w:val="18"/>
          <w:szCs w:val="18"/>
          <w:color w:val="auto"/>
        </w:rPr>
      </w:pPr>
    </w:p>
    <w:p>
      <w:pPr>
        <w:ind w:firstLine="645"/>
        <w:spacing w:after="0" w:line="268" w:lineRule="auto"/>
        <w:tabs>
          <w:tab w:leader="none" w:pos="117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Indebtedness (including Capitalized Lease Obligations), Disqualified Stock and preferred stock incurred by Holdings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Holdings or any Restricted Subsidiary under or pursuant to any “synthetic lease” transactions to on-balance sheet Indebtedness of Holdings or such Restricted Subsidiary, in an aggregate principal amount which, when aggregated with the principal amount of all other Indebtedness, Disqualified Stock and preferred stock then outstanding and incurred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and all Refinancing Indebtedness incurred to refinance any other Indebtedness, Disqualified Stock and preferred stock incurred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does not exceed the greater of (x) $35,000,000 and (y) 35.0% of Consolidated EBITDA for the most recently ended Test Period (calculated on a Pro Forma Basis) at the time of incurrence;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Capitalized Lease Obligations incurred by Holdings or any Restricted Subsidiary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in connection with a Permitted Sale Leaseback shall not be subject to the foregoing limitation so long as the proceeds of such Permitted Sale Leaseback are used by Holdings or such Restricted Subsidiary to permanently repay outstanding Term Loans or other Indebtedness secured by a Lien on the assets subject to such Permitted Sale Leaseback (excluding any Lien ranking junior to the Lien securing the Obligations);</w:t>
      </w:r>
    </w:p>
    <w:p>
      <w:pPr>
        <w:spacing w:after="0" w:line="187" w:lineRule="exact"/>
        <w:rPr>
          <w:rFonts w:ascii="Arial" w:cs="Arial" w:eastAsia="Arial" w:hAnsi="Arial"/>
          <w:sz w:val="17"/>
          <w:szCs w:val="17"/>
          <w:color w:val="auto"/>
        </w:rPr>
      </w:pPr>
    </w:p>
    <w:p>
      <w:pPr>
        <w:ind w:right="200" w:firstLine="645"/>
        <w:spacing w:after="0" w:line="297" w:lineRule="auto"/>
        <w:tabs>
          <w:tab w:leader="none" w:pos="116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Indebtedness incurred by Holdings or any Restricted Subsidiary (including letter of credit obligations consistent with past practice constituting reimbursement obligations with respect to letters of credit issued in the ordinary course of business), in respect of workers’ compensation claims,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w:t>
      </w:r>
    </w:p>
    <w:p>
      <w:pPr>
        <w:spacing w:after="0" w:line="158" w:lineRule="exact"/>
        <w:rPr>
          <w:rFonts w:ascii="Arial" w:cs="Arial" w:eastAsia="Arial" w:hAnsi="Arial"/>
          <w:sz w:val="16"/>
          <w:szCs w:val="16"/>
          <w:color w:val="auto"/>
        </w:rPr>
      </w:pPr>
    </w:p>
    <w:p>
      <w:pPr>
        <w:jc w:val="both"/>
        <w:ind w:right="120" w:firstLine="645"/>
        <w:spacing w:after="0" w:line="293" w:lineRule="auto"/>
        <w:tabs>
          <w:tab w:leader="none" w:pos="114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Indebtedness arising from agreements of Holdings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not reflected on the balance sheet of Holdings or any Restricted Subsidiary (contingent obligations referred to in a footnote to financial statements and not otherwise reflected on the balance sheet will not be deemed to be reflected as Indebtedness on such balance sheet for purposes of this </w:t>
      </w:r>
      <w:r>
        <w:rPr>
          <w:rFonts w:ascii="Arial" w:cs="Arial" w:eastAsia="Arial" w:hAnsi="Arial"/>
          <w:sz w:val="16"/>
          <w:szCs w:val="16"/>
          <w:u w:val="single" w:color="auto"/>
          <w:color w:val="auto"/>
        </w:rPr>
        <w:t>clause (f)</w:t>
      </w:r>
      <w:r>
        <w:rPr>
          <w:rFonts w:ascii="Arial" w:cs="Arial" w:eastAsia="Arial" w:hAnsi="Arial"/>
          <w:sz w:val="16"/>
          <w:szCs w:val="16"/>
          <w:color w:val="auto"/>
        </w:rPr>
        <w:t>);</w:t>
      </w:r>
    </w:p>
    <w:p>
      <w:pPr>
        <w:spacing w:after="0" w:line="38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909" w:right="259" w:bottom="1440" w:gutter="0" w:footer="0" w:header="0"/>
        </w:sectPr>
      </w:pPr>
    </w:p>
    <w:bookmarkStart w:id="142" w:name="page143"/>
    <w:bookmarkEnd w:id="142"/>
    <w:p>
      <w:pPr>
        <w:ind w:left="-540" w:right="220" w:firstLine="645"/>
        <w:spacing w:after="0" w:line="257" w:lineRule="auto"/>
        <w:tabs>
          <w:tab w:leader="none" w:pos="63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Indebtedness of Holdings to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owing to a Restricted Subsidiary that is not the Borrower or a Guarantor is subordinated in right of payment to Holdings’ Guarantee;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issuance or transfer of any Capital Stock or any other event which results in any such Restricted Subsidiary ceasing to be a Restricted Subsidiary or any other subsequent transfer of any such Indebtedness (except to another Borrower or another Restricted Subsidiary) shall be deemed, in each case to be an incurrence of such Indebtedness not permitted by this clause;</w:t>
      </w:r>
    </w:p>
    <w:p>
      <w:pPr>
        <w:spacing w:after="0" w:line="188" w:lineRule="exact"/>
        <w:rPr>
          <w:rFonts w:ascii="Arial" w:cs="Arial" w:eastAsia="Arial" w:hAnsi="Arial"/>
          <w:sz w:val="18"/>
          <w:szCs w:val="18"/>
          <w:color w:val="auto"/>
        </w:rPr>
      </w:pPr>
    </w:p>
    <w:p>
      <w:pPr>
        <w:ind w:left="-540" w:right="220" w:firstLine="645"/>
        <w:spacing w:after="0" w:line="257" w:lineRule="auto"/>
        <w:tabs>
          <w:tab w:leader="none" w:pos="63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Indebtedness of a Restricted Subsidiary owing to Holdings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or a Guarantor incurs such Indebtedness owing to a Restricted Subsidiary that is not the Borrower or a Guarantor, such Indebtedness is subordinated in right of payment to the Guarantee of such Guarantor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transfer of any such Indebtedness (except to Holdings or another Restricted Subsidiary) shall be deemed, in each case to be an incurrence of such Indebtedness not permitted by this clause;</w:t>
      </w:r>
    </w:p>
    <w:p>
      <w:pPr>
        <w:spacing w:after="0" w:line="188" w:lineRule="exact"/>
        <w:rPr>
          <w:rFonts w:ascii="Arial" w:cs="Arial" w:eastAsia="Arial" w:hAnsi="Arial"/>
          <w:sz w:val="18"/>
          <w:szCs w:val="18"/>
          <w:color w:val="auto"/>
        </w:rPr>
      </w:pPr>
    </w:p>
    <w:p>
      <w:pPr>
        <w:ind w:left="-540" w:right="320" w:firstLine="645"/>
        <w:spacing w:after="0" w:line="279" w:lineRule="auto"/>
        <w:tabs>
          <w:tab w:leader="none" w:pos="59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shares of preferred stock of a Restricted Subsidiary issued to Holdings or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Holdings or another Restricted Subsidiary) shall be deemed in each case to be an issuance of such shares of preferred stock not permitted by this clause;</w:t>
      </w:r>
    </w:p>
    <w:p>
      <w:pPr>
        <w:spacing w:after="0" w:line="171" w:lineRule="exact"/>
        <w:rPr>
          <w:rFonts w:ascii="Arial" w:cs="Arial" w:eastAsia="Arial" w:hAnsi="Arial"/>
          <w:sz w:val="17"/>
          <w:szCs w:val="17"/>
          <w:color w:val="auto"/>
        </w:rPr>
      </w:pPr>
    </w:p>
    <w:p>
      <w:pPr>
        <w:ind w:left="580" w:hanging="475"/>
        <w:spacing w:after="0"/>
        <w:tabs>
          <w:tab w:leader="none" w:pos="5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Hedging Obligations (excluding Hedging Obligations entered into for speculative purposes);</w:t>
      </w:r>
    </w:p>
    <w:p>
      <w:pPr>
        <w:spacing w:after="0" w:line="225" w:lineRule="exact"/>
        <w:rPr>
          <w:rFonts w:ascii="Arial" w:cs="Arial" w:eastAsia="Arial" w:hAnsi="Arial"/>
          <w:sz w:val="18"/>
          <w:szCs w:val="18"/>
          <w:color w:val="auto"/>
        </w:rPr>
      </w:pPr>
    </w:p>
    <w:p>
      <w:pPr>
        <w:ind w:left="-540" w:right="280" w:firstLine="645"/>
        <w:spacing w:after="0" w:line="264" w:lineRule="auto"/>
        <w:tabs>
          <w:tab w:leader="none" w:pos="63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obligations in respect of self-insurance, performance, bid, appeal, and surety bonds and completion guarantees and similar obligations provided by Holdings or any Restricted Subsidiary or obligations in respect of letters of credit, bank guarantees or similar instruments related thereto, in each case, in the ordinary course of business or consistent with past practice;</w:t>
      </w:r>
    </w:p>
    <w:p>
      <w:pPr>
        <w:spacing w:after="0" w:line="181" w:lineRule="exact"/>
        <w:rPr>
          <w:rFonts w:ascii="Arial" w:cs="Arial" w:eastAsia="Arial" w:hAnsi="Arial"/>
          <w:sz w:val="18"/>
          <w:szCs w:val="18"/>
          <w:color w:val="auto"/>
        </w:rPr>
      </w:pPr>
    </w:p>
    <w:p>
      <w:pPr>
        <w:ind w:left="-540" w:firstLine="645"/>
        <w:spacing w:after="0" w:line="286" w:lineRule="auto"/>
        <w:tabs>
          <w:tab w:leader="none" w:pos="59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(i) Indebtedness, Disqualified Stock and preferred stock of Holdings or any Restricted Subsidiary in an aggregate principal amount or liquidation preference up to 100% of the net cash proceeds received by Holdings since immediately after the Restatement Effective Date from the issue or sale of Equity Interests of Holdings or cash contributed to the capital of Holdings (in each case, other than Excluded Contributions, any Cure Amount or proceeds of Disqualified Stock or sales of Equity Interests to Holdings or any of its Subsidiaries) as determined in accordance with </w:t>
      </w:r>
      <w:r>
        <w:rPr>
          <w:rFonts w:ascii="Arial" w:cs="Arial" w:eastAsia="Arial" w:hAnsi="Arial"/>
          <w:sz w:val="16"/>
          <w:szCs w:val="16"/>
          <w:u w:val="single" w:color="auto"/>
          <w:color w:val="auto"/>
        </w:rPr>
        <w:t>Sections 10.5(a)(iii)(B)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10.5(a)(iii)(C)</w:t>
      </w:r>
      <w:r>
        <w:rPr>
          <w:rFonts w:ascii="Arial" w:cs="Arial" w:eastAsia="Arial" w:hAnsi="Arial"/>
          <w:sz w:val="16"/>
          <w:szCs w:val="16"/>
          <w:color w:val="auto"/>
        </w:rPr>
        <w:t xml:space="preserve"> to the extent such net cash proceeds or cash have not been applied pursuant to such clauses to make Restricted Payments or to make other Investments, payments or exchanges pursuant to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or to make Permitted Investments (other than Permitted Investments specified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thereof) and (ii) Indebtedness, Disqualified Stock or preferred stock of Holdings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does not at any one time outstanding exceed the greater of (x) $45,000,000 and (y) 40.0% of Consolidated EBITDA for the most recently ended Test Period (calculated on a Pro Forma Basis) at the time of incurrence (it being understood that any Indebtedness, Disqualified Stock or preferred stock incurred pursuant to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shall cease to be deemed incurred or outstanding for purposes of this </w:t>
      </w:r>
      <w:r>
        <w:rPr>
          <w:rFonts w:ascii="Arial" w:cs="Arial" w:eastAsia="Arial" w:hAnsi="Arial"/>
          <w:sz w:val="16"/>
          <w:szCs w:val="16"/>
          <w:u w:val="single" w:color="auto"/>
          <w:color w:val="auto"/>
        </w:rPr>
        <w:t>clause (l)(ii)</w:t>
      </w:r>
      <w:r>
        <w:rPr>
          <w:rFonts w:ascii="Arial" w:cs="Arial" w:eastAsia="Arial" w:hAnsi="Arial"/>
          <w:sz w:val="16"/>
          <w:szCs w:val="16"/>
          <w:color w:val="auto"/>
        </w:rPr>
        <w:t xml:space="preserve"> but shall be deemed incurred for the purposes of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from and after the first date on which Holdings or such Restricted Subsidiary could have incurred such Indebtedness, Disqualified Stock or preferred stock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without reliance on this </w:t>
      </w:r>
      <w:r>
        <w:rPr>
          <w:rFonts w:ascii="Arial" w:cs="Arial" w:eastAsia="Arial" w:hAnsi="Arial"/>
          <w:sz w:val="16"/>
          <w:szCs w:val="16"/>
          <w:u w:val="single" w:color="auto"/>
          <w:color w:val="auto"/>
        </w:rPr>
        <w:t>clause (l)(ii)</w:t>
      </w:r>
      <w:r>
        <w:rPr>
          <w:rFonts w:ascii="Arial" w:cs="Arial" w:eastAsia="Arial" w:hAnsi="Arial"/>
          <w:sz w:val="16"/>
          <w:szCs w:val="16"/>
          <w:color w:val="auto"/>
        </w:rPr>
        <w:t>);</w:t>
      </w:r>
    </w:p>
    <w:p>
      <w:pPr>
        <w:spacing w:after="0" w:line="38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3" w:name="page144"/>
    <w:bookmarkEnd w:id="143"/>
    <w:p>
      <w:pPr>
        <w:ind w:left="4" w:right="80" w:firstLine="645"/>
        <w:spacing w:after="0" w:line="283" w:lineRule="auto"/>
        <w:tabs>
          <w:tab w:leader="none" w:pos="1227" w:val="left"/>
        </w:tabs>
        <w:numPr>
          <w:ilvl w:val="1"/>
          <w:numId w:val="145"/>
        </w:numPr>
        <w:rPr>
          <w:rFonts w:ascii="Arial" w:cs="Arial" w:eastAsia="Arial" w:hAnsi="Arial"/>
          <w:sz w:val="16"/>
          <w:szCs w:val="16"/>
          <w:color w:val="auto"/>
        </w:rPr>
      </w:pPr>
      <w:r>
        <w:rPr>
          <w:rFonts w:ascii="Arial" w:cs="Arial" w:eastAsia="Arial" w:hAnsi="Arial"/>
          <w:sz w:val="16"/>
          <w:szCs w:val="16"/>
          <w:color w:val="auto"/>
        </w:rPr>
        <w:t xml:space="preserve">the incurrence or issuance by Holdings or any Restricted Subsidiary of Indebtedness, Disqualified Stock or preferred stock which serves to refinance any Indebtedness, Disqualified Stock or preferred stock incurred as permitted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below or any Indebtedness, Disqualified Stock or preferred stock issued to so refinance, replace, refund, extend, renew, defease, restructure, amend, restate or otherwise modify (collectively, “</w:t>
      </w:r>
      <w:r>
        <w:rPr>
          <w:rFonts w:ascii="Arial" w:cs="Arial" w:eastAsia="Arial" w:hAnsi="Arial"/>
          <w:sz w:val="16"/>
          <w:szCs w:val="16"/>
          <w:b w:val="1"/>
          <w:bCs w:val="1"/>
          <w:color w:val="auto"/>
        </w:rPr>
        <w:t>refinance</w:t>
      </w:r>
      <w:r>
        <w:rPr>
          <w:rFonts w:ascii="Arial" w:cs="Arial" w:eastAsia="Arial" w:hAnsi="Arial"/>
          <w:sz w:val="16"/>
          <w:szCs w:val="16"/>
          <w:color w:val="auto"/>
        </w:rPr>
        <w:t>”) such Indebtedness, Disqualified Stock or preferred stock (the “</w:t>
      </w:r>
      <w:r>
        <w:rPr>
          <w:rFonts w:ascii="Arial" w:cs="Arial" w:eastAsia="Arial" w:hAnsi="Arial"/>
          <w:sz w:val="16"/>
          <w:szCs w:val="16"/>
          <w:b w:val="1"/>
          <w:bCs w:val="1"/>
          <w:color w:val="auto"/>
        </w:rPr>
        <w:t>Refinancing Indebtedness</w:t>
      </w:r>
      <w:r>
        <w:rPr>
          <w:rFonts w:ascii="Arial" w:cs="Arial" w:eastAsia="Arial" w:hAnsi="Arial"/>
          <w:sz w:val="16"/>
          <w:szCs w:val="16"/>
          <w:color w:val="auto"/>
        </w:rPr>
        <w:t xml:space="preserve">”) prior to its respective maturity; </w:t>
      </w:r>
      <w:r>
        <w:rPr>
          <w:rFonts w:ascii="Arial" w:cs="Arial" w:eastAsia="Arial" w:hAnsi="Arial"/>
          <w:sz w:val="16"/>
          <w:szCs w:val="16"/>
          <w:u w:val="single" w:color="auto"/>
          <w:color w:val="auto"/>
        </w:rPr>
        <w:t>provided</w:t>
      </w:r>
      <w:r>
        <w:rPr>
          <w:rFonts w:ascii="Arial" w:cs="Arial" w:eastAsia="Arial" w:hAnsi="Arial"/>
          <w:sz w:val="16"/>
          <w:szCs w:val="16"/>
          <w:color w:val="auto"/>
        </w:rPr>
        <w:t>, 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to the Obligations, such Refinancing Indebtedness is subordinated to the Obligations at least to the same extent as the Indebtedness being refinanced and</w:t>
      </w:r>
    </w:p>
    <w:p>
      <w:pPr>
        <w:spacing w:after="0" w:line="4" w:lineRule="exact"/>
        <w:rPr>
          <w:rFonts w:ascii="Arial" w:cs="Arial" w:eastAsia="Arial" w:hAnsi="Arial"/>
          <w:sz w:val="16"/>
          <w:szCs w:val="16"/>
          <w:color w:val="auto"/>
        </w:rPr>
      </w:pPr>
    </w:p>
    <w:p>
      <w:pPr>
        <w:ind w:left="4" w:right="380" w:hanging="4"/>
        <w:spacing w:after="0" w:line="261" w:lineRule="auto"/>
        <w:tabs>
          <w:tab w:leader="none" w:pos="25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shall not include Indebtedness, Disqualified Stock or preferred stock of a Subsidiary of Holdings that is not the Borrower or a Guarantor that refinances Indebtedness, Disqualified Stock or preferred stock of the Borrower or a Guarantor;</w:t>
      </w:r>
    </w:p>
    <w:p>
      <w:pPr>
        <w:spacing w:after="0" w:line="183" w:lineRule="exact"/>
        <w:rPr>
          <w:rFonts w:ascii="Arial" w:cs="Arial" w:eastAsia="Arial" w:hAnsi="Arial"/>
          <w:sz w:val="18"/>
          <w:szCs w:val="18"/>
          <w:color w:val="auto"/>
        </w:rPr>
      </w:pPr>
    </w:p>
    <w:p>
      <w:pPr>
        <w:ind w:left="4" w:right="20" w:firstLine="645"/>
        <w:spacing w:after="0" w:line="288" w:lineRule="auto"/>
        <w:tabs>
          <w:tab w:leader="none" w:pos="117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Indebtedness, Disqualified Stock or preferred stock of (x) Holdings or a Restricted Subsidiary incurred or issued to finance an acquisition, merger, or consolidation;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Indebtedness (other than Acquired Indebtedness), Disqualified Stock and preferred stock that may be incurred pursuant to the foregoing, together with any amounts incurred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by Restricted Subsidiaries that are not Guarantors shall not exceed the greater of (x) $30,000,000 and (y) 30.0% of Consolidated EBITDA for the most recently ended Test Period (calculated on a Pro Forma Basis) at any one time outstanding, or (y) Persons that are acquired by Holdings or any Restricted Subsidiary or merged into or consolidated with Holdings or a Restricted Subsidiary in accordance with the terms hereof (including designating an Unrestricted Subsidiary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acquisition, merger, consolidation or designation described in this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either: (1) Holdings would be permitted to incur at least $1.00 of additional Indebtedness pursuant to the Fixed Charge Coverage Ratio test set forth in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(2) the Fixed Charge Coverage Ratio of Holdings and the Restricted Subsidiaries is equal to or greater than that immediately prior to such acquisition, merger, consolidation or designation;</w:t>
      </w:r>
    </w:p>
    <w:p>
      <w:pPr>
        <w:spacing w:after="0" w:line="169" w:lineRule="exact"/>
        <w:rPr>
          <w:rFonts w:ascii="Arial" w:cs="Arial" w:eastAsia="Arial" w:hAnsi="Arial"/>
          <w:sz w:val="16"/>
          <w:szCs w:val="16"/>
          <w:color w:val="auto"/>
        </w:rPr>
      </w:pPr>
    </w:p>
    <w:p>
      <w:pPr>
        <w:ind w:left="4" w:right="140" w:firstLine="645"/>
        <w:spacing w:after="0" w:line="277" w:lineRule="auto"/>
        <w:tabs>
          <w:tab w:leader="none" w:pos="117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drawn against insufficient funds in the ordinary course of business;</w:t>
      </w:r>
    </w:p>
    <w:p>
      <w:pPr>
        <w:spacing w:after="0" w:line="170" w:lineRule="exact"/>
        <w:rPr>
          <w:rFonts w:ascii="Arial" w:cs="Arial" w:eastAsia="Arial" w:hAnsi="Arial"/>
          <w:sz w:val="18"/>
          <w:szCs w:val="18"/>
          <w:color w:val="auto"/>
        </w:rPr>
      </w:pPr>
    </w:p>
    <w:p>
      <w:pPr>
        <w:ind w:left="4" w:right="40" w:firstLine="645"/>
        <w:spacing w:after="0" w:line="257" w:lineRule="auto"/>
        <w:tabs>
          <w:tab w:leader="none" w:pos="117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(i) Indebtedness of Holdings or any Restricted Subsidiary supported by a letter of credit, in a principal amount not in excess of the stated amount of such letter of credit so long as such letter of credit is otherwise permitted to be incurred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(ii) obligations in respect of letters of support, guarantees or similar obligations issued, made or incurred for the benefit of any Subsidiary of Holdings to the extent required by law or in connection with any statutory filing or the delivery of audit opinions performed in jurisdictions other than within the United States;</w:t>
      </w:r>
    </w:p>
    <w:p>
      <w:pPr>
        <w:spacing w:after="0" w:line="188" w:lineRule="exact"/>
        <w:rPr>
          <w:rFonts w:ascii="Arial" w:cs="Arial" w:eastAsia="Arial" w:hAnsi="Arial"/>
          <w:sz w:val="18"/>
          <w:szCs w:val="18"/>
          <w:color w:val="auto"/>
        </w:rPr>
      </w:pPr>
    </w:p>
    <w:p>
      <w:pPr>
        <w:ind w:left="4" w:firstLine="645"/>
        <w:spacing w:after="0" w:line="312" w:lineRule="auto"/>
        <w:tabs>
          <w:tab w:leader="none" w:pos="117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(1) any guarantee by Holdings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or (2) any guarantee by a Restricted Subsidiary of Indebtedness of Holdings;</w:t>
      </w:r>
    </w:p>
    <w:p>
      <w:pPr>
        <w:spacing w:after="0" w:line="146" w:lineRule="exact"/>
        <w:rPr>
          <w:rFonts w:ascii="Arial" w:cs="Arial" w:eastAsia="Arial" w:hAnsi="Arial"/>
          <w:sz w:val="16"/>
          <w:szCs w:val="16"/>
          <w:color w:val="auto"/>
        </w:rPr>
      </w:pPr>
    </w:p>
    <w:p>
      <w:pPr>
        <w:ind w:left="4" w:right="100" w:firstLine="645"/>
        <w:spacing w:after="0" w:line="297" w:lineRule="auto"/>
        <w:tabs>
          <w:tab w:leader="none" w:pos="114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Indebtedness of Restricted Subsidiaries that are not Guarantors in an amount not to exceed, in the aggregate at any one time outstanding, the greater of (x) $15,000,000 and (y) 10.0% of Consolidated EBITDA for the most recently ended Test Period (calculated on a Pro Forma Basis) (it being understood that any Indebtedness incurred pursuant to this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shall cease to be deemed incurred or outstanding for purposes of this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but shall be deemed incurred for the purposes of the first paragraph of this covenant from and after the first date on which such Restricted Subsidiary could have incurred such Indebtedness under the first paragraph of this covenant without reliance on this </w:t>
      </w:r>
      <w:r>
        <w:rPr>
          <w:rFonts w:ascii="Arial" w:cs="Arial" w:eastAsia="Arial" w:hAnsi="Arial"/>
          <w:sz w:val="16"/>
          <w:szCs w:val="16"/>
          <w:u w:val="single" w:color="auto"/>
          <w:color w:val="auto"/>
        </w:rPr>
        <w:t>clause (r))</w:t>
      </w:r>
      <w:r>
        <w:rPr>
          <w:rFonts w:ascii="Arial" w:cs="Arial" w:eastAsia="Arial" w:hAnsi="Arial"/>
          <w:sz w:val="16"/>
          <w:szCs w:val="16"/>
          <w:color w:val="auto"/>
        </w:rPr>
        <w:t>;</w:t>
      </w:r>
    </w:p>
    <w:p>
      <w:pPr>
        <w:spacing w:after="0" w:line="37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44" w:name="page145"/>
    <w:bookmarkEnd w:id="144"/>
    <w:p>
      <w:pPr>
        <w:ind w:left="660" w:right="200" w:firstLine="645"/>
        <w:spacing w:after="0" w:line="342" w:lineRule="auto"/>
        <w:tabs>
          <w:tab w:leader="none" w:pos="181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Indebtedness of Holdings or any of the Restricted Subsidiaries consisting of (i) the financing of insurance premiums or (ii) take or pay obligations contained in supply arrangements in each case, incurred in the ordinary course of business or consistent with past practice;</w:t>
      </w:r>
    </w:p>
    <w:p>
      <w:pPr>
        <w:spacing w:after="0" w:line="123" w:lineRule="exact"/>
        <w:rPr>
          <w:rFonts w:ascii="Arial" w:cs="Arial" w:eastAsia="Arial" w:hAnsi="Arial"/>
          <w:sz w:val="16"/>
          <w:szCs w:val="16"/>
          <w:color w:val="auto"/>
        </w:rPr>
      </w:pPr>
    </w:p>
    <w:p>
      <w:pPr>
        <w:ind w:left="660" w:firstLine="645"/>
        <w:spacing w:after="0" w:line="264" w:lineRule="auto"/>
        <w:tabs>
          <w:tab w:leader="none" w:pos="179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Indebtedness of Holdings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w:t>
      </w:r>
    </w:p>
    <w:p>
      <w:pPr>
        <w:spacing w:after="0" w:line="181" w:lineRule="exact"/>
        <w:rPr>
          <w:rFonts w:ascii="Arial" w:cs="Arial" w:eastAsia="Arial" w:hAnsi="Arial"/>
          <w:sz w:val="18"/>
          <w:szCs w:val="18"/>
          <w:color w:val="auto"/>
        </w:rPr>
      </w:pPr>
    </w:p>
    <w:p>
      <w:pPr>
        <w:ind w:left="660" w:right="400" w:firstLine="645"/>
        <w:spacing w:after="0" w:line="259" w:lineRule="auto"/>
        <w:tabs>
          <w:tab w:leader="none" w:pos="183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Indebtedness consisting of Indebtedness issued by Holdings or any of the Restricted Subsidiaries to future, current or former officers, directors, managers and employees thereof, their respective estates, spouses or former spouses, in each case to finance the purchase or redemption of Equity Interests of Holdings or any direct or indirect parent company of Holdings to the extent described in </w:t>
      </w:r>
      <w:r>
        <w:rPr>
          <w:rFonts w:ascii="Arial" w:cs="Arial" w:eastAsia="Arial" w:hAnsi="Arial"/>
          <w:sz w:val="18"/>
          <w:szCs w:val="18"/>
          <w:u w:val="single" w:color="auto"/>
          <w:color w:val="auto"/>
        </w:rPr>
        <w:t>clause (4)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10.5(b)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820" w:hanging="515"/>
        <w:spacing w:after="0"/>
        <w:tabs>
          <w:tab w:leader="none" w:pos="18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the extent constituting Indebtedness, obligations pursuant to the Wal-Mart Agreements;</w:t>
      </w:r>
    </w:p>
    <w:p>
      <w:pPr>
        <w:spacing w:after="0" w:line="225" w:lineRule="exact"/>
        <w:rPr>
          <w:rFonts w:ascii="Arial" w:cs="Arial" w:eastAsia="Arial" w:hAnsi="Arial"/>
          <w:sz w:val="18"/>
          <w:szCs w:val="18"/>
          <w:color w:val="auto"/>
        </w:rPr>
      </w:pPr>
    </w:p>
    <w:p>
      <w:pPr>
        <w:ind w:left="660" w:firstLine="645"/>
        <w:spacing w:after="0" w:line="273" w:lineRule="auto"/>
        <w:tabs>
          <w:tab w:leader="none" w:pos="187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Indebtedness in respect of (i) Permitted Other Indebtedness to the extent that the Net Cash Proceeds therefrom are applied to the prepayment of Term Loans in the manner set forth in </w:t>
      </w:r>
      <w:r>
        <w:rPr>
          <w:rFonts w:ascii="Arial" w:cs="Arial" w:eastAsia="Arial" w:hAnsi="Arial"/>
          <w:sz w:val="17"/>
          <w:szCs w:val="17"/>
          <w:u w:val="single" w:color="auto"/>
          <w:color w:val="auto"/>
        </w:rPr>
        <w:t>Section 5.2(a)(i)</w:t>
      </w:r>
      <w:r>
        <w:rPr>
          <w:rFonts w:ascii="Arial" w:cs="Arial" w:eastAsia="Arial" w:hAnsi="Arial"/>
          <w:sz w:val="17"/>
          <w:szCs w:val="17"/>
          <w:color w:val="auto"/>
        </w:rPr>
        <w:t xml:space="preserve">; and (ii) any refinancing, refunding, renewal or extension of any Indebtedness specified in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and</w:t>
      </w:r>
    </w:p>
    <w:p>
      <w:pPr>
        <w:spacing w:after="0" w:line="178" w:lineRule="exact"/>
        <w:rPr>
          <w:rFonts w:ascii="Arial" w:cs="Arial" w:eastAsia="Arial" w:hAnsi="Arial"/>
          <w:sz w:val="17"/>
          <w:szCs w:val="17"/>
          <w:color w:val="auto"/>
        </w:rPr>
      </w:pPr>
    </w:p>
    <w:p>
      <w:pPr>
        <w:ind w:left="660" w:right="40" w:firstLine="645"/>
        <w:spacing w:after="0" w:line="272" w:lineRule="auto"/>
        <w:tabs>
          <w:tab w:leader="none" w:pos="1833"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Indebtedness in respect of (i) Permitted Other Indebtedness; provided that the aggregate principal amount of all such Permitted Other Indebtedness issued or incurred pursuant to this clause (i), when aggregated with the amount of Incremental Term Loans and New Revolving Commitments established shall not exceed the Maximum Incremental Facilities Amount and (ii) any refinancing, refunding, renewal or extension of any Indebtedness specified in subclause (i) above; provided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spacing w:after="0" w:line="17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w:t>
      </w:r>
      <w:r>
        <w:rPr>
          <w:rFonts w:ascii="Arial" w:cs="Arial" w:eastAsia="Arial" w:hAnsi="Arial"/>
          <w:sz w:val="16"/>
          <w:szCs w:val="16"/>
          <w:color w:val="auto"/>
        </w:rPr>
        <w:t xml:space="preserve">) above or is entitled to be incurred pursuant to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Holdings, in its sole discretion, will classify and may reclassify such item of Indebtedness, Disqualified Stock or preferred stock (or any portion thereof) and will only be required to include the amount and type of such Indebtedness, Disqualified Stock or preferred stock in one of the above clauses or paragraphs; and (ii) at the time of incurrence, Holdings will be entitled to divide and classify an item of Indebtedness in more than one of the types of Indebtedness described in this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spacing w:after="0" w:line="16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w:t>
      </w:r>
      <w:r>
        <w:rPr>
          <w:rFonts w:ascii="Arial" w:cs="Arial" w:eastAsia="Arial" w:hAnsi="Arial"/>
          <w:sz w:val="16"/>
          <w:szCs w:val="16"/>
          <w:color w:val="auto"/>
        </w:rPr>
        <w:t xml:space="preserve"> above shall be deemed to include additional Indebtedness, Disqualified Stock or preferred stock incurred to pay premiums (including reasonable tender premiums), defeasance costs, fees, and expenses in connection with such refinancing.</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45" w:name="page146"/>
    <w:bookmarkEnd w:id="145"/>
    <w:p>
      <w:pPr>
        <w:ind w:firstLine="648"/>
        <w:spacing w:after="0" w:line="254" w:lineRule="auto"/>
        <w:rPr>
          <w:sz w:val="20"/>
          <w:szCs w:val="20"/>
          <w:color w:val="auto"/>
        </w:rPr>
      </w:pPr>
      <w:r>
        <w:rPr>
          <w:rFonts w:ascii="Arial" w:cs="Arial" w:eastAsia="Arial" w:hAnsi="Arial"/>
          <w:sz w:val="18"/>
          <w:szCs w:val="18"/>
          <w:color w:val="auto"/>
        </w:rPr>
        <w:t xml:space="preserve">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w:t>
      </w:r>
    </w:p>
    <w:p>
      <w:pPr>
        <w:spacing w:after="0" w:line="19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spacing w:after="0" w:line="12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25" w:lineRule="exact"/>
        <w:rPr>
          <w:sz w:val="20"/>
          <w:szCs w:val="20"/>
          <w:color w:val="auto"/>
        </w:rPr>
      </w:pPr>
    </w:p>
    <w:p>
      <w:pPr>
        <w:ind w:right="300" w:firstLine="656"/>
        <w:spacing w:after="0" w:line="312" w:lineRule="auto"/>
        <w:tabs>
          <w:tab w:leader="none" w:pos="129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Holdings will not, and will not permit any of the Restricted Subsidiaries to, create, incur, assume or suffer to exist any Lien upon any property or assets of any kind (real or personal, tangible or intangible) of Holdings or any Restricted Subsidiary, whether now owned or hereafter acquired (each, a “</w:t>
      </w:r>
      <w:r>
        <w:rPr>
          <w:rFonts w:ascii="Arial" w:cs="Arial" w:eastAsia="Arial" w:hAnsi="Arial"/>
          <w:sz w:val="16"/>
          <w:szCs w:val="16"/>
          <w:b w:val="1"/>
          <w:bCs w:val="1"/>
          <w:color w:val="auto"/>
        </w:rPr>
        <w:t>Subject Lien</w:t>
      </w:r>
      <w:r>
        <w:rPr>
          <w:rFonts w:ascii="Arial" w:cs="Arial" w:eastAsia="Arial" w:hAnsi="Arial"/>
          <w:sz w:val="16"/>
          <w:szCs w:val="16"/>
          <w:color w:val="auto"/>
        </w:rPr>
        <w:t>”) that secures obligations under any Indebtedness on any asset or property of Holdings or any Restricted Subsidiary, except:</w:t>
      </w:r>
    </w:p>
    <w:p>
      <w:pPr>
        <w:spacing w:after="0" w:line="146" w:lineRule="exact"/>
        <w:rPr>
          <w:rFonts w:ascii="Arial" w:cs="Arial" w:eastAsia="Arial" w:hAnsi="Arial"/>
          <w:sz w:val="16"/>
          <w:szCs w:val="16"/>
          <w:color w:val="auto"/>
        </w:rPr>
      </w:pPr>
    </w:p>
    <w:p>
      <w:pPr>
        <w:ind w:left="1880" w:hanging="575"/>
        <w:spacing w:after="0"/>
        <w:tabs>
          <w:tab w:leader="none" w:pos="18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case of Subject Liens on any Collateral, if such Subject Lien is a Permitted Lien;</w:t>
      </w:r>
    </w:p>
    <w:p>
      <w:pPr>
        <w:spacing w:after="0" w:line="225" w:lineRule="exact"/>
        <w:rPr>
          <w:rFonts w:ascii="Arial" w:cs="Arial" w:eastAsia="Arial" w:hAnsi="Arial"/>
          <w:sz w:val="18"/>
          <w:szCs w:val="18"/>
          <w:color w:val="auto"/>
        </w:rPr>
      </w:pPr>
    </w:p>
    <w:p>
      <w:pPr>
        <w:jc w:val="both"/>
        <w:ind w:left="660" w:right="60" w:firstLine="645"/>
        <w:spacing w:after="0" w:line="264" w:lineRule="auto"/>
        <w:tabs>
          <w:tab w:leader="none" w:pos="18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case of any other asset or property, any Subject Lien if (i) the Obligations are equally and ratably secured with (or on a senior basis to, in the case such Subject Lien secures any Junior Debt) the obligations secured by such Subject Lien or (ii) such Subject Lien is a Permitted Lien; and</w:t>
      </w:r>
    </w:p>
    <w:p>
      <w:pPr>
        <w:spacing w:after="0" w:line="181" w:lineRule="exact"/>
        <w:rPr>
          <w:rFonts w:ascii="Arial" w:cs="Arial" w:eastAsia="Arial" w:hAnsi="Arial"/>
          <w:sz w:val="18"/>
          <w:szCs w:val="18"/>
          <w:color w:val="auto"/>
        </w:rPr>
      </w:pPr>
    </w:p>
    <w:p>
      <w:pPr>
        <w:ind w:left="660" w:right="220" w:firstLine="645"/>
        <w:spacing w:after="0" w:line="283" w:lineRule="auto"/>
        <w:tabs>
          <w:tab w:leader="none" w:pos="1893"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any other Subject Lien (without duplication of Liens permitted under clauses (i) and (ii) of this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if (x) the obligations secured by such Subject Lien (“Junior Lien Indebtedness”) are junior to the Obligations and (y) the assets or property secured by such Subject Lien are on Collateral (or immediately upon incurring such Junior Lien Indebtedness such assets or property become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Junior Lien Indebtedness that constitutes debt for borrowed money, such Junior Lien Indebtedness complies with clauses (a), (b), and (c) of the definition of “Permitted Other Indebtedness” and (ii) in the case of Junior Lien Indebtedness that constitutes debt for borrowed money, the applicable holders of such Junior Lien Indebtedness (or a representative thereof on behalf of such holders) shall enter into security documents with terms and conditions not materially more restrictive to the Credit Parties, taken as a whole, than the terms and conditions of the Security Documents and shall (A) in the case of the first such issuance of such Junior Lien Indebtedness, the Collateral Agent, the Administrative Agent and the representative of the holders of such Junior Lien Indebtedness shall have entered into the Second Lien Intercreditor Agreement and</w:t>
      </w:r>
    </w:p>
    <w:p>
      <w:pPr>
        <w:spacing w:after="0" w:line="6" w:lineRule="exact"/>
        <w:rPr>
          <w:rFonts w:ascii="Arial" w:cs="Arial" w:eastAsia="Arial" w:hAnsi="Arial"/>
          <w:sz w:val="16"/>
          <w:szCs w:val="16"/>
          <w:color w:val="auto"/>
        </w:rPr>
      </w:pPr>
    </w:p>
    <w:p>
      <w:pPr>
        <w:ind w:left="660" w:right="240"/>
        <w:spacing w:after="0" w:line="254" w:lineRule="auto"/>
        <w:rPr>
          <w:rFonts w:ascii="Arial" w:cs="Arial" w:eastAsia="Arial" w:hAnsi="Arial"/>
          <w:sz w:val="16"/>
          <w:szCs w:val="16"/>
          <w:color w:val="auto"/>
        </w:rPr>
      </w:pPr>
      <w:r>
        <w:rPr>
          <w:rFonts w:ascii="Arial" w:cs="Arial" w:eastAsia="Arial" w:hAnsi="Arial"/>
          <w:sz w:val="18"/>
          <w:szCs w:val="18"/>
          <w:color w:val="auto"/>
        </w:rPr>
        <w:t>(B) in the case of subsequent issuances of such Junior Lien Indebtedness, the representative for the holders of such Junior Lien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Second Lien Intercreditor Agreement contemplated by this clause (ii).</w:t>
      </w:r>
    </w:p>
    <w:p>
      <w:pPr>
        <w:spacing w:after="0" w:line="189" w:lineRule="exact"/>
        <w:rPr>
          <w:rFonts w:ascii="Arial" w:cs="Arial" w:eastAsia="Arial" w:hAnsi="Arial"/>
          <w:sz w:val="16"/>
          <w:szCs w:val="16"/>
          <w:color w:val="auto"/>
        </w:rPr>
      </w:pPr>
    </w:p>
    <w:p>
      <w:pPr>
        <w:jc w:val="both"/>
        <w:ind w:right="160" w:firstLine="656"/>
        <w:spacing w:after="0" w:line="264" w:lineRule="auto"/>
        <w:tabs>
          <w:tab w:leader="none" w:pos="116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6" w:name="page147"/>
    <w:bookmarkEnd w:id="146"/>
    <w:p>
      <w:pPr>
        <w:ind w:right="320" w:firstLine="648"/>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Limitation on Fundamental Changes</w:t>
      </w:r>
      <w:r>
        <w:rPr>
          <w:rFonts w:ascii="Arial" w:cs="Arial" w:eastAsia="Arial" w:hAnsi="Arial"/>
          <w:sz w:val="18"/>
          <w:szCs w:val="18"/>
          <w:color w:val="auto"/>
        </w:rPr>
        <w:t>. Holdings will not, and will not permit any of the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except that:</w:t>
      </w:r>
    </w:p>
    <w:p>
      <w:pPr>
        <w:spacing w:after="0" w:line="181" w:lineRule="exact"/>
        <w:rPr>
          <w:sz w:val="20"/>
          <w:szCs w:val="20"/>
          <w:color w:val="auto"/>
        </w:rPr>
      </w:pPr>
    </w:p>
    <w:p>
      <w:pPr>
        <w:ind w:left="660" w:firstLine="645"/>
        <w:spacing w:after="0" w:line="283" w:lineRule="auto"/>
        <w:tabs>
          <w:tab w:leader="none" w:pos="182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or would result therefrom, any Subsidiary of Holdings or any other Person may be merged, amalgamated or consolidated with or into Holdings or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Holdings or the Borrower shall be the continuing or surviving corporation or (B) if the Person formed by or surviving any such merger, amalgamation or consolidation is not Holdings or the Borrower (such other Person, the “</w:t>
      </w:r>
      <w:r>
        <w:rPr>
          <w:rFonts w:ascii="Arial" w:cs="Arial" w:eastAsia="Arial" w:hAnsi="Arial"/>
          <w:sz w:val="16"/>
          <w:szCs w:val="16"/>
          <w:b w:val="1"/>
          <w:bCs w:val="1"/>
          <w:color w:val="auto"/>
        </w:rPr>
        <w:t>Successor Borrower</w:t>
      </w:r>
      <w:r>
        <w:rPr>
          <w:rFonts w:ascii="Arial" w:cs="Arial" w:eastAsia="Arial" w:hAnsi="Arial"/>
          <w:sz w:val="16"/>
          <w:szCs w:val="16"/>
          <w:color w:val="auto"/>
        </w:rPr>
        <w:t xml:space="preserve">”), (1) the Successor Borrower shall be an entity organized or existing under the laws of the United States, any state thereof, or the District of Columbia, (2) the Successor Borrower shall expressly assume all the obligations of Holdings or the Borrower under this Agreement and the other Credit Documents pursuant to a supplement hereto or thereto or in a form otherwise reasonably satisfactory to the Administrative Agent, (3)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Arial" w:cs="Arial" w:eastAsia="Arial" w:hAnsi="Arial"/>
          <w:sz w:val="16"/>
          <w:szCs w:val="16"/>
          <w:u w:val="single" w:color="auto"/>
          <w:color w:val="auto"/>
        </w:rPr>
        <w:t>clause</w:t>
      </w:r>
    </w:p>
    <w:p>
      <w:pPr>
        <w:spacing w:after="0" w:line="5" w:lineRule="exact"/>
        <w:rPr>
          <w:rFonts w:ascii="Arial" w:cs="Arial" w:eastAsia="Arial" w:hAnsi="Arial"/>
          <w:sz w:val="16"/>
          <w:szCs w:val="16"/>
          <w:color w:val="auto"/>
        </w:rPr>
      </w:pPr>
    </w:p>
    <w:p>
      <w:pPr>
        <w:ind w:left="660"/>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(3)</w:t>
      </w:r>
      <w:r>
        <w:rPr>
          <w:rFonts w:ascii="Arial" w:cs="Arial" w:eastAsia="Arial" w:hAnsi="Arial"/>
          <w:sz w:val="16"/>
          <w:szCs w:val="16"/>
          <w:color w:val="auto"/>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 (y) if requested by the Administrative Agent, an opinion of counsel to the effect that such merger, amalgamation, or consolidation does not violate this Agreement or any other Credit Document and that the provisions set forth in the preceding </w:t>
      </w:r>
      <w:r>
        <w:rPr>
          <w:rFonts w:ascii="Arial" w:cs="Arial" w:eastAsia="Arial" w:hAnsi="Arial"/>
          <w:sz w:val="16"/>
          <w:szCs w:val="16"/>
          <w:u w:val="single" w:color="auto"/>
          <w:color w:val="auto"/>
        </w:rPr>
        <w:t>clauses (3)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(5)</w:t>
      </w:r>
      <w:r>
        <w:rPr>
          <w:rFonts w:ascii="Arial" w:cs="Arial" w:eastAsia="Arial" w:hAnsi="Arial"/>
          <w:sz w:val="16"/>
          <w:szCs w:val="16"/>
          <w:color w:val="auto"/>
        </w:rPr>
        <w:t xml:space="preserve"> preserve the enforceability of the Guarantee and the perfection of the Liens created under the applicable Security Documents (it being understood that if the foregoing are satisfied, the Successor Borrower will succeed to, and be substituted for, the Borrower under this Agreement);</w:t>
      </w:r>
    </w:p>
    <w:p>
      <w:pPr>
        <w:spacing w:after="0" w:line="170" w:lineRule="exact"/>
        <w:rPr>
          <w:rFonts w:ascii="Arial" w:cs="Arial" w:eastAsia="Arial" w:hAnsi="Arial"/>
          <w:sz w:val="16"/>
          <w:szCs w:val="16"/>
          <w:color w:val="auto"/>
        </w:rPr>
      </w:pPr>
    </w:p>
    <w:p>
      <w:pPr>
        <w:ind w:left="660" w:right="20" w:firstLine="645"/>
        <w:spacing w:after="0" w:line="287" w:lineRule="auto"/>
        <w:tabs>
          <w:tab w:leader="none" w:pos="183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or would result therefrom, any Subsidiary of Holdings or any other Person (in each case, other than the Borrower) may be merged, amalgamated or consolidated with or into any one or more Subsidiaries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merger, amalgamation or consolidation involving one or more Restricted Subsidiaries, (A) a Restricted Subsidiary shall be the continuing or surviving Person or (B) Holdings shall cause the Person formed by or surviving any such merger, amalgamation or consolidation (if other than a Restricted Subsidiary) to become a Restricted Subsidiary, (ii) in the case of any merger, amalgamation or consolidation involving one or more Guarantors, a Guarantor shall be the continuing or surviving Person or the Person formed by or surviving any such merger, amalgamation or consolidation and if the surviving Person is not already a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Holdings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applicable Security Documents;</w:t>
      </w:r>
    </w:p>
    <w:p>
      <w:pPr>
        <w:spacing w:after="0" w:line="172" w:lineRule="exact"/>
        <w:rPr>
          <w:rFonts w:ascii="Arial" w:cs="Arial" w:eastAsia="Arial" w:hAnsi="Arial"/>
          <w:sz w:val="16"/>
          <w:szCs w:val="16"/>
          <w:color w:val="auto"/>
        </w:rPr>
      </w:pPr>
    </w:p>
    <w:p>
      <w:pPr>
        <w:ind w:left="1820" w:hanging="515"/>
        <w:spacing w:after="0"/>
        <w:tabs>
          <w:tab w:leader="none" w:pos="18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Transactions may be consummated;</w:t>
      </w:r>
    </w:p>
    <w:p>
      <w:pPr>
        <w:spacing w:after="0" w:line="225" w:lineRule="exact"/>
        <w:rPr>
          <w:rFonts w:ascii="Arial" w:cs="Arial" w:eastAsia="Arial" w:hAnsi="Arial"/>
          <w:sz w:val="18"/>
          <w:szCs w:val="18"/>
          <w:color w:val="auto"/>
        </w:rPr>
      </w:pPr>
    </w:p>
    <w:p>
      <w:pPr>
        <w:jc w:val="both"/>
        <w:ind w:left="660" w:right="160" w:firstLine="645"/>
        <w:spacing w:after="0" w:line="259" w:lineRule="auto"/>
        <w:tabs>
          <w:tab w:leader="none" w:pos="183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any Restricted Subsidiary that is not a Credit Party may convey, sell, lease, assign, transfer or otherwise dispose of any or all of its assets (upon voluntary liquidation or dissolution or otherwise) to Holdings or any other Restricted Subsidiary or (ii) any Credit Party (other than the Borrower) may convey, sell, lease, assign, transfer or otherwise dispose of any or all of its assets (upon voluntary liquidation or dissolution or otherwise) to any other Credit Party;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7" w:name="page148"/>
    <w:bookmarkEnd w:id="147"/>
    <w:p>
      <w:pPr>
        <w:ind w:right="80" w:firstLine="645"/>
        <w:spacing w:after="0" w:line="264" w:lineRule="auto"/>
        <w:tabs>
          <w:tab w:leader="none" w:pos="116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any Subsidiary may convey, sell, lease, assign, transfer or otherwise dispose of any or all of its assets (upon voluntary liquidation or dissolution or otherwise) to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consideration for any such disposition by any Person other than a Guarantor shall not exceed the fair value of such assets;</w:t>
      </w:r>
    </w:p>
    <w:p>
      <w:pPr>
        <w:spacing w:after="0" w:line="181" w:lineRule="exact"/>
        <w:rPr>
          <w:rFonts w:ascii="Arial" w:cs="Arial" w:eastAsia="Arial" w:hAnsi="Arial"/>
          <w:sz w:val="18"/>
          <w:szCs w:val="18"/>
          <w:color w:val="auto"/>
        </w:rPr>
      </w:pPr>
    </w:p>
    <w:p>
      <w:pPr>
        <w:ind w:right="660" w:firstLine="645"/>
        <w:spacing w:after="0" w:line="308" w:lineRule="auto"/>
        <w:tabs>
          <w:tab w:leader="none" w:pos="114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Restricted Subsidiary (other than the Borrower) may liquidate or dissolve if Holdings determines in good faith that such liquidation or dissolution is in the best interests of Holdings and is not materially disadvantageous to the Lenders;</w:t>
      </w:r>
    </w:p>
    <w:p>
      <w:pPr>
        <w:spacing w:after="0" w:line="146" w:lineRule="exact"/>
        <w:rPr>
          <w:rFonts w:ascii="Arial" w:cs="Arial" w:eastAsia="Arial" w:hAnsi="Arial"/>
          <w:sz w:val="17"/>
          <w:szCs w:val="17"/>
          <w:color w:val="auto"/>
        </w:rPr>
      </w:pPr>
    </w:p>
    <w:p>
      <w:pPr>
        <w:ind w:firstLine="645"/>
        <w:spacing w:after="0" w:line="259" w:lineRule="auto"/>
        <w:tabs>
          <w:tab w:leader="none" w:pos="117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Holdings and the Restricted Subsidiaries may consummate a merger, dissolution, liquidation, consolidation, investment or conveyance, sale, lease, assignment or disposition, the purpose of which is to effect an Asset Sale (which for purposes of this </w:t>
      </w:r>
      <w:r>
        <w:rPr>
          <w:rFonts w:ascii="Arial" w:cs="Arial" w:eastAsia="Arial" w:hAnsi="Arial"/>
          <w:sz w:val="18"/>
          <w:szCs w:val="18"/>
          <w:u w:val="single" w:color="auto"/>
          <w:color w:val="auto"/>
        </w:rPr>
        <w:t>Section 10.3(g)</w:t>
      </w:r>
      <w:r>
        <w:rPr>
          <w:rFonts w:ascii="Arial" w:cs="Arial" w:eastAsia="Arial" w:hAnsi="Arial"/>
          <w:sz w:val="18"/>
          <w:szCs w:val="18"/>
          <w:color w:val="auto"/>
        </w:rPr>
        <w:t xml:space="preserve">, will include any disposition below the dollar threshold set forth in clause (d) of the definition of “Asset Sale”) permitted by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an investment permitted pursuant to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or an investment that constitutes a Permitted Investment; and</w:t>
      </w:r>
    </w:p>
    <w:p>
      <w:pPr>
        <w:spacing w:after="0" w:line="186" w:lineRule="exact"/>
        <w:rPr>
          <w:rFonts w:ascii="Arial" w:cs="Arial" w:eastAsia="Arial" w:hAnsi="Arial"/>
          <w:sz w:val="18"/>
          <w:szCs w:val="18"/>
          <w:color w:val="auto"/>
        </w:rPr>
      </w:pPr>
    </w:p>
    <w:p>
      <w:pPr>
        <w:ind w:right="60" w:firstLine="645"/>
        <w:spacing w:after="0" w:line="277" w:lineRule="auto"/>
        <w:tabs>
          <w:tab w:leader="none" w:pos="117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result therefrom, Holdings or any Restricted Subsidiary may change its legal form.</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Limitation on Sale of Assets</w:t>
      </w:r>
      <w:r>
        <w:rPr>
          <w:rFonts w:ascii="Arial" w:cs="Arial" w:eastAsia="Arial" w:hAnsi="Arial"/>
          <w:sz w:val="16"/>
          <w:szCs w:val="16"/>
          <w:color w:val="auto"/>
        </w:rPr>
        <w:t>. Holdings will not, and will not permit any Restricted Subsidiary to, consummate an Asset Sale, unless:</w:t>
      </w:r>
    </w:p>
    <w:p>
      <w:pPr>
        <w:spacing w:after="0" w:line="225" w:lineRule="exact"/>
        <w:rPr>
          <w:sz w:val="20"/>
          <w:szCs w:val="20"/>
          <w:color w:val="auto"/>
        </w:rPr>
      </w:pPr>
    </w:p>
    <w:p>
      <w:pPr>
        <w:ind w:right="40" w:firstLine="645"/>
        <w:spacing w:after="0" w:line="342" w:lineRule="auto"/>
        <w:tabs>
          <w:tab w:leader="none" w:pos="116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Holdings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spacing w:after="0" w:line="123" w:lineRule="exact"/>
        <w:rPr>
          <w:rFonts w:ascii="Arial" w:cs="Arial" w:eastAsia="Arial" w:hAnsi="Arial"/>
          <w:sz w:val="16"/>
          <w:szCs w:val="16"/>
          <w:color w:val="auto"/>
        </w:rPr>
      </w:pPr>
    </w:p>
    <w:p>
      <w:pPr>
        <w:ind w:right="260" w:firstLine="645"/>
        <w:spacing w:after="0" w:line="264" w:lineRule="auto"/>
        <w:tabs>
          <w:tab w:leader="none" w:pos="117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except in the case of a Permitted Asset Swap, if the property or assets sold or otherwise disposed of have a Fair Market Value in excess of $10,000,000, at least 75% of the consideration therefor received by Holdings or such Restricted Subsidiary, as the case may be, is in the form of cash or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w:t>
      </w:r>
    </w:p>
    <w:p>
      <w:pPr>
        <w:spacing w:after="0" w:line="181" w:lineRule="exact"/>
        <w:rPr>
          <w:rFonts w:ascii="Arial" w:cs="Arial" w:eastAsia="Arial" w:hAnsi="Arial"/>
          <w:sz w:val="18"/>
          <w:szCs w:val="18"/>
          <w:color w:val="auto"/>
        </w:rPr>
      </w:pPr>
    </w:p>
    <w:p>
      <w:pPr>
        <w:ind w:left="640" w:right="80" w:firstLine="653"/>
        <w:spacing w:after="0" w:line="293" w:lineRule="auto"/>
        <w:tabs>
          <w:tab w:leader="none" w:pos="177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any liabilities (as reflected on Holdings’ most recent consolidated balance sheet or in the footnotes thereto, or if incurred or accrued subsequent to the date of such balance sheet, such liabilities that would have been reflected on Holdings’ consolidated balance sheet or in the footnotes thereto if such incurrence or accrual had taken place on or prior to the date of such balance sheet, as determined in good faith by Holdings) of Holdings, other than liabilities that are by their terms subordinated to the Loans, that are assumed by the transferee of any such assets (or are otherwise extinguished in connection with the transactions relating to such Asset Sale) and for which Holdings and all such Restricted Subsidiaries have been validly released by all applicable creditors in writing;</w:t>
      </w:r>
    </w:p>
    <w:p>
      <w:pPr>
        <w:spacing w:after="0" w:line="164" w:lineRule="exact"/>
        <w:rPr>
          <w:rFonts w:ascii="Arial" w:cs="Arial" w:eastAsia="Arial" w:hAnsi="Arial"/>
          <w:sz w:val="16"/>
          <w:szCs w:val="16"/>
          <w:color w:val="auto"/>
        </w:rPr>
      </w:pPr>
    </w:p>
    <w:p>
      <w:pPr>
        <w:jc w:val="both"/>
        <w:ind w:left="640" w:right="40" w:firstLine="653"/>
        <w:spacing w:after="0" w:line="259" w:lineRule="auto"/>
        <w:tabs>
          <w:tab w:leader="none" w:pos="182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Holdings or such Restricted Subsidiary from such transferee that are converted by Holdings or such Restricted Subsidiary into cash or Cash Equivalents, or by their terms are required to be satisfied for cash or Cash Equivalents (to the extent of the cash or Cash Equivalents received), in each case, within 180 days following the closing of such Asset Sale;</w:t>
      </w:r>
    </w:p>
    <w:p>
      <w:pPr>
        <w:spacing w:after="0" w:line="186" w:lineRule="exact"/>
        <w:rPr>
          <w:rFonts w:ascii="Arial" w:cs="Arial" w:eastAsia="Arial" w:hAnsi="Arial"/>
          <w:sz w:val="18"/>
          <w:szCs w:val="18"/>
          <w:color w:val="auto"/>
        </w:rPr>
      </w:pPr>
    </w:p>
    <w:p>
      <w:pPr>
        <w:ind w:left="640" w:right="80" w:firstLine="653"/>
        <w:spacing w:after="0" w:line="312" w:lineRule="auto"/>
        <w:tabs>
          <w:tab w:leader="none" w:pos="187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Indebtedness, other than liabilities that are by their terms subordinated to the Loans, that are of any Restricted Subsidiary that is no longer a Restricted Subsidiary as a result of such Asset Sale, to the extent that Holdings and all Restricted Subsidiaries have been validly released from any Guarantee of payment of such Indebtedness in connection with such Asset Sale; and</w:t>
      </w:r>
    </w:p>
    <w:p>
      <w:pPr>
        <w:spacing w:after="0" w:line="146" w:lineRule="exact"/>
        <w:rPr>
          <w:rFonts w:ascii="Arial" w:cs="Arial" w:eastAsia="Arial" w:hAnsi="Arial"/>
          <w:sz w:val="16"/>
          <w:szCs w:val="16"/>
          <w:color w:val="auto"/>
        </w:rPr>
      </w:pPr>
    </w:p>
    <w:p>
      <w:pPr>
        <w:ind w:left="640" w:firstLine="653"/>
        <w:spacing w:after="0" w:line="276" w:lineRule="auto"/>
        <w:tabs>
          <w:tab w:leader="none" w:pos="1863"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any Designated Non-Cash Consideration received by Holdings or such Restricted Subsidiary in such Asset Sale having an aggregate Fair Market Value, taken together with all other Designated Non-Cash Consideration received pursuant to this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that is at that time outstanding, not to exceed the greater of $85,000,000 or 6.0% of Consolidated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38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908" w:right="259" w:bottom="1440" w:gutter="0" w:footer="0" w:header="0"/>
        </w:sectPr>
      </w:pPr>
    </w:p>
    <w:bookmarkStart w:id="148" w:name="page149"/>
    <w:bookmarkEnd w:id="148"/>
    <w:p>
      <w:pPr>
        <w:ind w:left="4"/>
        <w:spacing w:after="0"/>
        <w:rPr>
          <w:sz w:val="20"/>
          <w:szCs w:val="20"/>
          <w:color w:val="auto"/>
        </w:rPr>
      </w:pPr>
      <w:r>
        <w:rPr>
          <w:rFonts w:ascii="Arial" w:cs="Arial" w:eastAsia="Arial" w:hAnsi="Arial"/>
          <w:sz w:val="18"/>
          <w:szCs w:val="18"/>
          <w:color w:val="auto"/>
        </w:rPr>
        <w:t xml:space="preserve">shall be deemed to be cash for purposes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provision and for no other purpose.</w:t>
      </w:r>
    </w:p>
    <w:p>
      <w:pPr>
        <w:spacing w:after="0" w:line="225"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Within the Reinvestment Period after Holdings’ or any Restricted Subsidiary’s receipt of the Net Cash Proceeds of any Asset Sale, Holdings or such Restricted Subsidiary shall apply the Net Cash Proceeds from such Asset Sale:</w:t>
      </w:r>
    </w:p>
    <w:p>
      <w:pPr>
        <w:spacing w:after="0" w:line="170" w:lineRule="exact"/>
        <w:rPr>
          <w:sz w:val="20"/>
          <w:szCs w:val="20"/>
          <w:color w:val="auto"/>
        </w:rPr>
      </w:pPr>
    </w:p>
    <w:p>
      <w:pPr>
        <w:ind w:left="1184" w:hanging="535"/>
        <w:spacing w:after="0"/>
        <w:tabs>
          <w:tab w:leader="none" w:pos="118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to prepay Loans or Permitted Other Indebtedness in accordance with </w:t>
      </w:r>
      <w:r>
        <w:rPr>
          <w:rFonts w:ascii="Arial" w:cs="Arial" w:eastAsia="Arial" w:hAnsi="Arial"/>
          <w:sz w:val="18"/>
          <w:szCs w:val="18"/>
          <w:u w:val="single" w:color="auto"/>
          <w:color w:val="auto"/>
        </w:rPr>
        <w:t>Section 5.2(a)(i)</w:t>
      </w:r>
      <w:r>
        <w:rPr>
          <w:rFonts w:ascii="Arial" w:cs="Arial" w:eastAsia="Arial" w:hAnsi="Arial"/>
          <w:sz w:val="18"/>
          <w:szCs w:val="18"/>
          <w:color w:val="auto"/>
        </w:rPr>
        <w:t>; and/or</w:t>
      </w:r>
    </w:p>
    <w:p>
      <w:pPr>
        <w:spacing w:after="0" w:line="225" w:lineRule="exact"/>
        <w:rPr>
          <w:rFonts w:ascii="Arial" w:cs="Arial" w:eastAsia="Arial" w:hAnsi="Arial"/>
          <w:sz w:val="18"/>
          <w:szCs w:val="18"/>
          <w:color w:val="auto"/>
        </w:rPr>
      </w:pPr>
    </w:p>
    <w:p>
      <w:pPr>
        <w:ind w:left="4" w:right="120" w:firstLine="645"/>
        <w:spacing w:after="0" w:line="293" w:lineRule="auto"/>
        <w:tabs>
          <w:tab w:leader="none" w:pos="118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to make investments in the Borrower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and the Restricted Subsidiaries will be deemed to have complied with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if and to the extent that, within the Reinvestment Period after the Asset Sale that generated the Net Cash Proceeds, Holdings or such Restricted Subsidiary has entered into and not abandoned or rejected a binding agreement to consummate any such investment described in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with the good faith expectation that such Net Cash Proceeds will be applied to satisfy such commitment within 180 days of such commitment and, in the event any such commitment is later cancelled or terminated for any reason before the Net Cash Proceeds are applied in connection therewith, Holdings or such Restricted Subsidiary prepays the Loans in accordance with </w:t>
      </w:r>
      <w:r>
        <w:rPr>
          <w:rFonts w:ascii="Arial" w:cs="Arial" w:eastAsia="Arial" w:hAnsi="Arial"/>
          <w:sz w:val="16"/>
          <w:szCs w:val="16"/>
          <w:u w:val="single" w:color="auto"/>
          <w:color w:val="auto"/>
        </w:rPr>
        <w:t>Section 5.2(a)(i)</w:t>
      </w:r>
      <w:r>
        <w:rPr>
          <w:rFonts w:ascii="Arial" w:cs="Arial" w:eastAsia="Arial" w:hAnsi="Arial"/>
          <w:sz w:val="16"/>
          <w:szCs w:val="16"/>
          <w:color w:val="auto"/>
        </w:rPr>
        <w:t>.</w:t>
      </w:r>
    </w:p>
    <w:p>
      <w:pPr>
        <w:spacing w:after="0" w:line="165" w:lineRule="exact"/>
        <w:rPr>
          <w:sz w:val="20"/>
          <w:szCs w:val="20"/>
          <w:color w:val="auto"/>
        </w:rPr>
      </w:pPr>
    </w:p>
    <w:p>
      <w:pPr>
        <w:ind w:left="4" w:right="60" w:firstLine="645"/>
        <w:spacing w:after="0" w:line="264" w:lineRule="auto"/>
        <w:tabs>
          <w:tab w:leader="none" w:pos="116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Pending the final application of any Net Cash Proceeds pursuant to this covenant, Holdings or the applicable Restricted Subsidiary may apply such Net Cash Proceeds temporarily to reduce Indebtedness outstanding under the Revolving Credit Facility or any other revolving credit facility or otherwise invest such Net Cash Proceeds in any manner not prohibited by this Agreement.</w:t>
      </w:r>
    </w:p>
    <w:p>
      <w:pPr>
        <w:spacing w:after="0" w:line="181" w:lineRule="exact"/>
        <w:rPr>
          <w:sz w:val="20"/>
          <w:szCs w:val="20"/>
          <w:color w:val="auto"/>
        </w:rPr>
      </w:pPr>
    </w:p>
    <w:p>
      <w:pPr>
        <w:ind w:left="4"/>
        <w:spacing w:after="0"/>
        <w:tabs>
          <w:tab w:leader="none" w:pos="603"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25" w:lineRule="exact"/>
        <w:rPr>
          <w:sz w:val="20"/>
          <w:szCs w:val="20"/>
          <w:color w:val="auto"/>
        </w:rPr>
      </w:pPr>
    </w:p>
    <w:p>
      <w:pPr>
        <w:ind w:left="604" w:hanging="604"/>
        <w:spacing w:after="0"/>
        <w:tabs>
          <w:tab w:leader="none" w:pos="60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Holdings will not, and will not permit any Restricted Subsidiary to, directly or indirectly:</w:t>
      </w:r>
    </w:p>
    <w:p>
      <w:pPr>
        <w:spacing w:after="0" w:line="225" w:lineRule="exact"/>
        <w:rPr>
          <w:rFonts w:ascii="Arial" w:cs="Arial" w:eastAsia="Arial" w:hAnsi="Arial"/>
          <w:sz w:val="18"/>
          <w:szCs w:val="18"/>
          <w:color w:val="auto"/>
        </w:rPr>
      </w:pPr>
    </w:p>
    <w:p>
      <w:pPr>
        <w:ind w:left="4" w:right="360" w:firstLine="645"/>
        <w:spacing w:after="0" w:line="308" w:lineRule="auto"/>
        <w:tabs>
          <w:tab w:leader="none" w:pos="1222" w:val="left"/>
        </w:tabs>
        <w:numPr>
          <w:ilvl w:val="1"/>
          <w:numId w:val="154"/>
        </w:numPr>
        <w:rPr>
          <w:rFonts w:ascii="Arial" w:cs="Arial" w:eastAsia="Arial" w:hAnsi="Arial"/>
          <w:sz w:val="17"/>
          <w:szCs w:val="17"/>
          <w:color w:val="010000"/>
        </w:rPr>
      </w:pPr>
      <w:r>
        <w:rPr>
          <w:rFonts w:ascii="Arial" w:cs="Arial" w:eastAsia="Arial" w:hAnsi="Arial"/>
          <w:sz w:val="17"/>
          <w:szCs w:val="17"/>
          <w:color w:val="auto"/>
        </w:rPr>
        <w:t>declare or pay any dividend or make any payment or distribution on account of Holdings’ or any Restricted Subsidiary’s Equity Interests, including any dividend or distribution payable in connection with any merger or consolidation, other than:</w:t>
      </w:r>
    </w:p>
    <w:p>
      <w:pPr>
        <w:spacing w:after="0" w:line="146" w:lineRule="exact"/>
        <w:rPr>
          <w:rFonts w:ascii="Arial" w:cs="Arial" w:eastAsia="Arial" w:hAnsi="Arial"/>
          <w:sz w:val="17"/>
          <w:szCs w:val="17"/>
          <w:color w:val="010000"/>
        </w:rPr>
      </w:pPr>
    </w:p>
    <w:p>
      <w:pPr>
        <w:ind w:left="644" w:right="600" w:firstLine="653"/>
        <w:spacing w:after="0" w:line="277" w:lineRule="auto"/>
        <w:tabs>
          <w:tab w:leader="none" w:pos="1857" w:val="left"/>
        </w:tabs>
        <w:numPr>
          <w:ilvl w:val="2"/>
          <w:numId w:val="154"/>
        </w:numPr>
        <w:rPr>
          <w:rFonts w:ascii="Arial" w:cs="Arial" w:eastAsia="Arial" w:hAnsi="Arial"/>
          <w:sz w:val="18"/>
          <w:szCs w:val="18"/>
          <w:color w:val="auto"/>
        </w:rPr>
      </w:pPr>
      <w:r>
        <w:rPr>
          <w:rFonts w:ascii="Arial" w:cs="Arial" w:eastAsia="Arial" w:hAnsi="Arial"/>
          <w:sz w:val="18"/>
          <w:szCs w:val="18"/>
          <w:color w:val="auto"/>
        </w:rPr>
        <w:t>dividends or distributions by Holdings payable in Equity Interests (other than Disqualified Stock) of Holdings or in options, warrants or other rights to purchase such Equity Interests, or</w:t>
      </w:r>
    </w:p>
    <w:p>
      <w:pPr>
        <w:spacing w:after="0" w:line="170" w:lineRule="exact"/>
        <w:rPr>
          <w:rFonts w:ascii="Arial" w:cs="Arial" w:eastAsia="Arial" w:hAnsi="Arial"/>
          <w:sz w:val="18"/>
          <w:szCs w:val="18"/>
          <w:color w:val="auto"/>
        </w:rPr>
      </w:pPr>
    </w:p>
    <w:p>
      <w:pPr>
        <w:ind w:left="644" w:firstLine="653"/>
        <w:spacing w:after="0" w:line="259" w:lineRule="auto"/>
        <w:tabs>
          <w:tab w:leader="none" w:pos="1847" w:val="left"/>
        </w:tabs>
        <w:numPr>
          <w:ilvl w:val="2"/>
          <w:numId w:val="154"/>
        </w:numPr>
        <w:rPr>
          <w:rFonts w:ascii="Arial" w:cs="Arial" w:eastAsia="Arial" w:hAnsi="Arial"/>
          <w:sz w:val="18"/>
          <w:szCs w:val="18"/>
          <w:color w:val="auto"/>
        </w:rPr>
      </w:pPr>
      <w:r>
        <w:rPr>
          <w:rFonts w:ascii="Arial" w:cs="Arial" w:eastAsia="Arial" w:hAnsi="Arial"/>
          <w:sz w:val="18"/>
          <w:szCs w:val="18"/>
          <w:color w:val="auto"/>
        </w:rPr>
        <w:t>dividends or distributions by a Restricted Subsidiary so long as, in the case of any dividend or distribution payable on or in respect of any class or series of securities issued by a Subsidiary other than a Wholly-Owned Subsidiary, Holdings or a Restricted Subsidiary receives at least its pro rata share of such dividend or distribution in accordance with its Equity Interests in such class or series of securities;</w:t>
      </w:r>
    </w:p>
    <w:p>
      <w:pPr>
        <w:spacing w:after="0" w:line="186" w:lineRule="exact"/>
        <w:rPr>
          <w:rFonts w:ascii="Arial" w:cs="Arial" w:eastAsia="Arial" w:hAnsi="Arial"/>
          <w:sz w:val="18"/>
          <w:szCs w:val="18"/>
          <w:color w:val="auto"/>
        </w:rPr>
      </w:pPr>
    </w:p>
    <w:p>
      <w:pPr>
        <w:ind w:left="4" w:right="160" w:firstLine="645"/>
        <w:spacing w:after="0" w:line="277" w:lineRule="auto"/>
        <w:tabs>
          <w:tab w:leader="none" w:pos="1267" w:val="left"/>
        </w:tabs>
        <w:numPr>
          <w:ilvl w:val="1"/>
          <w:numId w:val="154"/>
        </w:numPr>
        <w:rPr>
          <w:rFonts w:ascii="Arial" w:cs="Arial" w:eastAsia="Arial" w:hAnsi="Arial"/>
          <w:sz w:val="18"/>
          <w:szCs w:val="18"/>
          <w:color w:val="010000"/>
        </w:rPr>
      </w:pPr>
      <w:r>
        <w:rPr>
          <w:rFonts w:ascii="Arial" w:cs="Arial" w:eastAsia="Arial" w:hAnsi="Arial"/>
          <w:sz w:val="18"/>
          <w:szCs w:val="18"/>
          <w:color w:val="auto"/>
        </w:rPr>
        <w:t>purchase, redeem, defease or otherwise acquire or retire for value any Equity Interests of Holdings or any direct or indirect parent company of Holdings, including in connection with any merger or consolidation;</w:t>
      </w:r>
    </w:p>
    <w:p>
      <w:pPr>
        <w:spacing w:after="0" w:line="170" w:lineRule="exact"/>
        <w:rPr>
          <w:rFonts w:ascii="Arial" w:cs="Arial" w:eastAsia="Arial" w:hAnsi="Arial"/>
          <w:sz w:val="18"/>
          <w:szCs w:val="18"/>
          <w:color w:val="010000"/>
        </w:rPr>
      </w:pPr>
    </w:p>
    <w:p>
      <w:pPr>
        <w:ind w:left="4" w:right="220" w:firstLine="645"/>
        <w:spacing w:after="0" w:line="257" w:lineRule="auto"/>
        <w:tabs>
          <w:tab w:leader="none" w:pos="1267" w:val="left"/>
        </w:tabs>
        <w:numPr>
          <w:ilvl w:val="1"/>
          <w:numId w:val="154"/>
        </w:numPr>
        <w:rPr>
          <w:rFonts w:ascii="Arial" w:cs="Arial" w:eastAsia="Arial" w:hAnsi="Arial"/>
          <w:sz w:val="18"/>
          <w:szCs w:val="18"/>
          <w:color w:val="010000"/>
        </w:rPr>
      </w:pPr>
      <w:r>
        <w:rPr>
          <w:rFonts w:ascii="Arial" w:cs="Arial" w:eastAsia="Arial" w:hAnsi="Arial"/>
          <w:sz w:val="18"/>
          <w:szCs w:val="18"/>
          <w:color w:val="auto"/>
        </w:rPr>
        <w:t xml:space="preserve">make any principal payment on, or redeem, repurchase, defease or otherwise acquire or retire for value in each case, prior to any scheduled repayment, sinking fund payment or maturity, any Junior Debt of Holdings or any Restricted Subsidiary, other than (A) Indebtedness permitted under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(B) the purchase, repurchase or other acquisition of Junior Debt purchased in anticipation of satisfying a sinking fund obligation, principal installment or final maturity, in each case due within one year of the date of purchase, repurchase or acquisition; or</w:t>
      </w:r>
    </w:p>
    <w:p>
      <w:pPr>
        <w:spacing w:after="0" w:line="200" w:lineRule="exact"/>
        <w:rPr>
          <w:sz w:val="20"/>
          <w:szCs w:val="20"/>
          <w:color w:val="auto"/>
        </w:rPr>
      </w:pPr>
    </w:p>
    <w:p>
      <w:pPr>
        <w:spacing w:after="0" w:line="20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49" w:name="page150"/>
    <w:bookmarkEnd w:id="149"/>
    <w:p>
      <w:pPr>
        <w:ind w:left="1880" w:hanging="575"/>
        <w:spacing w:after="0"/>
        <w:tabs>
          <w:tab w:leader="none" w:pos="1880" w:val="left"/>
        </w:tabs>
        <w:numPr>
          <w:ilvl w:val="0"/>
          <w:numId w:val="155"/>
        </w:numPr>
        <w:rPr>
          <w:rFonts w:ascii="Arial" w:cs="Arial" w:eastAsia="Arial" w:hAnsi="Arial"/>
          <w:sz w:val="18"/>
          <w:szCs w:val="18"/>
          <w:color w:val="010000"/>
        </w:rPr>
      </w:pPr>
      <w:r>
        <w:rPr>
          <w:rFonts w:ascii="Arial" w:cs="Arial" w:eastAsia="Arial" w:hAnsi="Arial"/>
          <w:sz w:val="18"/>
          <w:szCs w:val="18"/>
          <w:color w:val="auto"/>
        </w:rPr>
        <w:t>make any Restricted Investment;</w:t>
      </w:r>
    </w:p>
    <w:p>
      <w:pPr>
        <w:spacing w:after="0" w:line="2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(all such payments and other actions set forth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(4)</w:t>
      </w:r>
      <w:r>
        <w:rPr>
          <w:rFonts w:ascii="Arial" w:cs="Arial" w:eastAsia="Arial" w:hAnsi="Arial"/>
          <w:sz w:val="18"/>
          <w:szCs w:val="18"/>
          <w:color w:val="auto"/>
        </w:rPr>
        <w:t xml:space="preserve"> above (other than any exception thereto) being collectively referred to as “</w:t>
      </w:r>
      <w:r>
        <w:rPr>
          <w:rFonts w:ascii="Arial" w:cs="Arial" w:eastAsia="Arial" w:hAnsi="Arial"/>
          <w:sz w:val="18"/>
          <w:szCs w:val="18"/>
          <w:b w:val="1"/>
          <w:b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 unless, at the time of such Restricted Payment:</w:t>
      </w:r>
    </w:p>
    <w:p>
      <w:pPr>
        <w:spacing w:after="0" w:line="166" w:lineRule="exact"/>
        <w:rPr>
          <w:sz w:val="20"/>
          <w:szCs w:val="20"/>
          <w:color w:val="auto"/>
        </w:rPr>
      </w:pPr>
    </w:p>
    <w:p>
      <w:pPr>
        <w:ind w:left="660" w:right="180" w:firstLine="645"/>
        <w:spacing w:after="0" w:line="286" w:lineRule="auto"/>
        <w:tabs>
          <w:tab w:leader="none" w:pos="188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or would occur as a consequence thereof (or in the case of a Restricted Investment, no Event of Default under S</w:t>
      </w:r>
      <w:r>
        <w:rPr>
          <w:rFonts w:ascii="Arial" w:cs="Arial" w:eastAsia="Arial" w:hAnsi="Arial"/>
          <w:sz w:val="17"/>
          <w:szCs w:val="17"/>
          <w:u w:val="single" w:color="auto"/>
          <w:color w:val="auto"/>
        </w:rPr>
        <w:t>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shall have occurred and be continuing or would occur as a consequence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condition shall not apply to amounts attributable to subclause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below;</w:t>
      </w:r>
    </w:p>
    <w:p>
      <w:pPr>
        <w:spacing w:after="0" w:line="165" w:lineRule="exact"/>
        <w:rPr>
          <w:rFonts w:ascii="Arial" w:cs="Arial" w:eastAsia="Arial" w:hAnsi="Arial"/>
          <w:sz w:val="17"/>
          <w:szCs w:val="17"/>
          <w:color w:val="auto"/>
        </w:rPr>
      </w:pPr>
    </w:p>
    <w:p>
      <w:pPr>
        <w:ind w:left="660" w:right="160" w:firstLine="645"/>
        <w:spacing w:after="0" w:line="264" w:lineRule="auto"/>
        <w:tabs>
          <w:tab w:leader="none" w:pos="188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except in the case of a Restricted Investment, immediately after giving effect to such transaction on a pro forma basis, Holdings could incur $1.00 of additional Indebtedness under the provisions of the first paragraph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condition shall not apply to amounts attributable to subclause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 and</w:t>
      </w:r>
    </w:p>
    <w:p>
      <w:pPr>
        <w:spacing w:after="0" w:line="181" w:lineRule="exact"/>
        <w:rPr>
          <w:rFonts w:ascii="Arial" w:cs="Arial" w:eastAsia="Arial" w:hAnsi="Arial"/>
          <w:sz w:val="18"/>
          <w:szCs w:val="18"/>
          <w:color w:val="auto"/>
        </w:rPr>
      </w:pPr>
    </w:p>
    <w:p>
      <w:pPr>
        <w:ind w:left="660" w:firstLine="645"/>
        <w:spacing w:after="0" w:line="259" w:lineRule="auto"/>
        <w:tabs>
          <w:tab w:leader="none" w:pos="189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such Restricted Payment, together with the aggregate amount of all other Restricted Payments made by Holdings and the Restricted Subsidiaries after the Restatement Effective Date (including Restricted Payments permitted by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(with respect to the payment of dividends on Refunding Capital Stock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thereof only), </w:t>
      </w:r>
      <w:r>
        <w:rPr>
          <w:rFonts w:ascii="Arial" w:cs="Arial" w:eastAsia="Arial" w:hAnsi="Arial"/>
          <w:sz w:val="18"/>
          <w:szCs w:val="18"/>
          <w:u w:val="single" w:color="auto"/>
          <w:color w:val="auto"/>
        </w:rPr>
        <w:t>(6)(C)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below, but excluding all other Restricted Payments permitted by </w:t>
      </w:r>
      <w:r>
        <w:rPr>
          <w:rFonts w:ascii="Arial" w:cs="Arial" w:eastAsia="Arial" w:hAnsi="Arial"/>
          <w:sz w:val="18"/>
          <w:szCs w:val="18"/>
          <w:u w:val="single" w:color="auto"/>
          <w:color w:val="auto"/>
        </w:rPr>
        <w:t>Section 10.5(b)</w:t>
      </w:r>
      <w:r>
        <w:rPr>
          <w:rFonts w:ascii="Arial" w:cs="Arial" w:eastAsia="Arial" w:hAnsi="Arial"/>
          <w:sz w:val="18"/>
          <w:szCs w:val="18"/>
          <w:color w:val="auto"/>
        </w:rPr>
        <w:t>), is less than the sum of (without duplication):</w:t>
      </w:r>
    </w:p>
    <w:p>
      <w:pPr>
        <w:spacing w:after="0" w:line="186" w:lineRule="exact"/>
        <w:rPr>
          <w:rFonts w:ascii="Arial" w:cs="Arial" w:eastAsia="Arial" w:hAnsi="Arial"/>
          <w:sz w:val="18"/>
          <w:szCs w:val="18"/>
          <w:color w:val="auto"/>
        </w:rPr>
      </w:pPr>
    </w:p>
    <w:p>
      <w:pPr>
        <w:ind w:left="1300" w:right="100" w:firstLine="653"/>
        <w:spacing w:after="0" w:line="312" w:lineRule="auto"/>
        <w:tabs>
          <w:tab w:leader="none" w:pos="2513"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the Consolidated EBITDA for the period (taken as one accounting period) from the first day of the fiscal quarter during which the Restatement Effective Date occurs to the end of Holdings’ most recently ended fiscal quarter for which internal financial statements are available at the time of such Restricted Payment less the product of 1.5 times Holdings’ Fixed Charges for such period, </w:t>
      </w:r>
      <w:r>
        <w:rPr>
          <w:rFonts w:ascii="Arial" w:cs="Arial" w:eastAsia="Arial" w:hAnsi="Arial"/>
          <w:sz w:val="16"/>
          <w:szCs w:val="16"/>
          <w:i w:val="1"/>
          <w:iCs w:val="1"/>
          <w:color w:val="auto"/>
        </w:rPr>
        <w:t>plus</w:t>
      </w:r>
    </w:p>
    <w:p>
      <w:pPr>
        <w:spacing w:after="0" w:line="146" w:lineRule="exact"/>
        <w:rPr>
          <w:rFonts w:ascii="Arial" w:cs="Arial" w:eastAsia="Arial" w:hAnsi="Arial"/>
          <w:sz w:val="16"/>
          <w:szCs w:val="16"/>
          <w:color w:val="auto"/>
        </w:rPr>
      </w:pPr>
    </w:p>
    <w:p>
      <w:pPr>
        <w:ind w:left="1300" w:firstLine="653"/>
        <w:spacing w:after="0" w:line="286" w:lineRule="auto"/>
        <w:tabs>
          <w:tab w:leader="none" w:pos="2503"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and the Fair Market Value of marketable securities or other property received by Holdings since immediately after the Restatement Effective Date (other than net cash proceeds from Cure Amounts or to the extent such net cash proceeds have been used to incur Indebtedness, Disqualified Stock or preferred stock pursuant to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from the issue or sale of (x) Equity Interests of Holdings, including Retired Capital Stock, but excluding cash proceeds and the Fair Market Value of marketable securities or other property received from the sale of (A) Equity Interests to any employee, director, manager or consultant of Holdings, any direct or indirect parent company of Holdings and Holdings’ Subsidiaries after the Restatement Effective Date to the extent such amounts have been applied to Restricted Payments made in accordance with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and (B) Designated Preferred Stock, and, to the extent such net cash proceeds are actually contributed to Holdings, Equity Interests of any direct or indirect parent company of Holdings (excluding contributions of the proceeds from the sale of Designated Preferred Stock of such companies or contributions to the extent such amounts have been applied to Restricted Payments made in accordance with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or (y) Indebtedness of Holdings or a Restricted Subsidiary that has been converted into or exchanged for such Equity Interests of Holdings or any direct or indirect parent company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include the proceeds from (a) Refunding Capital Stock, (b) Equity Interests or Indebtedness that has been converted or exchanged for Equity Interests of Holdings sold to a Restricted Subsidiary or Holdings, as the case may be, (c) Disqualified Stock or Indebtedness that has been converted or exchanged into Disqualified Stock or (d) Excluded Contributions, </w:t>
      </w:r>
      <w:r>
        <w:rPr>
          <w:rFonts w:ascii="Arial" w:cs="Arial" w:eastAsia="Arial" w:hAnsi="Arial"/>
          <w:sz w:val="16"/>
          <w:szCs w:val="16"/>
          <w:i w:val="1"/>
          <w:iCs w:val="1"/>
          <w:color w:val="auto"/>
        </w:rPr>
        <w:t>plus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50" w:name="page151"/>
    <w:bookmarkEnd w:id="150"/>
    <w:p>
      <w:pPr>
        <w:ind w:left="644" w:right="40" w:firstLine="653"/>
        <w:spacing w:after="0" w:line="288" w:lineRule="auto"/>
        <w:tabs>
          <w:tab w:leader="none" w:pos="1847" w:val="left"/>
        </w:tabs>
        <w:numPr>
          <w:ilvl w:val="1"/>
          <w:numId w:val="157"/>
        </w:numPr>
        <w:rPr>
          <w:rFonts w:ascii="Arial" w:cs="Arial" w:eastAsia="Arial" w:hAnsi="Arial"/>
          <w:sz w:val="16"/>
          <w:szCs w:val="16"/>
          <w:color w:val="auto"/>
        </w:rPr>
      </w:pPr>
      <w:r>
        <w:rPr>
          <w:rFonts w:ascii="Arial" w:cs="Arial" w:eastAsia="Arial" w:hAnsi="Arial"/>
          <w:sz w:val="16"/>
          <w:szCs w:val="16"/>
          <w:color w:val="auto"/>
        </w:rPr>
        <w:t xml:space="preserve">100% of the aggregate amount of cash and the Fair Market Value of marketable securities or other property contributed to the capital of Holdings following the Restatement Effective Date (other than the net cash proceeds from Cure Amounts or to the extent such net cash proceeds (i) have been used to incur Indebtedness, Disqualified Stock or preferred stock pursuant to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w:t>
      </w:r>
    </w:p>
    <w:p>
      <w:pPr>
        <w:ind w:left="904" w:hanging="255"/>
        <w:spacing w:after="0"/>
        <w:tabs>
          <w:tab w:leader="none" w:pos="90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are contributed by a Restricted Subsidiary or (iii) constitute Excluded Contributions), </w:t>
      </w:r>
      <w:r>
        <w:rPr>
          <w:rFonts w:ascii="Arial" w:cs="Arial" w:eastAsia="Arial" w:hAnsi="Arial"/>
          <w:sz w:val="18"/>
          <w:szCs w:val="18"/>
          <w:i w:val="1"/>
          <w:iCs w:val="1"/>
          <w:color w:val="auto"/>
        </w:rPr>
        <w:t>plus</w:t>
      </w:r>
    </w:p>
    <w:p>
      <w:pPr>
        <w:spacing w:after="0" w:line="210" w:lineRule="exact"/>
        <w:rPr>
          <w:rFonts w:ascii="Arial" w:cs="Arial" w:eastAsia="Arial" w:hAnsi="Arial"/>
          <w:sz w:val="18"/>
          <w:szCs w:val="18"/>
          <w:color w:val="auto"/>
        </w:rPr>
      </w:pPr>
    </w:p>
    <w:p>
      <w:pPr>
        <w:ind w:left="644" w:firstLine="653"/>
        <w:spacing w:after="0" w:line="270" w:lineRule="auto"/>
        <w:tabs>
          <w:tab w:leader="none" w:pos="1857"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100% of the aggregate amount received in cash and the Fair Market Value of marketable securities or other property received by means of (A) the sale or other disposition (other than to Holdings or a Restricted Subsidiary) of Restricted Investments made by Holdings and the Restricted Subsidiaries and repurchases and redemptions of such Restricted Investments from Holdings and the Restricted Subsidiaries and repayments of loans or advances, and releases of guarantees, which constitute Restricted Investments made by Holdings or the Restricted Subsidiaries, in each case, after the Restatement Effective Date; or (B) the sale (other than to Holdings or a Restricted Subsidiary) of the stock of an Unrestricted Subsidiary or a distribution from an Unrestricted Subsidiary (other than in each case to the extent the Investment in such Unrestricted Subsidiary was made by Holdings or a Restricted Subsidiary pursuant to </w:t>
      </w:r>
      <w:r>
        <w:rPr>
          <w:rFonts w:ascii="Arial" w:cs="Arial" w:eastAsia="Arial" w:hAnsi="Arial"/>
          <w:sz w:val="17"/>
          <w:szCs w:val="17"/>
          <w:u w:val="single" w:color="auto"/>
          <w:color w:val="auto"/>
        </w:rPr>
        <w:t>clause (7)</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or to the extent such Investment constituted a Permitted Investment) or a dividend from an Unrestricted Subsidiary after the Restatement Effective Date, </w:t>
      </w:r>
      <w:r>
        <w:rPr>
          <w:rFonts w:ascii="Arial" w:cs="Arial" w:eastAsia="Arial" w:hAnsi="Arial"/>
          <w:sz w:val="17"/>
          <w:szCs w:val="17"/>
          <w:i w:val="1"/>
          <w:iCs w:val="1"/>
          <w:color w:val="auto"/>
        </w:rPr>
        <w:t>plus</w:t>
      </w:r>
    </w:p>
    <w:p>
      <w:pPr>
        <w:spacing w:after="0" w:line="181" w:lineRule="exact"/>
        <w:rPr>
          <w:rFonts w:ascii="Arial" w:cs="Arial" w:eastAsia="Arial" w:hAnsi="Arial"/>
          <w:sz w:val="17"/>
          <w:szCs w:val="17"/>
          <w:color w:val="auto"/>
        </w:rPr>
      </w:pPr>
    </w:p>
    <w:p>
      <w:pPr>
        <w:ind w:left="644" w:right="200" w:firstLine="653"/>
        <w:spacing w:after="0" w:line="257" w:lineRule="auto"/>
        <w:tabs>
          <w:tab w:leader="none" w:pos="183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in the case of the redesignation of an Unrestricted Subsidiary as a Restricted Subsidiary after the Restatement Effective Date, the Fair Market Value of the Investment in such Unrestricted Subsidiary at the time of the redesignation of such Unrestricted Subsidiary as a Restricted Subsidiary, other than to the extent the Investment in such Unrestricted Subsidiary was made by Holdings or a Restricted Subsidiary pursuant to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below or to the extent such Investment constituted a Permitted Investment, </w:t>
      </w:r>
      <w:r>
        <w:rPr>
          <w:rFonts w:ascii="Arial" w:cs="Arial" w:eastAsia="Arial" w:hAnsi="Arial"/>
          <w:sz w:val="18"/>
          <w:szCs w:val="18"/>
          <w:i w:val="1"/>
          <w:iCs w:val="1"/>
          <w:color w:val="auto"/>
        </w:rPr>
        <w:t>plus</w:t>
      </w:r>
    </w:p>
    <w:p>
      <w:pPr>
        <w:spacing w:after="0" w:line="188" w:lineRule="exact"/>
        <w:rPr>
          <w:rFonts w:ascii="Arial" w:cs="Arial" w:eastAsia="Arial" w:hAnsi="Arial"/>
          <w:sz w:val="18"/>
          <w:szCs w:val="18"/>
          <w:color w:val="auto"/>
        </w:rPr>
      </w:pPr>
    </w:p>
    <w:p>
      <w:pPr>
        <w:ind w:left="1824" w:hanging="527"/>
        <w:spacing w:after="0"/>
        <w:tabs>
          <w:tab w:leader="none" w:pos="182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$50,000,000.</w:t>
      </w:r>
    </w:p>
    <w:p>
      <w:pPr>
        <w:spacing w:after="0" w:line="225" w:lineRule="exact"/>
        <w:rPr>
          <w:sz w:val="20"/>
          <w:szCs w:val="20"/>
          <w:color w:val="auto"/>
        </w:rPr>
      </w:pPr>
    </w:p>
    <w:p>
      <w:pPr>
        <w:ind w:left="604" w:hanging="604"/>
        <w:spacing w:after="0"/>
        <w:tabs>
          <w:tab w:leader="none" w:pos="60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foregoing provisions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will not prohibit:</w:t>
      </w:r>
    </w:p>
    <w:p>
      <w:pPr>
        <w:spacing w:after="0" w:line="225" w:lineRule="exact"/>
        <w:rPr>
          <w:rFonts w:ascii="Arial" w:cs="Arial" w:eastAsia="Arial" w:hAnsi="Arial"/>
          <w:sz w:val="18"/>
          <w:szCs w:val="18"/>
          <w:color w:val="auto"/>
        </w:rPr>
      </w:pPr>
    </w:p>
    <w:p>
      <w:pPr>
        <w:jc w:val="both"/>
        <w:ind w:left="4" w:right="400" w:firstLine="645"/>
        <w:spacing w:after="0" w:line="264" w:lineRule="auto"/>
        <w:tabs>
          <w:tab w:leader="none" w:pos="1177" w:val="left"/>
        </w:tabs>
        <w:numPr>
          <w:ilvl w:val="1"/>
          <w:numId w:val="159"/>
        </w:numPr>
        <w:rPr>
          <w:rFonts w:ascii="Arial" w:cs="Arial" w:eastAsia="Arial" w:hAnsi="Arial"/>
          <w:sz w:val="18"/>
          <w:szCs w:val="18"/>
          <w:color w:val="010000"/>
        </w:rPr>
      </w:pPr>
      <w:r>
        <w:rPr>
          <w:rFonts w:ascii="Arial" w:cs="Arial" w:eastAsia="Arial" w:hAnsi="Arial"/>
          <w:sz w:val="18"/>
          <w:szCs w:val="18"/>
          <w:color w:val="auto"/>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spacing w:after="0" w:line="177" w:lineRule="exact"/>
        <w:rPr>
          <w:rFonts w:ascii="Arial" w:cs="Arial" w:eastAsia="Arial" w:hAnsi="Arial"/>
          <w:sz w:val="18"/>
          <w:szCs w:val="18"/>
          <w:color w:val="010000"/>
        </w:rPr>
      </w:pPr>
    </w:p>
    <w:p>
      <w:pPr>
        <w:ind w:left="4" w:right="40" w:firstLine="645"/>
        <w:spacing w:after="0" w:line="271" w:lineRule="auto"/>
        <w:tabs>
          <w:tab w:leader="none" w:pos="1177" w:val="left"/>
        </w:tabs>
        <w:numPr>
          <w:ilvl w:val="1"/>
          <w:numId w:val="159"/>
        </w:numPr>
        <w:rPr>
          <w:rFonts w:ascii="Arial" w:cs="Arial" w:eastAsia="Arial" w:hAnsi="Arial"/>
          <w:sz w:val="17"/>
          <w:szCs w:val="17"/>
          <w:color w:val="010000"/>
        </w:rPr>
      </w:pPr>
      <w:r>
        <w:rPr>
          <w:rFonts w:ascii="Arial" w:cs="Arial" w:eastAsia="Arial" w:hAnsi="Arial"/>
          <w:sz w:val="17"/>
          <w:szCs w:val="17"/>
          <w:color w:val="auto"/>
        </w:rPr>
        <w:t>(a) the redemption, repurchase, retirement or other acquisition of any Equity Interests (“</w:t>
      </w:r>
      <w:r>
        <w:rPr>
          <w:rFonts w:ascii="Arial" w:cs="Arial" w:eastAsia="Arial" w:hAnsi="Arial"/>
          <w:sz w:val="17"/>
          <w:szCs w:val="17"/>
          <w:b w:val="1"/>
          <w:bCs w:val="1"/>
          <w:color w:val="auto"/>
        </w:rPr>
        <w:t>Retired Capital Stock</w:t>
      </w:r>
      <w:r>
        <w:rPr>
          <w:rFonts w:ascii="Arial" w:cs="Arial" w:eastAsia="Arial" w:hAnsi="Arial"/>
          <w:sz w:val="17"/>
          <w:szCs w:val="17"/>
          <w:color w:val="auto"/>
        </w:rPr>
        <w:t>”) or Junior Debt of Holdings or any Restricted Subsidiary, or any Equity Interests of any direct or indirect parent company of Holdings, in exchange for, or out of the proceeds of the substantially concurrent sale (other than to a Restricted Subsidiary) of, Equity Interests of Holdings or any direct or indirect parent company of Holdings to the extent contributed to Holdings (in each case, other than any Disqualified Stock) (“</w:t>
      </w:r>
      <w:r>
        <w:rPr>
          <w:rFonts w:ascii="Arial" w:cs="Arial" w:eastAsia="Arial" w:hAnsi="Arial"/>
          <w:sz w:val="17"/>
          <w:szCs w:val="17"/>
          <w:b w:val="1"/>
          <w:bCs w:val="1"/>
          <w:color w:val="auto"/>
        </w:rPr>
        <w:t>Refunding Capital Stock</w:t>
      </w:r>
      <w:r>
        <w:rPr>
          <w:rFonts w:ascii="Arial" w:cs="Arial" w:eastAsia="Arial" w:hAnsi="Arial"/>
          <w:sz w:val="17"/>
          <w:szCs w:val="17"/>
          <w:color w:val="auto"/>
        </w:rPr>
        <w:t xml:space="preserve">”) and (b) if immediately prior to the retirement of Retired Capital Stock, the declaration and payment of dividends thereon was permitted under </w:t>
      </w:r>
      <w:r>
        <w:rPr>
          <w:rFonts w:ascii="Arial" w:cs="Arial" w:eastAsia="Arial" w:hAnsi="Arial"/>
          <w:sz w:val="17"/>
          <w:szCs w:val="17"/>
          <w:u w:val="single" w:color="auto"/>
          <w:color w:val="auto"/>
        </w:rPr>
        <w:t>clause (6)</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10.5(b)</w:t>
      </w:r>
      <w:r>
        <w:rPr>
          <w:rFonts w:ascii="Arial" w:cs="Arial" w:eastAsia="Arial" w:hAnsi="Arial"/>
          <w:sz w:val="17"/>
          <w:szCs w:val="17"/>
          <w:color w:val="auto"/>
        </w:rPr>
        <w:t>, the declaration and payment of dividends on the Refunding Capital Stock (other than Refunding Capital Stock the proceeds of which were used to redeem, repurchase, retire or otherwise acquire any Equity Interests of any direct or indirect parent company of Holdings) in an aggregate amount per year no greater than the aggregate amount of dividends per annum that was declarable and payable on such Retired Capital Stock immediately prior to such retirement;</w:t>
      </w:r>
    </w:p>
    <w:p>
      <w:pPr>
        <w:spacing w:after="0" w:line="178" w:lineRule="exact"/>
        <w:rPr>
          <w:rFonts w:ascii="Arial" w:cs="Arial" w:eastAsia="Arial" w:hAnsi="Arial"/>
          <w:sz w:val="17"/>
          <w:szCs w:val="17"/>
          <w:color w:val="010000"/>
        </w:rPr>
      </w:pPr>
    </w:p>
    <w:p>
      <w:pPr>
        <w:ind w:left="4" w:right="60" w:firstLine="645"/>
        <w:spacing w:after="0" w:line="268" w:lineRule="auto"/>
        <w:tabs>
          <w:tab w:leader="none" w:pos="1177" w:val="left"/>
        </w:tabs>
        <w:numPr>
          <w:ilvl w:val="1"/>
          <w:numId w:val="159"/>
        </w:numPr>
        <w:rPr>
          <w:rFonts w:ascii="Arial" w:cs="Arial" w:eastAsia="Arial" w:hAnsi="Arial"/>
          <w:sz w:val="17"/>
          <w:szCs w:val="17"/>
          <w:color w:val="010000"/>
        </w:rPr>
      </w:pPr>
      <w:r>
        <w:rPr>
          <w:rFonts w:ascii="Arial" w:cs="Arial" w:eastAsia="Arial" w:hAnsi="Arial"/>
          <w:sz w:val="17"/>
          <w:szCs w:val="17"/>
          <w:color w:val="auto"/>
        </w:rPr>
        <w:t xml:space="preserve">the prepayment, redemption, defeasance, repurchase or other acquisition or retirement for value of Junior Debt of Holdings or a Restricted Subsidiary (i) made by exchange for, or out of the proceeds of the substantially concurrent sale of, new Indebtedness of Holdings, or a Restricted Subsidiary, as the case may be, which is incurred in compliance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so long as: (A) the principal amount (or accreted value, if applicable) of such new Indebtedness does not exceed the principal amount of (or accreted value, if applicable), plus any accrued and unpaid interest on the Junior Debt being so redeemed, 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unsecured then such new Indebtedness shall be unsecured and (E) such new Indebtedness has a weighted average life to maturity equal to or greater than the remaining weighted average life to maturity of the Junior Debt being so redeemed, defeased, repurchased, exchanged, acquired or retired;</w:t>
      </w:r>
    </w:p>
    <w:p>
      <w:pPr>
        <w:spacing w:after="0" w:line="200" w:lineRule="exact"/>
        <w:rPr>
          <w:sz w:val="20"/>
          <w:szCs w:val="20"/>
          <w:color w:val="auto"/>
        </w:rPr>
      </w:pPr>
    </w:p>
    <w:p>
      <w:pPr>
        <w:spacing w:after="0" w:line="20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51" w:name="page152"/>
    <w:bookmarkEnd w:id="151"/>
    <w:p>
      <w:pPr>
        <w:ind w:left="-540" w:firstLine="645"/>
        <w:spacing w:after="0" w:line="284" w:lineRule="auto"/>
        <w:tabs>
          <w:tab w:leader="none" w:pos="633" w:val="left"/>
        </w:tabs>
        <w:numPr>
          <w:ilvl w:val="0"/>
          <w:numId w:val="160"/>
        </w:numPr>
        <w:rPr>
          <w:rFonts w:ascii="Arial" w:cs="Arial" w:eastAsia="Arial" w:hAnsi="Arial"/>
          <w:sz w:val="16"/>
          <w:szCs w:val="16"/>
          <w:color w:val="010000"/>
        </w:rPr>
      </w:pPr>
      <w:r>
        <w:rPr>
          <w:rFonts w:ascii="Arial" w:cs="Arial" w:eastAsia="Arial" w:hAnsi="Arial"/>
          <w:sz w:val="16"/>
          <w:szCs w:val="16"/>
          <w:color w:val="auto"/>
        </w:rPr>
        <w:t xml:space="preserve">a Restricted Payment to pay for the repurchase, retirement or other acquisition or retirement for value of Equity Interests (other than Disqualified Stock) of Holdings or any direct or indirect parent company of Holdings held by any future, present or former employee, director, manager or consultant of Holdings, any of its Subsidiaries or any direct or indirect parent company of Holdings, or their estates, descendants, family, spouse or former spouse pursuant to any management equity plan or stock option plan or any other management or employee benefit plan or agreement, or any stock subscription or shareholder agreement (including, for the avoidance of doubt, any principal and interest payable on any notes issued by Holdings or any direct or indirect parent company of Holdings in connection with such repurchase, retirement or other acquisition), including any Equity Interests rolled over by management of Holdings or any direct or indirect parent company of Holdings in connection with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with respect to non-discretionary purchases, the aggregate Restricted Payments made under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subsequent to the Restatement Effective Date do not exceed in any calendar year $40,000,000 (with unused amounts in any calendar year being carried over to succeeding calendar years subject to maximum aggregate Restricted Payments under this clause (without giving effect to the following proviso) of $60,000,000 in any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amount in any calendar year may be increased by an amount not to exceed: (A) the cash proceeds from the sale of Equity Interests (other than Disqualified Stock) of Holdings and, to the extent contributed to Holdings, the cash proceeds from the sale of Equity Interests of any direct or indirect parent company of Holdings, in each case to any future, present or former employees, directors, managers or consultants of Holdings, any of its Subsidiaries or any direct or indirect parent company of Holdings that occurs after the Restatement Effective Date, to the extent the cash proceeds from the sale of such Equity Interests have not otherwise been applied to the payment of Restricted Payments by virtue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10.5(a)</w:t>
      </w:r>
      <w:r>
        <w:rPr>
          <w:rFonts w:ascii="Arial" w:cs="Arial" w:eastAsia="Arial" w:hAnsi="Arial"/>
          <w:sz w:val="16"/>
          <w:szCs w:val="16"/>
          <w:color w:val="auto"/>
        </w:rPr>
        <w:t xml:space="preserve">, plus (B) the cash proceeds of key man life insurance policies received by Holdings and the Restricted Subsidiaries after the Restatement Effective Date, less (C) the amount of any Restricted Payments previously made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cancellation of Indebtedness owing to Holdings or any Restricted Subsidiary from any future, present or former employees, directors, managers or consultants of Holdings, any direct or indirect parent company of Holdings or any Restricted Subsidiary, or their estates, descendants, family, spouse or former spouse pursuant in connection with a repurchase of Equity Interests of Holdings or any direct or indirect parent company of Holdings will not be deemed to constitute a Restricted Payment for purposes of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or any other provision of this Agreement;</w:t>
      </w:r>
    </w:p>
    <w:p>
      <w:pPr>
        <w:spacing w:after="0" w:line="397" w:lineRule="exact"/>
        <w:rPr>
          <w:rFonts w:ascii="Arial" w:cs="Arial" w:eastAsia="Arial" w:hAnsi="Arial"/>
          <w:sz w:val="16"/>
          <w:szCs w:val="16"/>
          <w:color w:val="010000"/>
        </w:rPr>
      </w:pPr>
    </w:p>
    <w:p>
      <w:pPr>
        <w:ind w:left="-540" w:right="260" w:firstLine="645"/>
        <w:spacing w:after="0" w:line="264" w:lineRule="auto"/>
        <w:tabs>
          <w:tab w:leader="none" w:pos="633"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 xml:space="preserve">the declaration and payment of dividends to holders of any class or series of Disqualified Stock of Holdings or any Restricted Subsidiary or any class or series of preferred stock of any Restricted Subsidiary, in each case, issued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to the extent such dividends are included in the definition of “Fixed Charges”;</w:t>
      </w:r>
    </w:p>
    <w:p>
      <w:pPr>
        <w:spacing w:after="0" w:line="181" w:lineRule="exact"/>
        <w:rPr>
          <w:rFonts w:ascii="Arial" w:cs="Arial" w:eastAsia="Arial" w:hAnsi="Arial"/>
          <w:sz w:val="18"/>
          <w:szCs w:val="18"/>
          <w:color w:val="010000"/>
        </w:rPr>
      </w:pPr>
    </w:p>
    <w:p>
      <w:pPr>
        <w:ind w:left="-540" w:right="40" w:firstLine="645"/>
        <w:spacing w:after="0" w:line="288" w:lineRule="auto"/>
        <w:tabs>
          <w:tab w:leader="none" w:pos="633" w:val="left"/>
        </w:tabs>
        <w:numPr>
          <w:ilvl w:val="0"/>
          <w:numId w:val="160"/>
        </w:numPr>
        <w:rPr>
          <w:rFonts w:ascii="Arial" w:cs="Arial" w:eastAsia="Arial" w:hAnsi="Arial"/>
          <w:sz w:val="16"/>
          <w:szCs w:val="16"/>
          <w:color w:val="010000"/>
        </w:rPr>
      </w:pPr>
      <w:r>
        <w:rPr>
          <w:rFonts w:ascii="Arial" w:cs="Arial" w:eastAsia="Arial" w:hAnsi="Arial"/>
          <w:sz w:val="16"/>
          <w:szCs w:val="16"/>
          <w:color w:val="auto"/>
        </w:rPr>
        <w:t xml:space="preserve">(A) the declaration and payment of dividends to holders of any class or series of Designated Preferred Stock (other than Disqualified Stock) issued by Holdings after the Restatement Effective Date; (B) the declaration and payment of dividends to any direct or indirect parent company of Holdings, the proceeds of which will be used to fund the payment of dividends to holders of any class or series of Designated Preferred Stock (other than Disqualified Stock) of such parent company issued after the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dividends paid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exceed the aggregate amount of cash actually contributed to Holdings from the sale of such Designated Preferred Stock; or (C) the declaration and payment of dividends on Refunding Capital Stock in excess of the dividends declarable and payable thereon pursuant to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each of (A), (B), and (C) of this </w:t>
      </w:r>
      <w:r>
        <w:rPr>
          <w:rFonts w:ascii="Arial" w:cs="Arial" w:eastAsia="Arial" w:hAnsi="Arial"/>
          <w:sz w:val="16"/>
          <w:szCs w:val="16"/>
          <w:u w:val="single" w:color="auto"/>
          <w:color w:val="auto"/>
        </w:rPr>
        <w:t>clause (6)</w:t>
      </w:r>
      <w:r>
        <w:rPr>
          <w:rFonts w:ascii="Arial" w:cs="Arial" w:eastAsia="Arial" w:hAnsi="Arial"/>
          <w:sz w:val="16"/>
          <w:szCs w:val="16"/>
          <w:color w:val="auto"/>
        </w:rPr>
        <w:t>,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Holdings and the Restricted Subsidiaries on a consolidated basis would have had a Fixed Charge Coverage Ratio of at least 2.00 to 1.00;</w:t>
      </w:r>
    </w:p>
    <w:p>
      <w:pPr>
        <w:spacing w:after="0" w:line="38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2" w:name="page153"/>
    <w:bookmarkEnd w:id="152"/>
    <w:p>
      <w:pPr>
        <w:ind w:firstLine="645"/>
        <w:spacing w:after="0" w:line="276" w:lineRule="auto"/>
        <w:tabs>
          <w:tab w:leader="none" w:pos="1173" w:val="left"/>
        </w:tabs>
        <w:numPr>
          <w:ilvl w:val="0"/>
          <w:numId w:val="161"/>
        </w:numPr>
        <w:rPr>
          <w:rFonts w:ascii="Arial" w:cs="Arial" w:eastAsia="Arial" w:hAnsi="Arial"/>
          <w:sz w:val="17"/>
          <w:szCs w:val="17"/>
          <w:color w:val="010000"/>
        </w:rPr>
      </w:pPr>
      <w:r>
        <w:rPr>
          <w:rFonts w:ascii="Arial" w:cs="Arial" w:eastAsia="Arial" w:hAnsi="Arial"/>
          <w:sz w:val="17"/>
          <w:szCs w:val="17"/>
          <w:color w:val="auto"/>
        </w:rPr>
        <w:t xml:space="preserve">Investments in Unrestricted Subsidiaries having an aggregate Fair Market Value, taken together with all other Investments made pursuant to this </w:t>
      </w:r>
      <w:r>
        <w:rPr>
          <w:rFonts w:ascii="Arial" w:cs="Arial" w:eastAsia="Arial" w:hAnsi="Arial"/>
          <w:sz w:val="17"/>
          <w:szCs w:val="17"/>
          <w:u w:val="single" w:color="auto"/>
          <w:color w:val="auto"/>
        </w:rPr>
        <w:t>clause (7)</w:t>
      </w:r>
      <w:r>
        <w:rPr>
          <w:rFonts w:ascii="Arial" w:cs="Arial" w:eastAsia="Arial" w:hAnsi="Arial"/>
          <w:sz w:val="17"/>
          <w:szCs w:val="17"/>
          <w:color w:val="auto"/>
        </w:rPr>
        <w:t xml:space="preserve"> that are at the time outstanding, without giving effect to the sale of an Unrestricted Subsidiary to the extent the proceeds of such sale do not consist of cash, Cash Equivalents or marketable securities, not to exceed the greater of (x) $25,000,000 and (y) 25.0% of Consolidated EBITDA for the most recently ended Test Period (calculated on a Pro Forma Basis) at the time of such Investment (with the Fair Market Value of each Investment being measured at the time made and without giving effect to subsequent changes in value);</w:t>
      </w:r>
    </w:p>
    <w:p>
      <w:pPr>
        <w:spacing w:after="0" w:line="172" w:lineRule="exact"/>
        <w:rPr>
          <w:rFonts w:ascii="Arial" w:cs="Arial" w:eastAsia="Arial" w:hAnsi="Arial"/>
          <w:sz w:val="17"/>
          <w:szCs w:val="17"/>
          <w:color w:val="010000"/>
        </w:rPr>
      </w:pPr>
    </w:p>
    <w:p>
      <w:pPr>
        <w:ind w:firstLine="645"/>
        <w:spacing w:after="0" w:line="276" w:lineRule="auto"/>
        <w:tabs>
          <w:tab w:leader="none" w:pos="1173" w:val="left"/>
        </w:tabs>
        <w:numPr>
          <w:ilvl w:val="0"/>
          <w:numId w:val="161"/>
        </w:numPr>
        <w:rPr>
          <w:rFonts w:ascii="Arial" w:cs="Arial" w:eastAsia="Arial" w:hAnsi="Arial"/>
          <w:sz w:val="17"/>
          <w:szCs w:val="17"/>
          <w:color w:val="010000"/>
        </w:rPr>
      </w:pPr>
      <w:r>
        <w:rPr>
          <w:rFonts w:ascii="Arial" w:cs="Arial" w:eastAsia="Arial" w:hAnsi="Arial"/>
          <w:sz w:val="17"/>
          <w:szCs w:val="17"/>
          <w:color w:val="auto"/>
        </w:rPr>
        <w:t>(i) payments made or expected to be made by Holdings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spacing w:after="0" w:line="172" w:lineRule="exact"/>
        <w:rPr>
          <w:rFonts w:ascii="Arial" w:cs="Arial" w:eastAsia="Arial" w:hAnsi="Arial"/>
          <w:sz w:val="17"/>
          <w:szCs w:val="17"/>
          <w:color w:val="010000"/>
        </w:rPr>
      </w:pPr>
    </w:p>
    <w:p>
      <w:pPr>
        <w:ind w:right="60" w:firstLine="645"/>
        <w:spacing w:after="0" w:line="259" w:lineRule="auto"/>
        <w:tabs>
          <w:tab w:leader="none" w:pos="1173" w:val="left"/>
        </w:tabs>
        <w:numPr>
          <w:ilvl w:val="0"/>
          <w:numId w:val="161"/>
        </w:numPr>
        <w:rPr>
          <w:rFonts w:ascii="Arial" w:cs="Arial" w:eastAsia="Arial" w:hAnsi="Arial"/>
          <w:sz w:val="18"/>
          <w:szCs w:val="18"/>
          <w:color w:val="010000"/>
        </w:rPr>
      </w:pPr>
      <w:r>
        <w:rPr>
          <w:rFonts w:ascii="Arial" w:cs="Arial" w:eastAsia="Arial" w:hAnsi="Arial"/>
          <w:sz w:val="18"/>
          <w:szCs w:val="18"/>
          <w:color w:val="auto"/>
        </w:rPr>
        <w:t>the declaration and payment of dividends on Holdings’ common stock (or the payment of dividends to any direct or indirect parent company of Holdings to fund a payment of dividends on such company’s common stock) of up to 6.00% per annum of the net cash proceeds received by or contributed to Holdings in or from any public offering, other than public offerings with respect to Holdings’ common stock registered on Form S-8 and other than any public sale constituting an Excluded Contribution;</w:t>
      </w:r>
    </w:p>
    <w:p>
      <w:pPr>
        <w:spacing w:after="0" w:line="186" w:lineRule="exact"/>
        <w:rPr>
          <w:rFonts w:ascii="Arial" w:cs="Arial" w:eastAsia="Arial" w:hAnsi="Arial"/>
          <w:sz w:val="18"/>
          <w:szCs w:val="18"/>
          <w:color w:val="010000"/>
        </w:rPr>
      </w:pPr>
    </w:p>
    <w:p>
      <w:pPr>
        <w:ind w:left="1260" w:hanging="615"/>
        <w:spacing w:after="0"/>
        <w:tabs>
          <w:tab w:leader="none" w:pos="1260" w:val="left"/>
        </w:tabs>
        <w:numPr>
          <w:ilvl w:val="0"/>
          <w:numId w:val="161"/>
        </w:numPr>
        <w:rPr>
          <w:rFonts w:ascii="Arial" w:cs="Arial" w:eastAsia="Arial" w:hAnsi="Arial"/>
          <w:sz w:val="17"/>
          <w:szCs w:val="17"/>
          <w:color w:val="010000"/>
        </w:rPr>
      </w:pPr>
      <w:r>
        <w:rPr>
          <w:rFonts w:ascii="Arial" w:cs="Arial" w:eastAsia="Arial" w:hAnsi="Arial"/>
          <w:sz w:val="17"/>
          <w:szCs w:val="17"/>
          <w:color w:val="auto"/>
        </w:rPr>
        <w:t>Restricted Payments in an amount that does not exceed the amount of Excluded Contributions made since the Restatement</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Effective Date;</w:t>
      </w:r>
    </w:p>
    <w:p>
      <w:pPr>
        <w:spacing w:after="0" w:line="210" w:lineRule="exact"/>
        <w:rPr>
          <w:rFonts w:ascii="Arial" w:cs="Arial" w:eastAsia="Arial" w:hAnsi="Arial"/>
          <w:sz w:val="17"/>
          <w:szCs w:val="17"/>
          <w:color w:val="010000"/>
        </w:rPr>
      </w:pPr>
    </w:p>
    <w:p>
      <w:pPr>
        <w:jc w:val="both"/>
        <w:ind w:right="180" w:firstLine="645"/>
        <w:spacing w:after="0" w:line="264" w:lineRule="auto"/>
        <w:tabs>
          <w:tab w:leader="none" w:pos="1257" w:val="left"/>
        </w:tabs>
        <w:numPr>
          <w:ilvl w:val="0"/>
          <w:numId w:val="161"/>
        </w:numPr>
        <w:rPr>
          <w:rFonts w:ascii="Arial" w:cs="Arial" w:eastAsia="Arial" w:hAnsi="Arial"/>
          <w:sz w:val="18"/>
          <w:szCs w:val="18"/>
          <w:color w:val="010000"/>
        </w:rPr>
      </w:pPr>
      <w:r>
        <w:rPr>
          <w:rFonts w:ascii="Arial" w:cs="Arial" w:eastAsia="Arial" w:hAnsi="Arial"/>
          <w:sz w:val="18"/>
          <w:szCs w:val="18"/>
          <w:color w:val="auto"/>
        </w:rPr>
        <w:t>other Restricted Payments in an aggregate amount taken together with all other Restricted Payments made pursuant to this clause not to exceed the greater of (x) $105,000,000 and (y) 50.0% of Consolidated EBITDA for the most recently ended Test Period (calculated on a Pro Forma Basis) at the time made;</w:t>
      </w:r>
    </w:p>
    <w:p>
      <w:pPr>
        <w:spacing w:after="0" w:line="181" w:lineRule="exact"/>
        <w:rPr>
          <w:rFonts w:ascii="Arial" w:cs="Arial" w:eastAsia="Arial" w:hAnsi="Arial"/>
          <w:sz w:val="18"/>
          <w:szCs w:val="18"/>
          <w:color w:val="010000"/>
        </w:rPr>
      </w:pPr>
    </w:p>
    <w:p>
      <w:pPr>
        <w:ind w:left="1260" w:hanging="615"/>
        <w:spacing w:after="0"/>
        <w:tabs>
          <w:tab w:leader="none" w:pos="1260" w:val="left"/>
        </w:tabs>
        <w:numPr>
          <w:ilvl w:val="0"/>
          <w:numId w:val="161"/>
        </w:numPr>
        <w:rPr>
          <w:rFonts w:ascii="Arial" w:cs="Arial" w:eastAsia="Arial" w:hAnsi="Arial"/>
          <w:sz w:val="18"/>
          <w:szCs w:val="18"/>
          <w:color w:val="010000"/>
        </w:rPr>
      </w:pPr>
      <w:r>
        <w:rPr>
          <w:rFonts w:ascii="Arial" w:cs="Arial" w:eastAsia="Arial" w:hAnsi="Arial"/>
          <w:sz w:val="18"/>
          <w:szCs w:val="18"/>
          <w:color w:val="auto"/>
        </w:rPr>
        <w:t>distributions or payments of Receivables Fees;</w:t>
      </w:r>
    </w:p>
    <w:p>
      <w:pPr>
        <w:spacing w:after="0" w:line="225" w:lineRule="exact"/>
        <w:rPr>
          <w:rFonts w:ascii="Arial" w:cs="Arial" w:eastAsia="Arial" w:hAnsi="Arial"/>
          <w:sz w:val="18"/>
          <w:szCs w:val="18"/>
          <w:color w:val="010000"/>
        </w:rPr>
      </w:pPr>
    </w:p>
    <w:p>
      <w:pPr>
        <w:ind w:right="80" w:firstLine="645"/>
        <w:spacing w:after="0" w:line="257" w:lineRule="auto"/>
        <w:tabs>
          <w:tab w:leader="none" w:pos="1263" w:val="left"/>
        </w:tabs>
        <w:numPr>
          <w:ilvl w:val="0"/>
          <w:numId w:val="161"/>
        </w:numPr>
        <w:rPr>
          <w:rFonts w:ascii="Arial" w:cs="Arial" w:eastAsia="Arial" w:hAnsi="Arial"/>
          <w:sz w:val="18"/>
          <w:szCs w:val="18"/>
          <w:color w:val="010000"/>
        </w:rPr>
      </w:pPr>
      <w:r>
        <w:rPr>
          <w:rFonts w:ascii="Arial" w:cs="Arial" w:eastAsia="Arial" w:hAnsi="Arial"/>
          <w:sz w:val="18"/>
          <w:szCs w:val="18"/>
          <w:color w:val="auto"/>
        </w:rPr>
        <w:t xml:space="preserve">any Restricted Payment made in connection with the Transactions and the fees and expenses related thereto or used to fund amounts owed to Affiliates (including dividends to any direct or indirect parent company of Holdings to permit payment by such parent of such amount), to the extent permitted by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thereof), and Restricted Payments in respect of working capital adjustments or purchase price adjustments pursuant to any Permitted Acquisition or other Permitted Investment and to satisfy indemnity and other similar obligations under any Permitted Acquisitions or other Permitted Investments;</w:t>
      </w:r>
    </w:p>
    <w:p>
      <w:pPr>
        <w:spacing w:after="0" w:line="188" w:lineRule="exact"/>
        <w:rPr>
          <w:rFonts w:ascii="Arial" w:cs="Arial" w:eastAsia="Arial" w:hAnsi="Arial"/>
          <w:sz w:val="18"/>
          <w:szCs w:val="18"/>
          <w:color w:val="010000"/>
        </w:rPr>
      </w:pPr>
    </w:p>
    <w:p>
      <w:pPr>
        <w:ind w:right="40" w:firstLine="645"/>
        <w:spacing w:after="0" w:line="264" w:lineRule="auto"/>
        <w:tabs>
          <w:tab w:leader="none" w:pos="1263" w:val="left"/>
        </w:tabs>
        <w:numPr>
          <w:ilvl w:val="0"/>
          <w:numId w:val="161"/>
        </w:numPr>
        <w:rPr>
          <w:rFonts w:ascii="Arial" w:cs="Arial" w:eastAsia="Arial" w:hAnsi="Arial"/>
          <w:sz w:val="18"/>
          <w:szCs w:val="18"/>
          <w:color w:val="010000"/>
        </w:rPr>
      </w:pPr>
      <w:r>
        <w:rPr>
          <w:rFonts w:ascii="Arial" w:cs="Arial" w:eastAsia="Arial" w:hAnsi="Arial"/>
          <w:sz w:val="18"/>
          <w:szCs w:val="18"/>
          <w:color w:val="auto"/>
        </w:rPr>
        <w:t xml:space="preserve">other Restricted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Event of Default shall have occurred and be continuing or would occur as a consequence thereof and (B) after giving Pro Forma Effect to such Restricted Payments the Consolidated Total Debt to Consolidated EBITDA Ratio is equal to or less than 3.00:1.00;</w:t>
      </w:r>
    </w:p>
    <w:p>
      <w:pPr>
        <w:spacing w:after="0" w:line="39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908" w:right="259" w:bottom="1440" w:gutter="0" w:footer="0" w:header="0"/>
        </w:sectPr>
      </w:pPr>
    </w:p>
    <w:bookmarkStart w:id="153" w:name="page154"/>
    <w:bookmarkEnd w:id="153"/>
    <w:p>
      <w:pPr>
        <w:ind w:left="660" w:firstLine="645"/>
        <w:spacing w:after="0" w:line="284" w:lineRule="auto"/>
        <w:tabs>
          <w:tab w:leader="none" w:pos="1923" w:val="left"/>
        </w:tabs>
        <w:numPr>
          <w:ilvl w:val="0"/>
          <w:numId w:val="162"/>
        </w:numPr>
        <w:rPr>
          <w:rFonts w:ascii="Arial" w:cs="Arial" w:eastAsia="Arial" w:hAnsi="Arial"/>
          <w:sz w:val="16"/>
          <w:szCs w:val="16"/>
          <w:color w:val="010000"/>
        </w:rPr>
      </w:pPr>
      <w:r>
        <w:rPr>
          <w:rFonts w:ascii="Arial" w:cs="Arial" w:eastAsia="Arial" w:hAnsi="Arial"/>
          <w:sz w:val="16"/>
          <w:szCs w:val="16"/>
          <w:color w:val="auto"/>
        </w:rPr>
        <w:t xml:space="preserve">the declaration and payment of dividends by Holdings to, or the making of loans to, any direct or indirect parent company of Holdings in amounts required for any direct or indirect parent company to pay: (A) franchise and excise taxes, and other fees and expenses, required to maintain its organizational existence, (B) consolidated, combined or similar foreign, federal, state and local income or similar taxes, to the extent that such income taxes are attributable to the income of Holdings and the Restricted Subsidiaries and, to the extent of the amount actually received from its Unrestricted Subsidiaries, in amounts required to pay such taxes to the extent attributable to the income of such Unrestricted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amount of such payments with respect to any fiscal year does not exceed the amount that Holdings, the Restricted Subsidiaries and the Unrestricted Subsidiaries (to the extent described above) would have been required to pay in respect of such foreign, federal, state and local income or similar taxes for such fiscal year had Holdings, the Restricted Subsidiaries and the Unrestricted Subsidiaries (to the extent described above) been a stand-alone taxpayer or stand-alone group (separate from any such direct or indirect parent company of Holdings) for all fiscal years ending after the Restatement Effective Date, (C) customary salary, bonus, and other benefits payable to officers, employees, directors, and managers of any direct or indirect parent company of Holdings to the extent such salaries, bonuses, and other benefits are attributable to the ownership or operation of Holdings and the Restricted Subsidiaries, including Holdings’ proportionate share of such amount relating to such parent company being a public company, (D) general corporate or other operating (including, without limitation, expenses related to auditing or other accounting matters) and overhead costs and expenses of any direct or indirect parent company of Holdings to the extent such costs and expenses are attributable to the ownership or operation of Holdings and the Restricted Subsidiaries, including Holdings’ proportionate share of such amount relating to such parent company being a public company, (E) amounts required for any direct or indirect parent company of Holdings to pay fees and expenses incurred by any direct or indirect parent company of Holdings related to (i) the maintenance by such parent entity of its corporate or other entity existence and (ii) transactions of such parent company of Holdings of the type described in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of the definition of “Consolidated Net Income”, (F) cash payments in lieu of issuing fractional shares in connection with the exercise of warrants, options or other securities convertible into or exchangeable for Equity Interests of Holdings or any such direct or indirect parent company of Holdings, and (G) repurchases deemed to occur upon the cashless exercise of stock options;</w:t>
      </w:r>
    </w:p>
    <w:p>
      <w:pPr>
        <w:spacing w:after="0" w:line="181" w:lineRule="exact"/>
        <w:rPr>
          <w:rFonts w:ascii="Arial" w:cs="Arial" w:eastAsia="Arial" w:hAnsi="Arial"/>
          <w:sz w:val="16"/>
          <w:szCs w:val="16"/>
          <w:color w:val="010000"/>
        </w:rPr>
      </w:pPr>
    </w:p>
    <w:p>
      <w:pPr>
        <w:ind w:left="660" w:right="400" w:firstLine="645"/>
        <w:spacing w:after="0" w:line="312" w:lineRule="auto"/>
        <w:tabs>
          <w:tab w:leader="none" w:pos="1923" w:val="left"/>
        </w:tabs>
        <w:numPr>
          <w:ilvl w:val="0"/>
          <w:numId w:val="162"/>
        </w:numPr>
        <w:rPr>
          <w:rFonts w:ascii="Arial" w:cs="Arial" w:eastAsia="Arial" w:hAnsi="Arial"/>
          <w:sz w:val="16"/>
          <w:szCs w:val="16"/>
          <w:color w:val="010000"/>
        </w:rPr>
      </w:pPr>
      <w:r>
        <w:rPr>
          <w:rFonts w:ascii="Arial" w:cs="Arial" w:eastAsia="Arial" w:hAnsi="Arial"/>
          <w:sz w:val="16"/>
          <w:szCs w:val="16"/>
          <w:color w:val="auto"/>
        </w:rPr>
        <w:t>the repurchase, redemption or other acquisition for value of Equity Interests of Holdings deemed to occur in connection with paying cash in lieu of fractional shares of such Equity Interests in connection with a share dividend, distribution, share split, reverse share split, merger, consolidation, amalgamation or other business combination of Holdings, in each case, permitted under this Agreement;</w:t>
      </w:r>
    </w:p>
    <w:p>
      <w:pPr>
        <w:spacing w:after="0" w:line="146" w:lineRule="exact"/>
        <w:rPr>
          <w:rFonts w:ascii="Arial" w:cs="Arial" w:eastAsia="Arial" w:hAnsi="Arial"/>
          <w:sz w:val="16"/>
          <w:szCs w:val="16"/>
          <w:color w:val="010000"/>
        </w:rPr>
      </w:pPr>
    </w:p>
    <w:p>
      <w:pPr>
        <w:ind w:left="660" w:right="220" w:firstLine="645"/>
        <w:spacing w:after="0" w:line="342" w:lineRule="auto"/>
        <w:tabs>
          <w:tab w:leader="none" w:pos="1923" w:val="left"/>
        </w:tabs>
        <w:numPr>
          <w:ilvl w:val="0"/>
          <w:numId w:val="162"/>
        </w:numPr>
        <w:rPr>
          <w:rFonts w:ascii="Arial" w:cs="Arial" w:eastAsia="Arial" w:hAnsi="Arial"/>
          <w:sz w:val="16"/>
          <w:szCs w:val="16"/>
          <w:color w:val="010000"/>
        </w:rPr>
      </w:pPr>
      <w:r>
        <w:rPr>
          <w:rFonts w:ascii="Arial" w:cs="Arial" w:eastAsia="Arial" w:hAnsi="Arial"/>
          <w:sz w:val="16"/>
          <w:szCs w:val="16"/>
          <w:color w:val="auto"/>
        </w:rPr>
        <w:t>the distribution, by dividend or otherwise, of shares of Capital Stock of, or Indebtedness owed to Holdings or a Restricted Subsidiary by, Unrestricted Subsidiaries (other than Unrestricted Subsidiaries, the primary assets of which are cash and/or Cash Equivalents); and</w:t>
      </w:r>
    </w:p>
    <w:p>
      <w:pPr>
        <w:spacing w:after="0" w:line="123" w:lineRule="exact"/>
        <w:rPr>
          <w:rFonts w:ascii="Arial" w:cs="Arial" w:eastAsia="Arial" w:hAnsi="Arial"/>
          <w:sz w:val="16"/>
          <w:szCs w:val="16"/>
          <w:color w:val="010000"/>
        </w:rPr>
      </w:pPr>
    </w:p>
    <w:p>
      <w:pPr>
        <w:ind w:left="660" w:right="60" w:firstLine="645"/>
        <w:spacing w:after="0" w:line="259" w:lineRule="auto"/>
        <w:tabs>
          <w:tab w:leader="none" w:pos="1923" w:val="left"/>
        </w:tabs>
        <w:numPr>
          <w:ilvl w:val="0"/>
          <w:numId w:val="162"/>
        </w:numPr>
        <w:rPr>
          <w:rFonts w:ascii="Arial" w:cs="Arial" w:eastAsia="Arial" w:hAnsi="Arial"/>
          <w:sz w:val="18"/>
          <w:szCs w:val="18"/>
          <w:color w:val="010000"/>
        </w:rPr>
      </w:pPr>
      <w:r>
        <w:rPr>
          <w:rFonts w:ascii="Arial" w:cs="Arial" w:eastAsia="Arial" w:hAnsi="Arial"/>
          <w:sz w:val="18"/>
          <w:szCs w:val="18"/>
          <w:color w:val="auto"/>
        </w:rPr>
        <w:t>the making of any principal payment on, or redeeming, repurchasing, defeasing or otherwise acquiring or retiring for value in each case, prior to any scheduled repayment, sinking fund payment or maturity, any Junior Debt of Holdings or any Restricted Subsidiary in an amount not in excess of the greater of $30,000,000 and 25% of Consolidated EBITDA for the most recently ended Test Period (calculated on a Pro Forma Basis).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and after giving effect to, any Restricted Payment permitted under </w:t>
      </w:r>
      <w:r>
        <w:rPr>
          <w:rFonts w:ascii="Arial" w:cs="Arial" w:eastAsia="Arial" w:hAnsi="Arial"/>
          <w:sz w:val="18"/>
          <w:szCs w:val="18"/>
          <w:u w:val="single" w:color="auto"/>
          <w:color w:val="auto"/>
        </w:rPr>
        <w:t>clauses (10)</w:t>
      </w:r>
      <w:r>
        <w:rPr>
          <w:rFonts w:ascii="Arial" w:cs="Arial" w:eastAsia="Arial" w:hAnsi="Arial"/>
          <w:sz w:val="18"/>
          <w:szCs w:val="18"/>
          <w:color w:val="auto"/>
        </w:rPr>
        <w:t xml:space="preserve"> (but only if the Excluded Contribution was made more than six months prior to such time),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no Event of Default shall have occurred and be continuing or would occur as a consequence thereof (or in the case of a Restricted Investment, no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shall have occurred and be continuing or would occur as a consequence thereof).</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Holdings will not permit any Unrestricted Subsidiary to become a Restricted Subsidiary except pursuant to the last sentence of the definition of “Unrestricted Subsidiary”. For purposes of designating any Restricted Subsidiary as an Unrestricted Subsidiary, all outstanding Investments by Holdings and the Restricted Subsidiaries (except to the extent repaid) in the Subsidiary so designated will be deemed to be Restricted Payments in an amount determined as set forth in the last sentence of the definition of “Investment”. Such designation will be permitted only if a Restricted Payment in such amount would be permitted at such time, whether pursuant to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or under </w:t>
      </w:r>
      <w:r>
        <w:rPr>
          <w:rFonts w:ascii="Arial" w:cs="Arial" w:eastAsia="Arial" w:hAnsi="Arial"/>
          <w:sz w:val="17"/>
          <w:szCs w:val="17"/>
          <w:u w:val="single" w:color="auto"/>
          <w:color w:val="auto"/>
        </w:rPr>
        <w:t>clauses (7)</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or pursuant to the definition of “Permitted Investments”, and if such Subsidiary otherwise meets the definition of an Unrestricted Subsidiary. Unrestricted Subsidiaries will not be subject to any of the restrictive covenants set forth in this Agreement.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54" w:name="page155"/>
    <w:bookmarkEnd w:id="154"/>
    <w:p>
      <w:pPr>
        <w:ind w:right="40" w:firstLine="648"/>
        <w:spacing w:after="0" w:line="276" w:lineRule="auto"/>
        <w:rPr>
          <w:sz w:val="20"/>
          <w:szCs w:val="20"/>
          <w:color w:val="auto"/>
        </w:rPr>
      </w:pPr>
      <w:r>
        <w:rPr>
          <w:rFonts w:ascii="Arial" w:cs="Arial" w:eastAsia="Arial" w:hAnsi="Arial"/>
          <w:sz w:val="17"/>
          <w:szCs w:val="17"/>
          <w:color w:val="auto"/>
        </w:rPr>
        <w:t xml:space="preserve">For purposes of determining compliance with this covenant, in the event that a proposed Restricted Payment or Investment (or a portion thereof) meets the criteria of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above or is entitled to be made pursuant to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and/or one or more of the exceptions contained in the definition of “Permitted Investments”, Holdings will be entitled to classify or later reclassify (based on circumstances existing on the date of such reclassification) such Restricted Payment (or portion thereof) among such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and/or one or more of the exceptions contained in the definition of “Permitted Investments”, in a manner that otherwise complies with this covenant.</w:t>
      </w:r>
    </w:p>
    <w:p>
      <w:pPr>
        <w:spacing w:after="0" w:line="173"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Limitation on Subsidiary Distributions</w:t>
      </w:r>
      <w:r>
        <w:rPr>
          <w:rFonts w:ascii="Arial" w:cs="Arial" w:eastAsia="Arial" w:hAnsi="Arial"/>
          <w:sz w:val="18"/>
          <w:szCs w:val="18"/>
          <w:color w:val="auto"/>
        </w:rPr>
        <w:t>. Holdings will not permit any of the Restricted Subsidiaries that are not Guarantors to, directly or indirectly, create or otherwise cause or suffer to exist or become effective any consensual encumbrance or consensual restriction on the ability of any such Restricted Subsidiary to:</w:t>
      </w:r>
    </w:p>
    <w:p>
      <w:pPr>
        <w:spacing w:after="0" w:line="181" w:lineRule="exact"/>
        <w:rPr>
          <w:sz w:val="20"/>
          <w:szCs w:val="20"/>
          <w:color w:val="auto"/>
        </w:rPr>
      </w:pPr>
    </w:p>
    <w:p>
      <w:pPr>
        <w:ind w:left="660" w:firstLine="645"/>
        <w:spacing w:after="0" w:line="308" w:lineRule="auto"/>
        <w:tabs>
          <w:tab w:leader="none" w:pos="182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 pay dividends or make any other distributions to Holdings or any Restricted Subsidiary on its Capital Stock or with respect to any other interest or participation in, or measured by, its profits or (ii) pay any Indebtedness owed to Holdings or any Restricted Subsidiary;</w:t>
      </w:r>
    </w:p>
    <w:p>
      <w:pPr>
        <w:spacing w:after="0" w:line="146" w:lineRule="exact"/>
        <w:rPr>
          <w:rFonts w:ascii="Arial" w:cs="Arial" w:eastAsia="Arial" w:hAnsi="Arial"/>
          <w:sz w:val="17"/>
          <w:szCs w:val="17"/>
          <w:color w:val="auto"/>
        </w:rPr>
      </w:pPr>
    </w:p>
    <w:p>
      <w:pPr>
        <w:ind w:left="1820" w:hanging="515"/>
        <w:spacing w:after="0"/>
        <w:tabs>
          <w:tab w:leader="none" w:pos="18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make loans or advances to Holdings or any Restricted Subsidiary; or</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Holdings or any Restricted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except (in each case) for such encumbrances or restrictions (x) which the Borrower has reasonably determined in good faith will not materially impair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Borrower’s ability to make payments under this Agreement when due or (y) existing under or by reason of:</w:t>
      </w:r>
    </w:p>
    <w:p>
      <w:pPr>
        <w:spacing w:after="0" w:line="211" w:lineRule="exact"/>
        <w:rPr>
          <w:sz w:val="20"/>
          <w:szCs w:val="20"/>
          <w:color w:val="auto"/>
        </w:rPr>
      </w:pPr>
    </w:p>
    <w:p>
      <w:pPr>
        <w:ind w:left="660" w:right="200" w:firstLine="645"/>
        <w:spacing w:after="0" w:line="277" w:lineRule="auto"/>
        <w:tabs>
          <w:tab w:leader="none" w:pos="179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Restatement Effective Date, including pursuant to this Agreement and the related documentation and related Hedging Obligations;</w:t>
      </w:r>
    </w:p>
    <w:p>
      <w:pPr>
        <w:spacing w:after="0" w:line="170" w:lineRule="exact"/>
        <w:rPr>
          <w:rFonts w:ascii="Arial" w:cs="Arial" w:eastAsia="Arial" w:hAnsi="Arial"/>
          <w:sz w:val="18"/>
          <w:szCs w:val="18"/>
          <w:color w:val="auto"/>
        </w:rPr>
      </w:pPr>
    </w:p>
    <w:p>
      <w:pPr>
        <w:ind w:left="660" w:right="40" w:firstLine="645"/>
        <w:spacing w:after="0" w:line="277" w:lineRule="auto"/>
        <w:tabs>
          <w:tab w:leader="none" w:pos="184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purchase money obligations for property acquired in the ordinary course of business or consistent with past practice and Capitalized Lease Obligations that impose restrictions of the nature discussed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on the property so acquired;</w:t>
      </w:r>
    </w:p>
    <w:p>
      <w:pPr>
        <w:spacing w:after="0" w:line="170" w:lineRule="exact"/>
        <w:rPr>
          <w:rFonts w:ascii="Arial" w:cs="Arial" w:eastAsia="Arial" w:hAnsi="Arial"/>
          <w:sz w:val="18"/>
          <w:szCs w:val="18"/>
          <w:color w:val="auto"/>
        </w:rPr>
      </w:pPr>
    </w:p>
    <w:p>
      <w:pPr>
        <w:ind w:left="1880" w:hanging="575"/>
        <w:spacing w:after="0"/>
        <w:tabs>
          <w:tab w:leader="none" w:pos="1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Requirement of Law or any applicable rule, regulation or order;</w:t>
      </w:r>
    </w:p>
    <w:p>
      <w:pPr>
        <w:spacing w:after="0" w:line="225" w:lineRule="exact"/>
        <w:rPr>
          <w:rFonts w:ascii="Arial" w:cs="Arial" w:eastAsia="Arial" w:hAnsi="Arial"/>
          <w:sz w:val="18"/>
          <w:szCs w:val="18"/>
          <w:color w:val="auto"/>
        </w:rPr>
      </w:pPr>
    </w:p>
    <w:p>
      <w:pPr>
        <w:ind w:left="660" w:right="40" w:firstLine="645"/>
        <w:spacing w:after="0" w:line="257" w:lineRule="auto"/>
        <w:tabs>
          <w:tab w:leader="none" w:pos="188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or merged or consolidated with or into Holdings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88" w:lineRule="exact"/>
        <w:rPr>
          <w:rFonts w:ascii="Arial" w:cs="Arial" w:eastAsia="Arial" w:hAnsi="Arial"/>
          <w:sz w:val="18"/>
          <w:szCs w:val="18"/>
          <w:color w:val="auto"/>
        </w:rPr>
      </w:pPr>
    </w:p>
    <w:p>
      <w:pPr>
        <w:ind w:left="660" w:right="180" w:firstLine="645"/>
        <w:spacing w:after="0" w:line="264" w:lineRule="auto"/>
        <w:tabs>
          <w:tab w:leader="none" w:pos="183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contracts for the sale of assets, including customary restrictions with respect to a Subsidiary of Holdings pursuant to an agreement that has been entered into for the sale or disposition of all or substantially all of the Capital Stock or assets of such Subsidiary and restrictions on transfer of assets subject to Permitted Liens;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55" w:name="page156"/>
    <w:bookmarkEnd w:id="155"/>
    <w:p>
      <w:pPr>
        <w:jc w:val="both"/>
        <w:ind w:left="660" w:right="200" w:firstLine="645"/>
        <w:spacing w:after="0" w:line="312" w:lineRule="auto"/>
        <w:tabs>
          <w:tab w:leader="none" w:pos="188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(x) secured Indebtedness otherwise permitted to be incurred pursuant to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spacing w:after="0" w:line="146" w:lineRule="exact"/>
        <w:rPr>
          <w:rFonts w:ascii="Arial" w:cs="Arial" w:eastAsia="Arial" w:hAnsi="Arial"/>
          <w:sz w:val="16"/>
          <w:szCs w:val="16"/>
          <w:color w:val="auto"/>
        </w:rPr>
      </w:pPr>
    </w:p>
    <w:p>
      <w:pPr>
        <w:ind w:left="1920" w:hanging="615"/>
        <w:spacing w:after="0"/>
        <w:tabs>
          <w:tab w:leader="none" w:pos="19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660" w:right="440" w:firstLine="645"/>
        <w:spacing w:after="0" w:line="277" w:lineRule="auto"/>
        <w:tabs>
          <w:tab w:leader="none" w:pos="189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other Indebtedness, Disqualified Stock or preferred stock of Restricted Subsidiaries permitted to be incurred subsequent to the Restatement Effective Date pursuant to the provisions of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192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customary provisions in joint venture agreements or arrangements and other similar agreements or arrangements relating solely to such joint venture and the Equity Interests issued thereby;</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192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sub-licenses or similar agreements, in each case, entered into in the ordinary course of business;</w:t>
      </w:r>
    </w:p>
    <w:p>
      <w:pPr>
        <w:spacing w:after="0" w:line="170" w:lineRule="exact"/>
        <w:rPr>
          <w:rFonts w:ascii="Arial" w:cs="Arial" w:eastAsia="Arial" w:hAnsi="Arial"/>
          <w:sz w:val="18"/>
          <w:szCs w:val="18"/>
          <w:color w:val="auto"/>
        </w:rPr>
      </w:pPr>
    </w:p>
    <w:p>
      <w:pPr>
        <w:ind w:left="660" w:right="360" w:firstLine="645"/>
        <w:spacing w:after="0" w:line="277" w:lineRule="auto"/>
        <w:tabs>
          <w:tab w:leader="none" w:pos="188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restrictions created in connection with any Receivables Facility that, in the good faith determination of the board of directors of Holdings, are necessary or advisable to effect such Receivables Facility; and</w:t>
      </w:r>
    </w:p>
    <w:p>
      <w:pPr>
        <w:spacing w:after="0" w:line="170" w:lineRule="exact"/>
        <w:rPr>
          <w:rFonts w:ascii="Arial" w:cs="Arial" w:eastAsia="Arial" w:hAnsi="Arial"/>
          <w:sz w:val="18"/>
          <w:szCs w:val="18"/>
          <w:color w:val="auto"/>
        </w:rPr>
      </w:pPr>
    </w:p>
    <w:p>
      <w:pPr>
        <w:ind w:left="660" w:right="160" w:firstLine="645"/>
        <w:spacing w:after="0" w:line="291" w:lineRule="auto"/>
        <w:tabs>
          <w:tab w:leader="none" w:pos="193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any encumbrances or restrictions of the type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imposed by any amendments, modifications, restatements, renewals, increases, supplements, refundings, replacements or refinancings of the contracts, instruments or obligations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(x) are, in the good faith judgment of Holdings’ board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spacing w:after="0" w:line="1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 Holdings will not permit:</w:t>
      </w:r>
    </w:p>
    <w:p>
      <w:pPr>
        <w:spacing w:after="0" w:line="225" w:lineRule="exact"/>
        <w:rPr>
          <w:sz w:val="20"/>
          <w:szCs w:val="20"/>
          <w:color w:val="auto"/>
        </w:rPr>
      </w:pPr>
    </w:p>
    <w:p>
      <w:pPr>
        <w:ind w:left="660" w:right="260" w:firstLine="645"/>
        <w:spacing w:after="0" w:line="257" w:lineRule="auto"/>
        <w:tabs>
          <w:tab w:leader="none" w:pos="179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Consolidated Total Debt to Consolidated EBITDA Ratio as of the last day of any fiscal quarter of Holdings, commencing with the fiscal quarter ending December 31, 2019 to be greater than the ratio set forth below in respect of such day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option of the Borrower by notice to the Administrative Agent, the applicable ratio shall be increased by 0.25:1.00 one time during the term of this Agreement upon completion of a Material Acquisition, which increase shall be effective for four fiscal quarters immediately following the consummation of such Material Acquisition: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Fiscal Year</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March 31</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June 30</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December 31</w:t>
            </w:r>
          </w:p>
        </w:tc>
      </w:tr>
      <w:tr>
        <w:trPr>
          <w:trHeight w:val="210"/>
        </w:trPr>
        <w:tc>
          <w:tcPr>
            <w:tcW w:w="2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4.75:1.00</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4.75:1.00</w:t>
            </w: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4.75:1.00</w:t>
            </w: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4.75:1.00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4.75:1.00</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4.75:1.00</w:t>
            </w: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4.75:1.00</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4.50:1.00</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4.50:1.00</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4.50:1.00</w:t>
            </w: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Thereafter</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4.50:1.00</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4.50:1.00</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4.50:1.00</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4.25:1.00</w:t>
            </w:r>
          </w:p>
        </w:tc>
      </w:tr>
    </w:tbl>
    <w:p>
      <w:pPr>
        <w:spacing w:after="0" w:line="187" w:lineRule="exact"/>
        <w:rPr>
          <w:sz w:val="20"/>
          <w:szCs w:val="20"/>
          <w:color w:val="auto"/>
        </w:rPr>
      </w:pPr>
    </w:p>
    <w:p>
      <w:pPr>
        <w:ind w:left="660" w:right="420" w:firstLine="645"/>
        <w:spacing w:after="0" w:line="277" w:lineRule="auto"/>
        <w:tabs>
          <w:tab w:leader="none" w:pos="184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Consolidated Interest Coverage Ratio of Holdings as of the last day of any fiscal quarter of Holdings, commencing with the fiscal quarter ending December 31, 2019, to be less than 3.00 to 1.00.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6" w:name="page157"/>
    <w:bookmarkEnd w:id="156"/>
    <w:p>
      <w:pPr>
        <w:spacing w:after="0"/>
        <w:tabs>
          <w:tab w:leader="none" w:pos="12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Events of Default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any of the following specified events (each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Payments</w:t>
      </w:r>
      <w:r>
        <w:rPr>
          <w:rFonts w:ascii="Arial" w:cs="Arial" w:eastAsia="Arial" w:hAnsi="Arial"/>
          <w:sz w:val="18"/>
          <w:szCs w:val="18"/>
          <w:color w:val="auto"/>
        </w:rPr>
        <w:t>. The Borrower shall (a) default in the payment when due of any principal of the Loans or (b) default, and such default shall continue for five or more Business Days, in the payment when due of any interest on the Loans or any Fees or any Unpaid Drawings or of any other amounts owing hereunder or under any other Credit Document; or</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Representations, Etc.</w:t>
      </w:r>
      <w:r>
        <w:rPr>
          <w:rFonts w:ascii="Arial" w:cs="Arial" w:eastAsia="Arial" w:hAnsi="Arial"/>
          <w:sz w:val="18"/>
          <w:szCs w:val="18"/>
          <w:color w:val="auto"/>
        </w:rPr>
        <w:t xml:space="preserve"> 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 Any Credit Party shall:</w:t>
      </w:r>
    </w:p>
    <w:p>
      <w:pPr>
        <w:spacing w:after="0" w:line="225" w:lineRule="exact"/>
        <w:rPr>
          <w:sz w:val="20"/>
          <w:szCs w:val="20"/>
          <w:color w:val="auto"/>
        </w:rPr>
      </w:pPr>
    </w:p>
    <w:p>
      <w:pPr>
        <w:ind w:right="60" w:firstLine="656"/>
        <w:spacing w:after="0" w:line="291" w:lineRule="auto"/>
        <w:tabs>
          <w:tab w:leader="none" w:pos="125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default in the due performance or observance by it of any term, covenant or agreement contained in </w:t>
      </w:r>
      <w:r>
        <w:rPr>
          <w:rFonts w:ascii="Arial" w:cs="Arial" w:eastAsia="Arial" w:hAnsi="Arial"/>
          <w:sz w:val="16"/>
          <w:szCs w:val="16"/>
          <w:u w:val="single" w:color="auto"/>
          <w:color w:val="auto"/>
        </w:rPr>
        <w:t>Section 9.1(e)(i)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(solely with respect to Holdings or the Borrower), </w:t>
      </w:r>
      <w:r>
        <w:rPr>
          <w:rFonts w:ascii="Arial" w:cs="Arial" w:eastAsia="Arial" w:hAnsi="Arial"/>
          <w:sz w:val="16"/>
          <w:szCs w:val="16"/>
          <w:u w:val="single" w:color="auto"/>
          <w:color w:val="auto"/>
        </w:rPr>
        <w:t>Section 9.14(d)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Event of Default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is subject to cure as provided</w:t>
      </w:r>
    </w:p>
    <w:p>
      <w:pPr>
        <w:ind w:right="240"/>
        <w:spacing w:after="0" w:line="234"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and an Event of Default with respect to either such Sections shall not occur until the expiration of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Business Day subsequent to the date the relevant financial statements are required to be delivered for the applicable fiscal quarter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or</w:t>
      </w:r>
    </w:p>
    <w:p>
      <w:pPr>
        <w:spacing w:after="0" w:line="204" w:lineRule="exact"/>
        <w:rPr>
          <w:sz w:val="20"/>
          <w:szCs w:val="20"/>
          <w:color w:val="auto"/>
        </w:rPr>
      </w:pPr>
    </w:p>
    <w:p>
      <w:pPr>
        <w:jc w:val="both"/>
        <w:ind w:right="200" w:firstLine="656"/>
        <w:spacing w:after="0" w:line="286" w:lineRule="auto"/>
        <w:tabs>
          <w:tab w:leader="none" w:pos="126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default in the due performance or observance by it of any term, covenant or agreement (other than those referred to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contained in this Agreement or any Security Document and such default shall continue unremedied for a period of at least 30 days after receipt of written notice by Holdings from the Administrative Agent or the Required Lenders; or</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Default Under Other Agreements</w:t>
      </w:r>
      <w:r>
        <w:rPr>
          <w:rFonts w:ascii="Arial" w:cs="Arial" w:eastAsia="Arial" w:hAnsi="Arial"/>
          <w:sz w:val="16"/>
          <w:szCs w:val="16"/>
          <w:color w:val="auto"/>
        </w:rPr>
        <w:t xml:space="preserve">. (a) Holdings or any of the Restricted Subsidiaries shall (i) default in any payment with respect to any Indebtedness (other than the Obligations) in excess of $30,000,000 in the aggregate, for Holdings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apply to any failure to make any payment in excess of $30,000,000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shall apply to any failure to make any payment in excess of $30,000,000 that is required as a result of any such termination or equivalent event and that is not otherwise being contested in good faith)), prior to the stated maturity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w:t>
      </w:r>
    </w:p>
    <w:p>
      <w:pPr>
        <w:spacing w:after="0" w:line="13" w:lineRule="exact"/>
        <w:rPr>
          <w:sz w:val="20"/>
          <w:szCs w:val="20"/>
          <w:color w:val="auto"/>
        </w:rPr>
      </w:pPr>
    </w:p>
    <w:p>
      <w:pPr>
        <w:ind w:right="20" w:firstLine="8"/>
        <w:spacing w:after="0" w:line="271" w:lineRule="auto"/>
        <w:tabs>
          <w:tab w:leader="none" w:pos="255" w:val="left"/>
        </w:tabs>
        <w:numPr>
          <w:ilvl w:val="0"/>
          <w:numId w:val="170"/>
        </w:numPr>
        <w:rPr>
          <w:rFonts w:ascii="Arial" w:cs="Arial" w:eastAsia="Arial" w:hAnsi="Arial"/>
          <w:sz w:val="17"/>
          <w:szCs w:val="17"/>
          <w:u w:val="single" w:color="auto"/>
          <w:color w:val="auto"/>
        </w:rPr>
      </w:pPr>
      <w:r>
        <w:rPr>
          <w:rFonts w:ascii="Arial" w:cs="Arial" w:eastAsia="Arial" w:hAnsi="Arial"/>
          <w:sz w:val="17"/>
          <w:szCs w:val="17"/>
          <w:color w:val="auto"/>
        </w:rPr>
        <w:t>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 terms and such conversion is not prohibited hereunder, or (z) any breach or default that is (I) remedied by Holdings or the applicable Restricted Subsidiary or (II) waived (including in the form of amendment) by the required holders of the applicable item of Indebtedness, in either case, prior to the acceleration of Loans pursuant to this Section 11; or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7" w:name="page158"/>
    <w:bookmarkEnd w:id="157"/>
    <w:p>
      <w:pPr>
        <w:ind w:right="80" w:firstLine="648"/>
        <w:spacing w:after="0" w:line="286"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Bankruptcy, Etc.</w:t>
      </w:r>
      <w:r>
        <w:rPr>
          <w:rFonts w:ascii="Arial" w:cs="Arial" w:eastAsia="Arial" w:hAnsi="Arial"/>
          <w:sz w:val="16"/>
          <w:szCs w:val="16"/>
          <w:color w:val="auto"/>
        </w:rPr>
        <w:t xml:space="preserve"> Except as otherwise permitted by </w:t>
      </w:r>
      <w:r>
        <w:rPr>
          <w:rFonts w:ascii="Arial" w:cs="Arial" w:eastAsia="Arial" w:hAnsi="Arial"/>
          <w:sz w:val="16"/>
          <w:szCs w:val="16"/>
          <w:u w:val="single" w:color="auto"/>
          <w:color w:val="auto"/>
        </w:rPr>
        <w:t>Section 10.3</w:t>
      </w:r>
      <w:r>
        <w:rPr>
          <w:rFonts w:ascii="Arial" w:cs="Arial" w:eastAsia="Arial" w:hAnsi="Arial"/>
          <w:sz w:val="16"/>
          <w:szCs w:val="16"/>
          <w:color w:val="auto"/>
        </w:rPr>
        <w:t>, Holdings, the Borrower or any Significant Subsidiary shall commence a voluntary case, proceeding or action concerning itself under Title 11 of the United States Code entitled “Bankruptcy” as now or hereafter in effect, or any successor thereto (collectively, the “</w:t>
      </w:r>
      <w:r>
        <w:rPr>
          <w:rFonts w:ascii="Arial" w:cs="Arial" w:eastAsia="Arial" w:hAnsi="Arial"/>
          <w:sz w:val="16"/>
          <w:szCs w:val="16"/>
          <w:b w:val="1"/>
          <w:bCs w:val="1"/>
          <w:color w:val="auto"/>
        </w:rPr>
        <w:t>Bankruptcy Code</w:t>
      </w:r>
      <w:r>
        <w:rPr>
          <w:rFonts w:ascii="Arial" w:cs="Arial" w:eastAsia="Arial" w:hAnsi="Arial"/>
          <w:sz w:val="16"/>
          <w:szCs w:val="16"/>
          <w:color w:val="auto"/>
        </w:rPr>
        <w:t>”); or an involuntary case, proceeding or action is commenced against Holdings, the Borrower or any Significant Subsidiary and the petition is not controverted within 30 days after commencement of the case, proceeding or action; or an involuntary case, proceeding or action is commenced against Holdings, the Borrower or any Significant Subsidiary and the petition is not dismissed within 60 days after commencement of the case, proceeding or action; or a custodian (as defined in the Bankruptcy Code), judicial manager, compulsory manager, receiver, receiver manager, trustee, liquidator, administrator, administrative receiver or similar Person is appointed for, or takes charge of, all or substantially all of the property of Holdings, the Borrower or any Significant Subsidiary; or Holdings, the Borrower or any Significant Subsidiary commences any other voluntary proceeding or action under any reorganization, arrangement, adjustment of debt, relief of debtors, dissolution, insolvency, winding-up, administration or liquidation or similar law of any jurisdiction whether now or hereafter in effect relating to Holdings, the Borrower or any Significant Subsidiary; or there is commenced against Holdings, the Borrower or any Significant Subsidiary any such proceeding or action that remains undismissed for a period of 60 days; or Holdings, the Borrower or any Significant Subsidiary is adjudicated bankrupt; or any order of relief or other order approving any such case or proceeding or action is entered; or Holdings, the Borrower or any Significant Subsidiary suffers any appointment of any custodian receiver, receiver manager, trustee, administrator or the like for it or any substantial part of its property to continue undischarged or unstayed for a period of 60 days; or Holdings, the Borrower or any Significant Subsidiary makes a general assignment for the benefit of creditors; or</w:t>
      </w:r>
    </w:p>
    <w:p>
      <w:pPr>
        <w:spacing w:after="0" w:line="16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such event or condition, together with all other such events or conditions, if any, would reasonably be expected to result in a Material Adverse Effect; or</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Guarantee</w:t>
      </w:r>
      <w:r>
        <w:rPr>
          <w:rFonts w:ascii="Arial" w:cs="Arial" w:eastAsia="Arial" w:hAnsi="Arial"/>
          <w:sz w:val="18"/>
          <w:szCs w:val="18"/>
          <w:color w:val="auto"/>
        </w:rPr>
        <w:t>.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Pledge Agreement</w:t>
      </w:r>
      <w:r>
        <w:rPr>
          <w:rFonts w:ascii="Arial" w:cs="Arial" w:eastAsia="Arial" w:hAnsi="Arial"/>
          <w:sz w:val="18"/>
          <w:szCs w:val="18"/>
          <w:color w:val="auto"/>
        </w:rPr>
        <w:t>.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as a result of acts or omissions of the Collateral Agent or any Lender or as a result of the Collateral Agent’s failure to maintain possession of any Capital Stock or Stock Equivalents that have been previously delivered to it) or any pledgor thereunder or any Credit Party shall deny or disaffirm in writing any pledgor’s obligations under any Security Document; or</w:t>
      </w:r>
    </w:p>
    <w:p>
      <w:pPr>
        <w:spacing w:after="0" w:line="188"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Security Agreement</w:t>
      </w:r>
      <w:r>
        <w:rPr>
          <w:rFonts w:ascii="Arial" w:cs="Arial" w:eastAsia="Arial" w:hAnsi="Arial"/>
          <w:sz w:val="16"/>
          <w:szCs w:val="16"/>
          <w:color w:val="auto"/>
        </w:rPr>
        <w:t>. The Security Agreement or any other Security Document pursuant to which the assets of Holdings, the Borrower or any Material Subsidiary are pledged as Collateral or any material provision thereof shall cease to be in full force or effect (other than pursuant to the terms hereof or thereof,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 Party shall deny or disaffirm in writing any grantor’s obligations under the Security Agreement or any other Security Document; or</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8" w:name="page159"/>
    <w:bookmarkEnd w:id="158"/>
    <w:p>
      <w:pPr>
        <w:ind w:firstLine="648"/>
        <w:spacing w:after="0" w:line="279"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Judgments</w:t>
      </w:r>
      <w:r>
        <w:rPr>
          <w:rFonts w:ascii="Arial" w:cs="Arial" w:eastAsia="Arial" w:hAnsi="Arial"/>
          <w:sz w:val="17"/>
          <w:szCs w:val="17"/>
          <w:color w:val="auto"/>
        </w:rPr>
        <w:t>. One or more judgments or decrees shall be entered against Holdings or any of the Restricted Subsidiaries involving a liability in excess of $30,000,000 in the aggregate for all such judgments and decrees for Holdings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spacing w:after="0" w:line="17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 A Change of Control shall occur.</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 If an Event of Default occurs and is continuing, the Administrative Agent shall, upon the written request of the Required Lenders, by written notice to Holdings, take any or all of the following actions, without prejudice to the rights of the Administrative Agent or any Lender to enforce its claims against Holdings and the Borrower, except as otherwise specifically provided for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Event of Default specified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shall occur with respect to the Borrower or Holdings, the result that would occur upon the giving of written notice by the Administrative Agent as specified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below shall occur automatically without the giving of any such notice): (i) declare the Total Revolving Credit Commitment and Swingline Commitment terminated, whereupon the Revolving Credit Commitment and Swingline Commitment, if any, of each Lender or the Swingline Lender, as the case may be, shall forthwith terminate immediately and any Fees theretofore accrued shall forthwith become due and payable without any other notice of any kind; (ii)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(iii) terminate any Letter of Credit that may be terminated in accordance with its terms; and/or (iv) direct the Borrower to pay (and the Borrower agrees that upon receipt of such notice, or upon the occurrence of an Event of Default specified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with respect to the Borrower, it will pay) to the Administrative Agent at the Administrative Agent’s Office such additional amounts of cash, to be held as security for the Borrower’s respective reimbursement obligations for Drawings that may subsequently occur thereunder, equal to the aggregate Stated Amount of all Letters of Credit issued and then outstanding. In the case of an Event of Default under </w:t>
      </w: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in respect of a failure to observe or perform the covenant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the actions described above will be permitted to occur only following the expiration of the ability to effectuate the Cure Right if such Cure Right has not been so exercised; and the Borrower shall not be permitted to borrow Revolving Credit Loans and Letters of Credit shall not be issued or renewed unless and until the Cure Right is made on or prior to the expiration of the 10th Business Day following the date financial statements referred to in </w:t>
      </w:r>
      <w:r>
        <w:rPr>
          <w:rFonts w:ascii="Arial" w:cs="Arial" w:eastAsia="Arial" w:hAnsi="Arial"/>
          <w:sz w:val="16"/>
          <w:szCs w:val="16"/>
          <w:u w:val="single" w:color="auto"/>
          <w:color w:val="auto"/>
        </w:rPr>
        <w:t>Sections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are required to be delivered in respect of such fiscal period.</w:t>
      </w:r>
    </w:p>
    <w:p>
      <w:pPr>
        <w:spacing w:after="0" w:line="173"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xml:space="preserve">. Subject to the terms of the First Lien Intercreditor Agreement and the Second Lien Intercreditor Agreement, in each case, if executed,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shall be applied:</w:t>
      </w:r>
    </w:p>
    <w:p>
      <w:pPr>
        <w:spacing w:after="0" w:line="147" w:lineRule="exact"/>
        <w:rPr>
          <w:sz w:val="20"/>
          <w:szCs w:val="20"/>
          <w:color w:val="auto"/>
        </w:rPr>
      </w:pPr>
    </w:p>
    <w:p>
      <w:pPr>
        <w:ind w:left="660" w:right="100" w:firstLine="645"/>
        <w:spacing w:after="0" w:line="255" w:lineRule="auto"/>
        <w:tabs>
          <w:tab w:leader="none" w:pos="1793"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and documented costs and expenses incurred by the Administrative Agent or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in connection with any collection or sale of the Collateral or otherwise in connection with any Credit Document, including all court costs and the reasonable fees and expenses of its agents and legal counsel, the repayment of all advances made by the Administrative Agent or the Collateral Agent hereunder or under any other Credit Document on behalf of any Credit Party and any other reasonable and documented costs or expenses incurred in connection with the exercise of any right or remedy hereunder or under any other Credit Document to the extent reimbursable hereunder or thereunder;</w:t>
      </w:r>
    </w:p>
    <w:p>
      <w:pPr>
        <w:spacing w:after="0" w:line="193" w:lineRule="exact"/>
        <w:rPr>
          <w:rFonts w:ascii="Arial" w:cs="Arial" w:eastAsia="Arial" w:hAnsi="Arial"/>
          <w:sz w:val="18"/>
          <w:szCs w:val="18"/>
          <w:color w:val="auto"/>
        </w:rPr>
      </w:pPr>
    </w:p>
    <w:p>
      <w:pPr>
        <w:ind w:left="660" w:right="20" w:firstLine="645"/>
        <w:spacing w:after="0" w:line="279" w:lineRule="auto"/>
        <w:tabs>
          <w:tab w:leader="none" w:pos="1843"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to the Secured Parties, an amount (x) equal to all Obligations owing to them on the date of any distribution and (y)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to Cash Collateralize all Letters of Credit Outstanding on the date of any distribution, and, if such moneys shall be insufficient to pay such amounts in full and Cash Collateralize all Letters of Credit Outstanding, then ratably (without priority of any one over any other) to such Secured Parties in proportion to the unpaid amounts thereof and to Cash Collateralize the Letters of Credit Outstanding;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9" w:name="page160"/>
    <w:bookmarkEnd w:id="159"/>
    <w:p>
      <w:pPr>
        <w:ind w:left="660" w:right="60" w:firstLine="645"/>
        <w:spacing w:after="0" w:line="277" w:lineRule="auto"/>
        <w:tabs>
          <w:tab w:leader="none" w:pos="1893"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any surplus then remaining shall be paid to the applicable Credit Parties or their successors or assigns or to whomsoever may</w:t>
      </w:r>
      <w:r>
        <w:rPr>
          <w:rFonts w:ascii="Arial" w:cs="Arial" w:eastAsia="Arial" w:hAnsi="Arial"/>
          <w:sz w:val="18"/>
          <w:szCs w:val="18"/>
          <w:i w:val="1"/>
          <w:iCs w:val="1"/>
          <w:color w:val="auto"/>
        </w:rPr>
        <w:t xml:space="preserve"> </w:t>
      </w:r>
      <w:r>
        <w:rPr>
          <w:rFonts w:ascii="Arial" w:cs="Arial" w:eastAsia="Arial" w:hAnsi="Arial"/>
          <w:sz w:val="18"/>
          <w:szCs w:val="18"/>
          <w:color w:val="auto"/>
        </w:rPr>
        <w:t>be lawfully entitled to receive the same or as a court of competent jurisdiction may direct;</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amount applied to Cash Collateralize any Letters of Credit Outstanding that has not been applied to reimburse the Borrower for Unpaid Drawings under the applicable Letters of Credit at the time of expiration of all such Letters of Credit shall be applied by the Administrative Agent in the order specified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Notwithstanding the foregoing, amounts received from any Guarantor that is not an “Eligible Contract Participant” (as defined in the Commodity Exchange Act) shall not be applied to its Obligations that are Excluded Swap Obligations.</w:t>
      </w:r>
    </w:p>
    <w:p>
      <w:pPr>
        <w:spacing w:after="0" w:line="171"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Equity Cure</w:t>
      </w:r>
      <w:r>
        <w:rPr>
          <w:rFonts w:ascii="Arial" w:cs="Arial" w:eastAsia="Arial" w:hAnsi="Arial"/>
          <w:sz w:val="18"/>
          <w:szCs w:val="18"/>
          <w:color w:val="auto"/>
        </w:rPr>
        <w:t xml:space="preserve">. Notwithstanding anything to the contrary contained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in the event that Holdings fails to comply with the requirement of the financial covenant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from the end of any fiscal period until the expiration of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Business Day following the date financial statements referred to in </w:t>
      </w:r>
      <w:r>
        <w:rPr>
          <w:rFonts w:ascii="Arial" w:cs="Arial" w:eastAsia="Arial" w:hAnsi="Arial"/>
          <w:sz w:val="18"/>
          <w:szCs w:val="18"/>
          <w:u w:val="single" w:color="auto"/>
          <w:color w:val="auto"/>
        </w:rPr>
        <w:t>Sections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are required to be delivered in respect of such fiscal period for which such financial covenant is being measured, any holder of Capital Stock or Stock Equivalents of Holdings or any direct or indirect parent of Holdings shall have the right to cure such failure (the “</w:t>
      </w:r>
      <w:r>
        <w:rPr>
          <w:rFonts w:ascii="Arial" w:cs="Arial" w:eastAsia="Arial" w:hAnsi="Arial"/>
          <w:sz w:val="18"/>
          <w:szCs w:val="18"/>
          <w:b w:val="1"/>
          <w:bCs w:val="1"/>
          <w:color w:val="auto"/>
        </w:rPr>
        <w:t>Cure Right</w:t>
      </w:r>
      <w:r>
        <w:rPr>
          <w:rFonts w:ascii="Arial" w:cs="Arial" w:eastAsia="Arial" w:hAnsi="Arial"/>
          <w:sz w:val="18"/>
          <w:szCs w:val="18"/>
          <w:color w:val="auto"/>
        </w:rPr>
        <w:t>”) by causing cash net equity proceeds derived from an issuance of Capital Stock or Stock Equivalents (other than Disqualified Stock, unless reasonably satisfactory to the Administrative Agent) by Holdings (or from a contribution to the common equity capital of Holdings) to be contributed, directly or indirectly, as cash common equity to the Borrower, and upon receipt by the Borrower of such cash contribution (such cash amount being referred to as the “</w:t>
      </w:r>
      <w:r>
        <w:rPr>
          <w:rFonts w:ascii="Arial" w:cs="Arial" w:eastAsia="Arial" w:hAnsi="Arial"/>
          <w:sz w:val="18"/>
          <w:szCs w:val="18"/>
          <w:b w:val="1"/>
          <w:bCs w:val="1"/>
          <w:color w:val="auto"/>
        </w:rPr>
        <w:t>Cure Amount</w:t>
      </w:r>
      <w:r>
        <w:rPr>
          <w:rFonts w:ascii="Arial" w:cs="Arial" w:eastAsia="Arial" w:hAnsi="Arial"/>
          <w:sz w:val="18"/>
          <w:szCs w:val="18"/>
          <w:color w:val="auto"/>
        </w:rPr>
        <w:t>”) pursuant to the exercise of such Cure Right, such applicable financial covenant shall be recalculated giving effect to the following pro forma adjustments:</w:t>
      </w:r>
    </w:p>
    <w:p>
      <w:pPr>
        <w:spacing w:after="0" w:line="209" w:lineRule="exact"/>
        <w:rPr>
          <w:sz w:val="20"/>
          <w:szCs w:val="20"/>
          <w:color w:val="auto"/>
        </w:rPr>
      </w:pPr>
    </w:p>
    <w:p>
      <w:pPr>
        <w:ind w:left="660" w:firstLine="645"/>
        <w:spacing w:after="0" w:line="259" w:lineRule="auto"/>
        <w:tabs>
          <w:tab w:leader="none" w:pos="182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Consolidated EBITDA shall be increased, solely for the purpose of determining the existence of an Event of Default resulting from a breach of the financial covenants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as applicable, with respect to any period of four consecutive fiscal quarters that includes the fiscal quarter for which the Cure Right was exercised and not for any other purpose under this Agreement, by an amount equal to the Cure Amount;</w:t>
      </w:r>
    </w:p>
    <w:p>
      <w:pPr>
        <w:spacing w:after="0" w:line="186" w:lineRule="exact"/>
        <w:rPr>
          <w:rFonts w:ascii="Arial" w:cs="Arial" w:eastAsia="Arial" w:hAnsi="Arial"/>
          <w:sz w:val="18"/>
          <w:szCs w:val="18"/>
          <w:color w:val="auto"/>
        </w:rPr>
      </w:pPr>
    </w:p>
    <w:p>
      <w:pPr>
        <w:ind w:left="660" w:right="200" w:firstLine="645"/>
        <w:spacing w:after="0" w:line="277" w:lineRule="auto"/>
        <w:tabs>
          <w:tab w:leader="none" w:pos="183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Consolidated Total Debt shall be decreased solely to the extent proceeds of the Cure Amount are actually applied to prepay any of the Credit Facilities; and</w:t>
      </w:r>
    </w:p>
    <w:p>
      <w:pPr>
        <w:spacing w:after="0" w:line="170" w:lineRule="exact"/>
        <w:rPr>
          <w:rFonts w:ascii="Arial" w:cs="Arial" w:eastAsia="Arial" w:hAnsi="Arial"/>
          <w:sz w:val="18"/>
          <w:szCs w:val="18"/>
          <w:color w:val="auto"/>
        </w:rPr>
      </w:pPr>
    </w:p>
    <w:p>
      <w:pPr>
        <w:ind w:left="660" w:firstLine="645"/>
        <w:spacing w:after="0" w:line="271" w:lineRule="auto"/>
        <w:tabs>
          <w:tab w:leader="none" w:pos="182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if, after giving effect to the foregoing recalculations, Holdings shall then be in compliance with the requirements of the financial covenants set forth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Holdings shall be deemed to have satisfied the requirements of such applicable financial covenant as of the relevant date of determination with the same effect as though there had been no failure to comply therewith at such date, and the applicable breach or default of such financial covenants that had occurred shall be deemed cured for the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each period of four consecutive fiscal quarters there shall be at least two fiscal quarters in which no Cure Right is made, (ii) there shall be a maximum of five Cure Rights made during the term of this Agreement, (iii) each Cure Amount shall be no greater than the amount required to cause the Borrower to be in compliance with the applicable financial covenant; and (iv) all Cure Amounts shall be disregarded for the purposes of any financial ratio determination under the Credit Documents other than for determining compliance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as applicable.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0" w:name="page161"/>
    <w:bookmarkEnd w:id="160"/>
    <w:p>
      <w:pPr>
        <w:spacing w:after="0"/>
        <w:tabs>
          <w:tab w:leader="none" w:pos="13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The Agents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Appointment</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69" w:lineRule="auto"/>
        <w:tabs>
          <w:tab w:leader="none" w:pos="125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12.1(c)</w:t>
      </w:r>
      <w:r>
        <w:rPr>
          <w:rFonts w:ascii="Arial" w:cs="Arial" w:eastAsia="Arial" w:hAnsi="Arial"/>
          <w:sz w:val="17"/>
          <w:szCs w:val="17"/>
          <w:color w:val="auto"/>
        </w:rPr>
        <w:t xml:space="preserve"> with respect to the Syndication Agents, the Documentation Agents, the Joint Lead Arrangers and Bookrunners and </w:t>
      </w:r>
      <w:r>
        <w:rPr>
          <w:rFonts w:ascii="Arial" w:cs="Arial" w:eastAsia="Arial" w:hAnsi="Arial"/>
          <w:sz w:val="17"/>
          <w:szCs w:val="17"/>
          <w:u w:val="single" w:color="auto"/>
          <w:color w:val="auto"/>
        </w:rPr>
        <w:t>Sections 12.1</w:t>
      </w:r>
      <w:r>
        <w:rPr>
          <w:rFonts w:ascii="Arial" w:cs="Arial" w:eastAsia="Arial" w:hAnsi="Arial"/>
          <w:sz w:val="17"/>
          <w:szCs w:val="17"/>
          <w:color w:val="auto"/>
        </w:rPr>
        <w:t xml:space="preserve">, </w:t>
      </w:r>
      <w:r>
        <w:rPr>
          <w:rFonts w:ascii="Arial" w:cs="Arial" w:eastAsia="Arial" w:hAnsi="Arial"/>
          <w:sz w:val="17"/>
          <w:szCs w:val="17"/>
          <w:u w:val="single" w:color="auto"/>
          <w:color w:val="auto"/>
        </w:rPr>
        <w:t>12.9</w:t>
      </w:r>
      <w:r>
        <w:rPr>
          <w:rFonts w:ascii="Arial" w:cs="Arial" w:eastAsia="Arial" w:hAnsi="Arial"/>
          <w:sz w:val="17"/>
          <w:szCs w:val="17"/>
          <w:color w:val="auto"/>
        </w:rPr>
        <w:t xml:space="preserve">, </w:t>
      </w:r>
      <w:r>
        <w:rPr>
          <w:rFonts w:ascii="Arial" w:cs="Arial" w:eastAsia="Arial" w:hAnsi="Arial"/>
          <w:sz w:val="17"/>
          <w:szCs w:val="17"/>
          <w:u w:val="single" w:color="auto"/>
          <w:color w:val="auto"/>
        </w:rPr>
        <w:t>12.11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12.12</w:t>
      </w:r>
      <w:r>
        <w:rPr>
          <w:rFonts w:ascii="Arial" w:cs="Arial" w:eastAsia="Arial" w:hAnsi="Arial"/>
          <w:sz w:val="17"/>
          <w:szCs w:val="17"/>
          <w:color w:val="auto"/>
        </w:rPr>
        <w:t xml:space="preserve"> with respect to Holdings) are solely for the benefit of the Agents and the Lenders, none of Holdings, the Borrower 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spacing w:after="0" w:line="179" w:lineRule="exact"/>
        <w:rPr>
          <w:rFonts w:ascii="Arial" w:cs="Arial" w:eastAsia="Arial" w:hAnsi="Arial"/>
          <w:sz w:val="17"/>
          <w:szCs w:val="17"/>
          <w:color w:val="auto"/>
        </w:rPr>
      </w:pPr>
    </w:p>
    <w:p>
      <w:pPr>
        <w:ind w:firstLine="656"/>
        <w:spacing w:after="0" w:line="290" w:lineRule="auto"/>
        <w:tabs>
          <w:tab w:leader="none" w:pos="12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Administrative Agent, each Lender, the Swingline Lender and the Letter of Credit Issuer hereby irrevocably designate and appoint the Collateral Agent as the agent with respect to the Collateral, and each of the Administrative Agent, each Lender, the Swingline Lender and the Letter of Credit Issuer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the Swingline Lender or the Letter of Credit Issuers, and no implied covenants, functions, responsibilities, duties, obligations or liabilities shall be read into this Agreement or any other Credit Document or otherwise exist against the Collateral Agent.</w:t>
      </w:r>
    </w:p>
    <w:p>
      <w:pPr>
        <w:spacing w:after="0" w:line="166" w:lineRule="exact"/>
        <w:rPr>
          <w:rFonts w:ascii="Arial" w:cs="Arial" w:eastAsia="Arial" w:hAnsi="Arial"/>
          <w:sz w:val="16"/>
          <w:szCs w:val="16"/>
          <w:color w:val="auto"/>
        </w:rPr>
      </w:pPr>
    </w:p>
    <w:p>
      <w:pPr>
        <w:ind w:right="300" w:firstLine="656"/>
        <w:spacing w:after="0" w:line="277" w:lineRule="auto"/>
        <w:tabs>
          <w:tab w:leader="none" w:pos="125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Each of the Syndication Agent, Documentation Agent, Joint Lead Arrangers and Bookrunners each in its capacity as such, shall not have any obligations, duties or responsibilities under this Agreement but shall be entitled to all benefits of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absence of its gross negligence or willful misconduct (as determined in the final non-appealable judgment of a court of competent jurisdiction).</w:t>
      </w:r>
    </w:p>
    <w:p>
      <w:pPr>
        <w:spacing w:after="0" w:line="18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xml:space="preserve">. No Agent nor any of its officers, directors, employees, agents, attorneys-in-fact or Affiliates shall be (a) liable for 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creation, perfection or priority of any Lien or security interest created or purported to be created under the Security Documents, the value or sufficiency of the Collateral,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(b) except as expressly set forth in the Credit Documents, no Agent shall have any duty to disclose, nor shall it be liable for the failure to disclose, any information relating to Holdings, the Borrower or any of the other Subsidiaries that is communicated to or obtained by the bank serving as Administrative Agent and/or Collateral Agent or any of its Affiliates in any capacity. The Administrative Agent shall not be responsible or have any liability for, or have any duty to ascertain, inquire into, monitor or enforce, compliance with the provisions of this Agreement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1" w:name="page162"/>
    <w:bookmarkEnd w:id="161"/>
    <w:p>
      <w:pPr>
        <w:ind w:firstLine="648"/>
        <w:spacing w:after="0" w:line="267"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Reliance by Agents</w:t>
      </w:r>
      <w:r>
        <w:rPr>
          <w:rFonts w:ascii="Arial" w:cs="Arial" w:eastAsia="Arial" w:hAnsi="Arial"/>
          <w:sz w:val="17"/>
          <w:szCs w:val="17"/>
          <w:color w:val="auto"/>
        </w:rPr>
        <w:t xml:space="preserve">.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Holdings and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to its satisfaction by the Lenders against any and all liability and expense that may be incurred by it by reason of taking or continuing to take any such action. In determining compliance with any condition hereunder to the making of a Loan, or the issuance, extension, renewal or increase of a Letter of Credit, that by its terms must be fulfilled to the satisfaction of a Lender or a Letter of Credit Issuer, the Administrative Agent may presume that such condition is satisfactory to such Lender or such Letter of Credit Issuer unless the Administrative Agent shall have received notice to the contrary from such Lender or such Letter of Credit Issuer prior to the making of such Loan or the issuance of such Letter of Credit.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and the Collateral Agent shall not be required to take any action that, in its opinion or in the opinion of its counsel, may expose it to liability or that is contrary to any Credit Document or applicable law.</w:t>
      </w:r>
    </w:p>
    <w:p>
      <w:pPr>
        <w:spacing w:after="0" w:line="1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Neither the Administrative Agent nor the Collateral Agent shall be deemed to have knowledge or notice of the occurrence of any Default or Event of Default hereunder unless the Administrative Agent or the Collateral Agent has received written notice from a Lender or Holdings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2" w:name="page163"/>
    <w:bookmarkEnd w:id="162"/>
    <w:p>
      <w:pPr>
        <w:ind w:firstLine="648"/>
        <w:spacing w:after="0" w:line="285"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Non-Reliance on Administrative Agent, Collateral Agent, and Other Lenders</w:t>
      </w:r>
      <w:r>
        <w:rPr>
          <w:rFonts w:ascii="Arial" w:cs="Arial" w:eastAsia="Arial" w:hAnsi="Arial"/>
          <w:sz w:val="16"/>
          <w:szCs w:val="16"/>
          <w:color w:val="auto"/>
        </w:rPr>
        <w:t>. Each Lender expressly acknowledges that neither the Administrative Agent nor the Collateral Agent nor any of their respective officers, directors, employees, agents, attorneys-in-fact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the Swingline Lender or any Letter of Credit Issuer. Each Lender, the Swingline Lender and the Letter of Credit Issuer represents to the Administrative Agent and the Collateral Agent that it has, independently and without reliance upon the Administrative Agent, the Collateral Agent or any other Lender, and based on such documents and information as it has deemed appropriate, made its own appraisal of and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 agents, attorneys-in-fact or Affiliates.</w:t>
      </w:r>
    </w:p>
    <w:p>
      <w:pPr>
        <w:spacing w:after="0" w:line="178"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to an Agent for the payment of any portion of such liabilities, obligations, losses, damages, penalties, actions, judgments, suits, costs, expenses or disbursements resulting from such Agent’s gross negligence or willful misconduct as determined by a final non-appealable judgment of a court of competent jurisdiction; provided, further,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applies whether any such investigation, litigation or proceeding is brought by any Lender or any other Person. Without limitation of the foregoing, each Lender shall reimburse each Agent upon demand for its ratable share of any 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Holdings or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reimbursement by the Lenders shall not affect Holdings’ or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pro rata portion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shall survive the payment of the Loans and all other amounts payable hereunder. The indemnity provided to each Agent under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shall also apply to such Agent’s respective Affiliates, directors, officers, members, controlling persons, employees, trustees, investment advisors and agents and successors.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3" w:name="page164"/>
    <w:bookmarkEnd w:id="163"/>
    <w:p>
      <w:pPr>
        <w:ind w:firstLine="648"/>
        <w:spacing w:after="0" w:line="297"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Agents in Their Individual Capacities</w:t>
      </w:r>
      <w:r>
        <w:rPr>
          <w:rFonts w:ascii="Arial" w:cs="Arial" w:eastAsia="Arial" w:hAnsi="Arial"/>
          <w:sz w:val="16"/>
          <w:szCs w:val="16"/>
          <w:color w:val="auto"/>
        </w:rPr>
        <w:t>.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15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5"/>
          <w:szCs w:val="15"/>
          <w:u w:val="single" w:color="auto"/>
          <w:color w:val="auto"/>
        </w:rPr>
        <w:t>Successor Agents</w:t>
      </w:r>
      <w:r>
        <w:rPr>
          <w:rFonts w:ascii="Arial" w:cs="Arial" w:eastAsia="Arial" w:hAnsi="Arial"/>
          <w:sz w:val="15"/>
          <w:szCs w:val="15"/>
          <w:color w:val="auto"/>
        </w:rPr>
        <w:t>.</w:t>
      </w:r>
    </w:p>
    <w:p>
      <w:pPr>
        <w:spacing w:after="0" w:line="225" w:lineRule="exact"/>
        <w:rPr>
          <w:sz w:val="20"/>
          <w:szCs w:val="20"/>
          <w:color w:val="auto"/>
        </w:rPr>
      </w:pPr>
    </w:p>
    <w:p>
      <w:pPr>
        <w:ind w:right="60" w:firstLine="656"/>
        <w:spacing w:after="0" w:line="270" w:lineRule="auto"/>
        <w:tabs>
          <w:tab w:leader="none" w:pos="1253"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Each of the Administrative Agent and the Collateral Agent may at any time give notice of its resignation to the Lenders, the Letter of Credit Issuer and Holdings. Upon receipt of any such notice of resignation, the Required Lenders shall have the right, subject to the consent of the Borrower (not to be unreasonably withheld or delayed) so long as no Event of Default under </w:t>
      </w:r>
      <w:r>
        <w:rPr>
          <w:rFonts w:ascii="Arial" w:cs="Arial" w:eastAsia="Arial" w:hAnsi="Arial"/>
          <w:sz w:val="17"/>
          <w:szCs w:val="17"/>
          <w:u w:val="single" w:color="auto"/>
          <w:color w:val="auto"/>
        </w:rPr>
        <w:t>Sections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is continuing, to appoint a successor, which shall be a bank or trust company with an office in the United States, or an Affiliate of any such bank or trust company with an office in the United States (other than any Disqualified Lender). If no such successor shall have been so appointed by the Required Lenders and shall have accepted such appointment within 30 days after the retiring Agent gives notice of its resignation (the “</w:t>
      </w:r>
      <w:r>
        <w:rPr>
          <w:rFonts w:ascii="Arial" w:cs="Arial" w:eastAsia="Arial" w:hAnsi="Arial"/>
          <w:sz w:val="17"/>
          <w:szCs w:val="17"/>
          <w:b w:val="1"/>
          <w:bCs w:val="1"/>
          <w:color w:val="auto"/>
        </w:rPr>
        <w:t>Resignation Effective Date</w:t>
      </w:r>
      <w:r>
        <w:rPr>
          <w:rFonts w:ascii="Arial" w:cs="Arial" w:eastAsia="Arial" w:hAnsi="Arial"/>
          <w:sz w:val="17"/>
          <w:szCs w:val="17"/>
          <w:color w:val="auto"/>
        </w:rPr>
        <w:t xml:space="preserve">”), then the retiring Agent may on behalf of the Lenders, appoint a successor Agent meeting the qualifications set forth above (including receipt of the Borrower’s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such successor Administrative Agent be a Defaulting Lender or Disqualified Lender, and further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or the Collateral Agent shall notify the Borrower and the Lenders that no qualifying Person has accepted such appointment, then such resignation shall nonetheless become effective in accordance with such notice.</w:t>
      </w:r>
    </w:p>
    <w:p>
      <w:pPr>
        <w:spacing w:after="0" w:line="177" w:lineRule="exact"/>
        <w:rPr>
          <w:rFonts w:ascii="Arial" w:cs="Arial" w:eastAsia="Arial" w:hAnsi="Arial"/>
          <w:sz w:val="17"/>
          <w:szCs w:val="17"/>
          <w:color w:val="auto"/>
        </w:rPr>
      </w:pPr>
    </w:p>
    <w:p>
      <w:pPr>
        <w:ind w:right="40" w:firstLine="656"/>
        <w:spacing w:after="0" w:line="255" w:lineRule="auto"/>
        <w:tabs>
          <w:tab w:leader="none" w:pos="126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If the Person serving as the Administrative Agent is a Defaulting Lender pursuant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b w:val="1"/>
          <w:bCs w:val="1"/>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93" w:lineRule="exact"/>
        <w:rPr>
          <w:rFonts w:ascii="Arial" w:cs="Arial" w:eastAsia="Arial" w:hAnsi="Arial"/>
          <w:sz w:val="18"/>
          <w:szCs w:val="18"/>
          <w:color w:val="auto"/>
        </w:rPr>
      </w:pPr>
    </w:p>
    <w:p>
      <w:pPr>
        <w:ind w:right="60" w:firstLine="656"/>
        <w:spacing w:after="0" w:line="285" w:lineRule="auto"/>
        <w:tabs>
          <w:tab w:leader="none" w:pos="125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or the Letter of Credit Issuer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and the Letter of Credit Issuer directly, until such time as the Required Lenders appoint a successor Agent as provided for above in this paragraph (and otherwise subject to the terms above).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Except as provided above, any resignation or removal of Bank of America, N.A. as the Administrative Agent pursuant to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shall also constitute the resignation or removal of Bank of America, N.A. as the Collateral Agent. The fees payable by Holdings or the Borrower (following the effectiveness of such appointment) to such Agent shall be the same as those payable to its predecessor unless otherwise agreed between Holdings or Borrower and such successor. After the retiring or removed Agent’s resignation or removal hereunder and under the other Credit Documents, the provisions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13.5</w:t>
      </w:r>
      <w:r>
        <w:rPr>
          <w:rFonts w:ascii="Arial" w:cs="Arial" w:eastAsia="Arial" w:hAnsi="Arial"/>
          <w:sz w:val="16"/>
          <w:szCs w:val="16"/>
          <w:color w:val="auto"/>
        </w:rPr>
        <w:t xml:space="preserve"> shall continue in effect for the benefit of such retiring or removed Agent, its sub-agents and their respective Related Parties in respect of any actions taken or omitted to be taken by any of them while the retiring or removed Agent was acting as an Agent.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4" w:name="page165"/>
    <w:bookmarkEnd w:id="164"/>
    <w:p>
      <w:pPr>
        <w:ind w:right="80" w:firstLine="656"/>
        <w:spacing w:after="0" w:line="286" w:lineRule="auto"/>
        <w:tabs>
          <w:tab w:leader="none" w:pos="1253"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Any resignation by or removal of Bank of America, N.A. as the Administrative Agent pursuant to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shall also constitute its resignation or removal as Swingline Lender and its Affiliate’s or its resignation or removal, as applicable, as a Letter of Credit Issuer (if such Affiliate or Bank of America, N.A. is a Letter of Credit Issuer). Upon the acceptance of a successor’s appointment as the Administrative Agent hereunder, (a) such successor shall succeed to and become vested with all of the rights, powers, privileges and duties of the retiring Letter of Credit Issuer and Swingline Lender,</w:t>
      </w:r>
    </w:p>
    <w:p>
      <w:pPr>
        <w:spacing w:after="0" w:line="1" w:lineRule="exact"/>
        <w:rPr>
          <w:rFonts w:ascii="Arial" w:cs="Arial" w:eastAsia="Arial" w:hAnsi="Arial"/>
          <w:sz w:val="16"/>
          <w:szCs w:val="16"/>
          <w:color w:val="auto"/>
        </w:rPr>
      </w:pPr>
    </w:p>
    <w:p>
      <w:pPr>
        <w:ind w:right="60" w:firstLine="8"/>
        <w:spacing w:after="0" w:line="290" w:lineRule="auto"/>
        <w:tabs>
          <w:tab w:leader="none" w:pos="25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retiring Letter of Credit Issuer (if an Affiliate of Bank of America, N.A. is a Letter of Credit Issuer or if Bank of America, N.A. is a Letter of Credit Issuer) and Swingline Lender shall be discharged from all of their respective duties and obligations hereunder or under the other Credit Documents, and (c) the successor Letter of Credit Issuer shall issue letters of credit in substitution for the Letters of Credit issued by such Affiliate of the Administrative Agent or the Administrative Agent, if any, outstanding at the time of such succession or make other arrangements satisfactory to the retiring Letter of Credit Issuer (if an Affiliate of Bank of America, N.A. or Bank of America, N.A. is a Letter of Credit Issuer) to effectively assume the obligations of the retiring Letter of Credit Issuer (if an Affiliate or Bank of America, N.A. or Bank of America, N.A. is a Letter of Credit Issuer) with respect to such Letters of Credit.</w:t>
      </w:r>
    </w:p>
    <w:p>
      <w:pPr>
        <w:spacing w:after="0" w:line="16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To the extent required by any applicable law, the Administrative Agent may withhold from any payment to any Lender under any Credit Document an amount equivalent to any applicable withholding Tax. If the Internal Revenue Service or any Governmental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whether or not such claim is correctly or legally asserted,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fully for all amounts paid, directly or indirectly, by the Administrative Agent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The agreements in </w:t>
      </w: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w:t>
      </w:r>
      <w:r>
        <w:rPr>
          <w:rFonts w:ascii="Arial" w:cs="Arial" w:eastAsia="Arial" w:hAnsi="Arial"/>
          <w:sz w:val="17"/>
          <w:szCs w:val="17"/>
          <w:u w:val="single" w:color="auto"/>
          <w:color w:val="auto"/>
        </w:rPr>
        <w:t>Section 12.10</w:t>
      </w:r>
      <w:r>
        <w:rPr>
          <w:rFonts w:ascii="Arial" w:cs="Arial" w:eastAsia="Arial" w:hAnsi="Arial"/>
          <w:sz w:val="17"/>
          <w:szCs w:val="17"/>
          <w:color w:val="auto"/>
        </w:rPr>
        <w:t>, the term Lender includes the Letter of Credit Issuer and the Swingline Lender.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5" w:name="page166"/>
    <w:bookmarkEnd w:id="165"/>
    <w:p>
      <w:pPr>
        <w:ind w:right="20" w:firstLine="648"/>
        <w:spacing w:after="0" w:line="285"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Agents Under Security Documents and Guarantee</w:t>
      </w:r>
      <w:r>
        <w:rPr>
          <w:rFonts w:ascii="Arial" w:cs="Arial" w:eastAsia="Arial" w:hAnsi="Arial"/>
          <w:sz w:val="16"/>
          <w:szCs w:val="16"/>
          <w:color w:val="auto"/>
        </w:rPr>
        <w:t xml:space="preserve">. Each Secured Party hereby further authorizes the Administrative Agent or the Collateral Agent, as applicable, on behalf of and for the benefit of the Secured Parties, to be the agent for and representative of the Secured Parties with respect to the Collateral and the Security Documents. Subject to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without further written consent or authorization from any Secured Party, the Administrative Agent or the Collateral Agent, as applicable, may execute any documents or instruments necessary to (a) release any Lien on any property granted to or held by the Administrative Agent or the Collateral Agent (or any sub-agent thereof) under any Credit Document (i) upon the final maturity date and the payment in full (or Cash Collateralization)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 an Unrestricted Subsidiary, (iii) if the property subject to such Lien is owned by a Credit Party, upon the release of such Credit Party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(b) release any Guarantor from its obligations under the Guarantee if such Person ceases to be a Restricted Subsidiary (or becomes an Excluded Subsidiary) as a result of a transaction or designation permitted hereunder; (c) subordinate any Lien on any property granted to or held by the Administrative Agent or the Collateral Agent under any Credit Document to the holder of any Lien permitted under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(solely with respect to </w:t>
      </w:r>
      <w:r>
        <w:rPr>
          <w:rFonts w:ascii="Arial" w:cs="Arial" w:eastAsia="Arial" w:hAnsi="Arial"/>
          <w:sz w:val="16"/>
          <w:szCs w:val="16"/>
          <w:u w:val="single" w:color="auto"/>
          <w:color w:val="auto"/>
        </w:rPr>
        <w:t>Section 10.1(d))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the definition of “Permitted Lien”; or (d) enter into subordination or intercreditor agreements with respect to Indebtedness to the extent the Administrative Agent or the Collateral Agent is otherwise contemplated herein as being a party to such intercreditor or subordination agreement, including any First Lien Interceditor Agreement and the Second Lien Intercreditor Agreement.</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The Collateral Agent shall have its own independent right to demand payment of the amounts payable by the Borrower under this </w:t>
      </w:r>
      <w:r>
        <w:rPr>
          <w:rFonts w:ascii="Arial" w:cs="Arial" w:eastAsia="Arial" w:hAnsi="Arial"/>
          <w:sz w:val="18"/>
          <w:szCs w:val="18"/>
          <w:u w:val="single" w:color="auto"/>
          <w:color w:val="auto"/>
        </w:rPr>
        <w:t>Section 12.11</w:t>
      </w:r>
      <w:r>
        <w:rPr>
          <w:rFonts w:ascii="Arial" w:cs="Arial" w:eastAsia="Arial" w:hAnsi="Arial"/>
          <w:sz w:val="18"/>
          <w:szCs w:val="18"/>
          <w:color w:val="auto"/>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Any amount due and payable by the Borrower to the Collateral Agent under this </w:t>
      </w:r>
      <w:r>
        <w:rPr>
          <w:rFonts w:ascii="Arial" w:cs="Arial" w:eastAsia="Arial" w:hAnsi="Arial"/>
          <w:sz w:val="18"/>
          <w:szCs w:val="18"/>
          <w:u w:val="single" w:color="auto"/>
          <w:color w:val="auto"/>
        </w:rPr>
        <w:t>Section 12.11</w:t>
      </w:r>
      <w:r>
        <w:rPr>
          <w:rFonts w:ascii="Arial" w:cs="Arial" w:eastAsia="Arial" w:hAnsi="Arial"/>
          <w:sz w:val="18"/>
          <w:szCs w:val="18"/>
          <w:color w:val="auto"/>
        </w:rPr>
        <w:t xml:space="preserve"> 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Arial" w:cs="Arial" w:eastAsia="Arial" w:hAnsi="Arial"/>
          <w:sz w:val="18"/>
          <w:szCs w:val="18"/>
          <w:u w:val="single" w:color="auto"/>
          <w:color w:val="auto"/>
        </w:rPr>
        <w:t>Section 12.11</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Right to Realize on Collateral and Enforce Guarantee</w:t>
      </w:r>
      <w:r>
        <w:rPr>
          <w:rFonts w:ascii="Arial" w:cs="Arial" w:eastAsia="Arial" w:hAnsi="Arial"/>
          <w:sz w:val="16"/>
          <w:szCs w:val="16"/>
          <w:color w:val="auto"/>
        </w:rPr>
        <w:t>. Anything contained in any of the Credit Documents to the contrary notwithstanding, Holdings,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6" w:name="page167"/>
    <w:bookmarkEnd w:id="166"/>
    <w:p>
      <w:pPr>
        <w:ind w:firstLine="648"/>
        <w:spacing w:after="0" w:line="290" w:lineRule="auto"/>
        <w:rPr>
          <w:sz w:val="20"/>
          <w:szCs w:val="20"/>
          <w:color w:val="auto"/>
        </w:rPr>
      </w:pPr>
      <w:r>
        <w:rPr>
          <w:rFonts w:ascii="Arial" w:cs="Arial" w:eastAsia="Arial" w:hAnsi="Arial"/>
          <w:sz w:val="16"/>
          <w:szCs w:val="16"/>
          <w:color w:val="auto"/>
        </w:rPr>
        <w:t xml:space="preserve">12.13 </w:t>
      </w:r>
      <w:r>
        <w:rPr>
          <w:rFonts w:ascii="Arial" w:cs="Arial" w:eastAsia="Arial" w:hAnsi="Arial"/>
          <w:sz w:val="16"/>
          <w:szCs w:val="16"/>
          <w:u w:val="single" w:color="auto"/>
          <w:color w:val="auto"/>
        </w:rPr>
        <w:t>Intercreditor Agreements Govern</w:t>
      </w:r>
      <w:r>
        <w:rPr>
          <w:rFonts w:ascii="Arial" w:cs="Arial" w:eastAsia="Arial" w:hAnsi="Arial"/>
          <w:sz w:val="16"/>
          <w:szCs w:val="16"/>
          <w:color w:val="auto"/>
        </w:rPr>
        <w:t>.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(including any First Lien Intercreditor Agreement and the Second Lien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 existing intercreditor agreement to provide for, the terms described in the definition of “Permitted Other Indebtedness”. In the event of any conflict or inconsistency between the provisions of each such intercreditor agreement (including any First Lien Intercreditor Agreement and the Second Lien Intercreditor Agreement) and this Agreement, the provisions of such intercreditor agreement shall control.</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312" w:lineRule="auto"/>
        <w:tabs>
          <w:tab w:leader="none" w:pos="129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spacing w:after="0" w:line="146" w:lineRule="exact"/>
        <w:rPr>
          <w:rFonts w:ascii="Arial" w:cs="Arial" w:eastAsia="Arial" w:hAnsi="Arial"/>
          <w:sz w:val="16"/>
          <w:szCs w:val="16"/>
          <w:color w:val="auto"/>
        </w:rPr>
      </w:pPr>
    </w:p>
    <w:p>
      <w:pPr>
        <w:ind w:left="660" w:right="20" w:firstLine="645"/>
        <w:spacing w:after="0" w:line="264" w:lineRule="auto"/>
        <w:tabs>
          <w:tab w:leader="none" w:pos="179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1" w:lineRule="exact"/>
        <w:rPr>
          <w:rFonts w:ascii="Arial" w:cs="Arial" w:eastAsia="Arial" w:hAnsi="Arial"/>
          <w:sz w:val="18"/>
          <w:szCs w:val="18"/>
          <w:color w:val="auto"/>
        </w:rPr>
      </w:pPr>
    </w:p>
    <w:p>
      <w:pPr>
        <w:ind w:left="660" w:right="120" w:firstLine="645"/>
        <w:spacing w:after="0" w:line="273" w:lineRule="auto"/>
        <w:tabs>
          <w:tab w:leader="none" w:pos="1843"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8" w:lineRule="exact"/>
        <w:rPr>
          <w:rFonts w:ascii="Arial" w:cs="Arial" w:eastAsia="Arial" w:hAnsi="Arial"/>
          <w:sz w:val="17"/>
          <w:szCs w:val="17"/>
          <w:color w:val="auto"/>
        </w:rPr>
      </w:pPr>
    </w:p>
    <w:p>
      <w:pPr>
        <w:ind w:left="660" w:right="40" w:firstLine="645"/>
        <w:spacing w:after="0" w:line="286" w:lineRule="auto"/>
        <w:tabs>
          <w:tab w:leader="none" w:pos="1893"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1" w:lineRule="exact"/>
        <w:rPr>
          <w:rFonts w:ascii="Arial" w:cs="Arial" w:eastAsia="Arial" w:hAnsi="Arial"/>
          <w:sz w:val="16"/>
          <w:szCs w:val="16"/>
          <w:color w:val="auto"/>
        </w:rPr>
      </w:pPr>
    </w:p>
    <w:p>
      <w:pPr>
        <w:jc w:val="both"/>
        <w:ind w:left="660" w:right="60" w:hanging="4"/>
        <w:spacing w:after="0" w:line="255" w:lineRule="auto"/>
        <w:tabs>
          <w:tab w:leader="none" w:pos="91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0" w:lineRule="exact"/>
        <w:rPr>
          <w:rFonts w:ascii="Arial" w:cs="Arial" w:eastAsia="Arial" w:hAnsi="Arial"/>
          <w:sz w:val="18"/>
          <w:szCs w:val="18"/>
          <w:color w:val="auto"/>
        </w:rPr>
      </w:pPr>
    </w:p>
    <w:p>
      <w:pPr>
        <w:ind w:left="660" w:right="760" w:firstLine="645"/>
        <w:spacing w:after="0" w:line="277" w:lineRule="auto"/>
        <w:tabs>
          <w:tab w:leader="none" w:pos="188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such other representation, warranty or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right="220" w:firstLine="656"/>
        <w:spacing w:after="0" w:line="271" w:lineRule="auto"/>
        <w:tabs>
          <w:tab w:leader="none" w:pos="121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or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7" w:name="page168"/>
    <w:bookmarkEnd w:id="167"/>
    <w:p>
      <w:pPr>
        <w:spacing w:after="0"/>
        <w:tabs>
          <w:tab w:leader="none" w:pos="13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Miscellaneous</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Amendments, Waivers, and Releases</w:t>
      </w:r>
      <w:r>
        <w:rPr>
          <w:rFonts w:ascii="Arial" w:cs="Arial" w:eastAsia="Arial" w:hAnsi="Arial"/>
          <w:sz w:val="16"/>
          <w:szCs w:val="16"/>
          <w:color w:val="auto"/>
        </w:rPr>
        <w:t xml:space="preserve">. Except as otherwise expressly set forth in this Agreement or, with respect to the other Credit Documents, this Agreement and the other Credit Documents, neither this Agreement nor any other Credit Document, nor any terms hereof or thereof, may be amended, supplemented or modified except in accordance with the provisions of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Except as provided to the contrary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below in respect of Replacement Term Loans, and other than with respect to any amendment, modification or waiver contemplated in the proviso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below, which shall only require the consent of the Lenders expressly set forth therein and not the Required Lenders, the Required Lenders may (with prior or contemporaneous notice to the Administrative Agent of the effectiveness thereof), or, with the written consent of the Required Lenders, the Administrative Agent and/or the Collateral Agent may,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such waiver and each such amendment, supplement or modification shall be effective only in the specific instance and for the specific purpose for which given;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or forgive any portion thereof, or extend the date for the payment, of any interest or fee payable hereunder (other than as a result of waiving the applicability of any post-default increase in interest rates), or extend the final expiration date of any Letter of Credit beyond the L/C Facility Maturity Date, or amend or modify any provisions of </w:t>
      </w:r>
      <w:r>
        <w:rPr>
          <w:rFonts w:ascii="Arial" w:cs="Arial" w:eastAsia="Arial" w:hAnsi="Arial"/>
          <w:sz w:val="16"/>
          <w:szCs w:val="16"/>
          <w:u w:val="single" w:color="auto"/>
          <w:color w:val="auto"/>
        </w:rPr>
        <w:t>Sections 5.3(a)</w:t>
      </w:r>
      <w:r>
        <w:rPr>
          <w:rFonts w:ascii="Arial" w:cs="Arial" w:eastAsia="Arial" w:hAnsi="Arial"/>
          <w:sz w:val="16"/>
          <w:szCs w:val="16"/>
          <w:color w:val="auto"/>
        </w:rPr>
        <w:t xml:space="preserve"> (with respect to the ratable allocation of any payments only), </w:t>
      </w:r>
      <w:r>
        <w:rPr>
          <w:rFonts w:ascii="Arial" w:cs="Arial" w:eastAsia="Arial" w:hAnsi="Arial"/>
          <w:sz w:val="16"/>
          <w:szCs w:val="16"/>
          <w:u w:val="single" w:color="auto"/>
          <w:color w:val="auto"/>
        </w:rPr>
        <w:t>11.13 13.8(a)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13.20</w:t>
      </w:r>
      <w:r>
        <w:rPr>
          <w:rFonts w:ascii="Arial" w:cs="Arial" w:eastAsia="Arial" w:hAnsi="Arial"/>
          <w:sz w:val="16"/>
          <w:szCs w:val="16"/>
          <w:color w:val="auto"/>
        </w:rPr>
        <w:t xml:space="preserve">, or make any Loan, interest, Fee or other amount payable in any currency other than expressly provided herein, in each case without the written consent of each Lender directly and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waiver of any condition precedent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clause (i), or (ii) consent to the assignment or transfer by Holdings or the Borrower of its rights and obligations under any Credit Document to which it is a party (except as permitted pursuant to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in each case without the written consent of each Lender directly and adversely affected thereby, or (iii) directly and adversely affect the rights or duties of the Administrative Agent or Collateral Agent, in its capacity as such, under this Agreement or any other Credit Document without the written consent of the Administrative Agent or Collateral Agent, as applicable, or (iv) directly and adversely affect the rights or duties of any Letter of Credit Issuer, in its capacity as such, under this Agreement or any other Credit Document without the consent of such Letter of Credit Issuer, or (v) amend, modify or waive any provisions hereof relating to Swingline Loans without the written consent of the Swingline Lender in a manner that directly and adversely affects such Person, or (vi) change any Revolving Credit Commitment to a Term Loan Commitment, or change any Term Loan Commitment to a Revolving Credit Commitment, in each case without the prior written consent of each Lender directly and adversely affected thereby, or (vii) release all or substantially all of the Guarantors under the Guarantees (except as expressly permitted by the Guarantees, the First Lien Intercreditor Agreement (if any), the Second Lien Intercreditor Agreement or this Agreement) or release all or substantially all of the Collateral under the Security Documents (except as expressly permitted by the Security Documents, the First Lien Intercreditor Agreement (if any), the Second Lien Intercreditor Agreement or this Agreement) without the prior written consent of each Lender, or (viii) decrease the Term A Loan Repayment Amount applicable to Term A Loans or extend any scheduled Term A Loan Repayment Date applicable to Term A Loans, in each case without the written consent of each Lender directly and adversely affected thereby, or (ix) reduce the percentages specified in the definitions of the terms Required Lenders, Required Revolving Credit Lenders or Required Term A Loan Lenders or amend, modify or waive any provision of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that has the effect of decreasing the number of Lenders that must approve any amendment, modification or waiver, without the written consent of each Lender, (y) notwithstanding anything to the contrary in clause (x), (i) extend the final expiration date of any Lender’s Commitment or (ii) increase the aggregate amount of the Commitments of any Lender, in each case, without the written consent of such Lender, or (z) in connection with an amendment that addresses solely a repricing transaction in which any Class of Term Loans is refinanced with a replacement Class of Term Loans bearing (or is modified in such a manner such that the resulting Term Loans bear) a lower effective yield, only the consent of the Lenders holding Term Loans subject to such permitted repricing transaction that will continue as a Lender in respect of the repriced tranche of Term Loans or modified Term Loans.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8" w:name="page169"/>
    <w:bookmarkEnd w:id="168"/>
    <w:p>
      <w:pPr>
        <w:ind w:right="160" w:firstLine="648"/>
        <w:spacing w:after="0" w:line="264" w:lineRule="auto"/>
        <w:rPr>
          <w:sz w:val="20"/>
          <w:szCs w:val="20"/>
          <w:color w:val="auto"/>
        </w:rPr>
      </w:pPr>
      <w:r>
        <w:rPr>
          <w:rFonts w:ascii="Arial" w:cs="Arial" w:eastAsia="Arial" w:hAnsi="Arial"/>
          <w:sz w:val="18"/>
          <w:szCs w:val="18"/>
          <w:color w:val="auto"/>
        </w:rPr>
        <w:t xml:space="preserve">Notwithstanding anything in this Agreement or any other Credit Document to the contrary, this Agreement may be amended, supplemented or otherwise modified to effect the provisions of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in accordance with the terms of such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with only the consent of the Persons set forth in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hereof.</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 waiver or consent that treats such Defaulting Lender disproportionately and adversely from the other Lender of the same Class (other than because of its status as a Defaulting Lender).</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affected Lenders and shall be binding upon Holdings, the Borrower, such Lenders, the Administrative Agent and all future holders of the affected Loans. In the case of any waiver, Holdings,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spacing w:after="0" w:line="18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Notwithstanding the foregoing, in addition to any credit extensions and related Joinder Agreement(s) effectuated without the consent of Lenders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this Agreement may be amended (or amended and restated) with the written consent of the Required Lenders, the Administrative Agent, Holdings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Loans and the Revolving Credit Loans and the accrued interest and fees in respect thereof and (b) to include appropriately the Lenders holding such credit facilities in any determination of the Required Lenders and other definitions related to such new Term Loans and Revolving Credit Loans.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notwithstanding the foregoing, this Agreement may be amended with the written consent of the Administrative Agent, Holdings,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Borrower and the Lenders providing the relevant Replacement Term Loans to permit the refinancing of all outstanding Term Loans of any Class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Refinanced Term Loans</w:t>
      </w:r>
      <w:r>
        <w:rPr>
          <w:rFonts w:ascii="Arial" w:cs="Arial" w:eastAsia="Arial" w:hAnsi="Arial"/>
          <w:sz w:val="17"/>
          <w:szCs w:val="17"/>
          <w:color w:val="auto"/>
        </w:rPr>
        <w:t>”) with a replacement term loan tranche (“</w:t>
      </w:r>
      <w:r>
        <w:rPr>
          <w:rFonts w:ascii="Arial" w:cs="Arial" w:eastAsia="Arial" w:hAnsi="Arial"/>
          <w:sz w:val="17"/>
          <w:szCs w:val="17"/>
          <w:b w:val="1"/>
          <w:bCs w:val="1"/>
          <w:color w:val="auto"/>
        </w:rPr>
        <w:t>Replacement Term Loans</w:t>
      </w:r>
      <w:r>
        <w:rPr>
          <w:rFonts w:ascii="Arial" w:cs="Arial" w:eastAsia="Arial" w:hAnsi="Arial"/>
          <w:sz w:val="17"/>
          <w:szCs w:val="17"/>
          <w:color w:val="auto"/>
        </w:rPr>
        <w:t xml:space="preserv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of such Replacement Term Loans shall not exceed the aggregate principal amount of such Refinanced Term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an amount equal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but unpaid interest, fees, premiums, and expenses incurred in connection therewith), (b) the Applicable Margin for such Replacement Term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not be higher than the Applicable Margin for such Refinanced Term Loans, unless any such Applicable Margin applies after the Term A Loan Maturity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with respect to Replacement Term Loans that are Term A Loans, (c) the weighted average life to maturity of such Replacement Term Loans shall not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shorter than the weighted average life to maturity of such Refinanced Term Loans at the time of such refinancing (except to the extent of nominal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amortization for periods where amortization has been eliminated as a result of prepayment of the applicable Term Loans), and (d) the covenants, events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default and guarantees shall be not materially more restrictive (taken as a whole) (as determined in good faith by the Borrower) to the Lenders providing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Replacement Term Loans than the covenants, events of default and guarantees applicable to such Refinanced Term Loans, except to the extent necessary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for covenants, events of default and guarantees applicable to any period after the maturity date in respect of the Refinanced Term Loans in effect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immediately prior to such refinancing.</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69" w:name="page170"/>
    <w:bookmarkEnd w:id="169"/>
    <w:p>
      <w:pPr>
        <w:ind w:right="40" w:firstLine="648"/>
        <w:spacing w:after="0" w:line="285" w:lineRule="auto"/>
        <w:rPr>
          <w:sz w:val="20"/>
          <w:szCs w:val="20"/>
          <w:color w:val="auto"/>
        </w:rPr>
      </w:pPr>
      <w:r>
        <w:rPr>
          <w:rFonts w:ascii="Arial" w:cs="Arial" w:eastAsia="Arial" w:hAnsi="Arial"/>
          <w:sz w:val="16"/>
          <w:szCs w:val="16"/>
          <w:color w:val="auto"/>
        </w:rPr>
        <w:t xml:space="preserve">The Lenders hereby irrevocably agree that the Liens granted to the Collateral Agent by the Credit Parties on any Collateral shall be automatically released (i) in full, upon the termination of this Agreement and the payment of all Obligations hereunder (except for (w) contingent indemnification obligations in respect of which a claim has not yet been made, (x) Secured Hedge Obligations, (y) cash collateralized Letters of Credit pursuant to arrangements reasonably acceptable to the applicable Letter of Credit Issuer, and (z) Secured Cash Management Obligations),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Arial" w:cs="Arial" w:eastAsia="Arial" w:hAnsi="Arial"/>
          <w:sz w:val="16"/>
          <w:szCs w:val="16"/>
          <w:u w:val="single" w:color="auto"/>
          <w:color w:val="auto"/>
        </w:rPr>
        <w:t>Section 13.1</w:t>
      </w:r>
      <w:r>
        <w:rPr>
          <w:rFonts w:ascii="Arial" w:cs="Arial" w:eastAsia="Arial" w:hAnsi="Arial"/>
          <w:sz w:val="16"/>
          <w:szCs w:val="16"/>
          <w:color w:val="auto"/>
        </w:rPr>
        <w:t>),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or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spacing w:after="0" w:line="3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Notwithstanding anything herein to the contrary, the Credit Documents may be amended to add syndication or documentation agents and make customary changes and references related thereto with the consent of only the Borrower and the Administrative Agent.</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Notwithstanding anything in this Agreement (including, without limitation,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or any other Credit Document to the contrary, (i) this Agreement and the other Credit Documents may be amended to effect an incremental facility or extension facility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First Lien Intercreditor Agreement (if any), any intercreditor agreement or arrangement permitted under this Agreement that is for the purpose of adding the holders of any Indebtedness as expressly contemplated by the terms of the First Lien Intercreditor Agreement (if any)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other changes are not adverse, in any material respect, to the interests of the Lenders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 changes of a technical or immaterial nature (including to effect changes to the terms and conditions applicable solely to the Letter of Credit Issuer in respect of Issuances of Letters of Credit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Credit Parties in connection with this Agreement may be in a form reasonably determined by the Administrative Agent and may be, together with any other Credit Document, entered into, amended, supplemented or waived, without the consent of any other Person, by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70" w:name="page171"/>
    <w:bookmarkEnd w:id="170"/>
    <w:p>
      <w:pPr>
        <w:ind w:right="40" w:firstLine="648"/>
        <w:spacing w:after="0" w:line="276" w:lineRule="auto"/>
        <w:rPr>
          <w:sz w:val="20"/>
          <w:szCs w:val="20"/>
          <w:color w:val="auto"/>
        </w:rPr>
      </w:pPr>
      <w:r>
        <w:rPr>
          <w:rFonts w:ascii="Arial" w:cs="Arial" w:eastAsia="Arial" w:hAnsi="Arial"/>
          <w:sz w:val="17"/>
          <w:szCs w:val="17"/>
          <w:color w:val="auto"/>
        </w:rPr>
        <w:t xml:space="preserve">Notwithstanding anything in this Agreement or any Security Document to the contrary, the Administrative Agent may, in its sole discretion, grant extensions of time for the satisfaction of any of the requirements under </w:t>
      </w:r>
      <w:r>
        <w:rPr>
          <w:rFonts w:ascii="Arial" w:cs="Arial" w:eastAsia="Arial" w:hAnsi="Arial"/>
          <w:sz w:val="17"/>
          <w:szCs w:val="17"/>
          <w:u w:val="single" w:color="auto"/>
          <w:color w:val="auto"/>
        </w:rPr>
        <w:t>Sections 9.12</w:t>
      </w:r>
      <w:r>
        <w:rPr>
          <w:rFonts w:ascii="Arial" w:cs="Arial" w:eastAsia="Arial" w:hAnsi="Arial"/>
          <w:sz w:val="17"/>
          <w:szCs w:val="17"/>
          <w:color w:val="auto"/>
        </w:rPr>
        <w:t xml:space="preserve">, </w:t>
      </w:r>
      <w:r>
        <w:rPr>
          <w:rFonts w:ascii="Arial" w:cs="Arial" w:eastAsia="Arial" w:hAnsi="Arial"/>
          <w:sz w:val="17"/>
          <w:szCs w:val="17"/>
          <w:u w:val="single" w:color="auto"/>
          <w:color w:val="auto"/>
        </w:rPr>
        <w:t>9.13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9.14</w:t>
      </w:r>
      <w:r>
        <w:rPr>
          <w:rFonts w:ascii="Arial" w:cs="Arial" w:eastAsia="Arial" w:hAnsi="Arial"/>
          <w:sz w:val="17"/>
          <w:szCs w:val="17"/>
          <w:color w:val="auto"/>
        </w:rPr>
        <w:t xml:space="preserve"> 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Holdings and the Restricted Subsidiaries by the time or times at which it would otherwise be required to be satisfied under this Agreement or any Security Document.</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87" w:lineRule="exact"/>
        <w:rPr>
          <w:sz w:val="20"/>
          <w:szCs w:val="20"/>
          <w:color w:val="auto"/>
        </w:rPr>
      </w:pPr>
    </w:p>
    <w:p>
      <w:pPr>
        <w:ind w:left="660" w:right="140" w:firstLine="645"/>
        <w:spacing w:after="0" w:line="312" w:lineRule="auto"/>
        <w:tabs>
          <w:tab w:leader="none" w:pos="182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if to Holdings, the Borrower, the Administrative Agent, the Collateral Agent, the Letter of Credit Issuer or the Swingline Lender, to the address, facsimile number, electronic mail address or telephone number specified for such Person on </w:t>
      </w:r>
      <w:r>
        <w:rPr>
          <w:rFonts w:ascii="Arial" w:cs="Arial" w:eastAsia="Arial" w:hAnsi="Arial"/>
          <w:sz w:val="16"/>
          <w:szCs w:val="16"/>
          <w:u w:val="single" w:color="auto"/>
          <w:color w:val="auto"/>
        </w:rPr>
        <w:t>Schedule 13.2</w:t>
      </w:r>
      <w:r>
        <w:rPr>
          <w:rFonts w:ascii="Arial" w:cs="Arial" w:eastAsia="Arial" w:hAnsi="Arial"/>
          <w:sz w:val="16"/>
          <w:szCs w:val="16"/>
          <w:color w:val="auto"/>
        </w:rPr>
        <w:t xml:space="preserve"> or to such other address, facsimile number, electronic mail address or telephone number as shall be designated by such party in a notice to the other parties; and</w:t>
      </w:r>
    </w:p>
    <w:p>
      <w:pPr>
        <w:spacing w:after="0" w:line="146" w:lineRule="exact"/>
        <w:rPr>
          <w:rFonts w:ascii="Arial" w:cs="Arial" w:eastAsia="Arial" w:hAnsi="Arial"/>
          <w:sz w:val="16"/>
          <w:szCs w:val="16"/>
          <w:color w:val="auto"/>
        </w:rPr>
      </w:pPr>
    </w:p>
    <w:p>
      <w:pPr>
        <w:ind w:left="660" w:right="100" w:firstLine="645"/>
        <w:spacing w:after="0" w:line="312" w:lineRule="auto"/>
        <w:tabs>
          <w:tab w:leader="none" w:pos="183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and the Borrower, the Administrative Agent, the Collateral Agent, the Letter of Credit Issuer and the Swingline Lender.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All such notices and other communications shall be deemed to be given or made upon the earlier to occur of (i) actual receipt by the relevant party hereto and</w:t>
      </w:r>
    </w:p>
    <w:p>
      <w:pPr>
        <w:spacing w:after="0" w:line="46" w:lineRule="exact"/>
        <w:rPr>
          <w:sz w:val="20"/>
          <w:szCs w:val="20"/>
          <w:color w:val="auto"/>
        </w:rPr>
      </w:pPr>
    </w:p>
    <w:p>
      <w:pPr>
        <w:ind w:left="280" w:hanging="272"/>
        <w:spacing w:after="0"/>
        <w:tabs>
          <w:tab w:leader="none" w:pos="2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 if delivered by hand or by courier, when signed for by or on behalf of the relevant party hereto; (B) if delivered by mail, three Business Days after</w:t>
      </w:r>
    </w:p>
    <w:p>
      <w:pPr>
        <w:spacing w:after="0" w:line="20" w:lineRule="exact"/>
        <w:rPr>
          <w:rFonts w:ascii="Arial" w:cs="Arial" w:eastAsia="Arial" w:hAnsi="Arial"/>
          <w:sz w:val="17"/>
          <w:szCs w:val="17"/>
          <w:color w:val="auto"/>
        </w:rPr>
      </w:pPr>
    </w:p>
    <w:p>
      <w:pPr>
        <w:ind w:right="8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deposit in the mails, postage prepaid; (C) if delivered by facsimile, when sent and receipt has been confirmed by telephone; and (D) if delivered by electronic mail, when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and other communications to the Administrative Agent or the Lenders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shall not be effective until received.</w:t>
      </w:r>
    </w:p>
    <w:p>
      <w:pPr>
        <w:spacing w:after="0" w:line="19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1" w:name="page172"/>
    <w:bookmarkEnd w:id="171"/>
    <w:p>
      <w:pPr>
        <w:ind w:left="620"/>
        <w:spacing w:after="0"/>
        <w:tabs>
          <w:tab w:leader="none" w:pos="12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u w:val="single" w:color="auto"/>
          <w:color w:val="auto"/>
        </w:rPr>
        <w:t>Payment of Expenses; Indemnification</w:t>
      </w:r>
      <w:r>
        <w:rPr>
          <w:rFonts w:ascii="Arial" w:cs="Arial" w:eastAsia="Arial" w:hAnsi="Arial"/>
          <w:sz w:val="16"/>
          <w:szCs w:val="16"/>
          <w:color w:val="auto"/>
        </w:rPr>
        <w:t>.</w:t>
      </w:r>
    </w:p>
    <w:p>
      <w:pPr>
        <w:spacing w:after="0" w:line="225" w:lineRule="exact"/>
        <w:rPr>
          <w:sz w:val="20"/>
          <w:szCs w:val="20"/>
          <w:color w:val="auto"/>
        </w:rPr>
      </w:pPr>
    </w:p>
    <w:p>
      <w:pPr>
        <w:ind w:left="-40" w:right="20" w:firstLine="656"/>
        <w:spacing w:after="0" w:line="283" w:lineRule="auto"/>
        <w:tabs>
          <w:tab w:leader="none" w:pos="1213"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Each of Holdings and the Borrower, jointly and severally, agree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Cahill Gordon &amp; Reindel LLP (or such other counsel as may be agreed by the Administrative Agent and the Borrower),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 (which may include a single special counsel acting in multiple jurisdictions), and (iii) to pay, indemnify and hold harmless each Lender, each Agent, the Letter of Credit Issuer and their respective Related Parties (without duplication) (the “</w:t>
      </w:r>
      <w:r>
        <w:rPr>
          <w:rFonts w:ascii="Arial" w:cs="Arial" w:eastAsia="Arial" w:hAnsi="Arial"/>
          <w:sz w:val="16"/>
          <w:szCs w:val="16"/>
          <w:b w:val="1"/>
          <w:bCs w:val="1"/>
          <w:color w:val="auto"/>
        </w:rPr>
        <w:t>Indemnified Persons</w:t>
      </w:r>
      <w:r>
        <w:rPr>
          <w:rFonts w:ascii="Arial" w:cs="Arial" w:eastAsia="Arial" w:hAnsi="Arial"/>
          <w:sz w:val="16"/>
          <w:szCs w:val="16"/>
          <w:color w:val="auto"/>
        </w:rPr>
        <w:t>”) from and against any and all losses, claims, damages, liabilities, obligations, demands, actions, judgements, suits, costs, expenses, disbursements or penalties of any kind or nature whatsoever (and the reasonable and documented out-of-pocket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 in connection with the investigating or defending any of the foregoing (including the reasonable fees) has retained its own counsel, of another firm of counsel for such affected Indemnified Person), and to the extent required, one firm or local counsel in each relevant jurisdiction (which may include a single special counsel acting in multiple jurisdictions)) of any such Indemnified Person arising out of or relating to any action, claim, litigation, investigation or other proceeding (regardless of whether such Indemnified Person is a party thereto or whether or not such action, claim, litigation or proceeding (including any inquiry or investigation of the foregoing) was brought by Holdings, any of its subsidiaries or any other Person), arising out of, or with respect to the Transactions or to the execution, enforcement, delivery, performance and administration of this Agreement, the other Credit Documents and any such other documents, including any of the foregoing relating to the violation of, noncompliance with or liability under, any Environmental Law or any actual or alleged presence, Release or threatened Release of Hazardous Materials attributable to Holdings or any of its Subsidiaries (all the foregoing in this clause (iii), collectively,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and the Borrower shall have no obligation hereunder to any Indemnified Person with respect to indemnified liabilities to the extent arising from (i) the gross negligence, bad faith or willful misconduct of such Indemnified Person or any of its Related Parties as determined in a final and non-appealable judgment of a court of competent jurisdiction, (ii) a material breach of the obligations of such Indemnified Person or any of its Related Parties under the terms of this Agreement by such Indemnified Person or any of its Related Parties as determined in a final and non-appealable judgment of a court of competent jurisdiction, or (iii) any proceeding between and among Indemnified Persons that does not involve an act or omission by Holdings, the Borrower or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Agents, to the extent acting in their capacity as such, shall remain indemnified in respect of such proceeding, to the extent that neither of the exceptions set forth in clause (i) or (ii) of the immediately preceding proviso applies to such person at such time. The agreements in this Section 13.5 shall survive repayment of the Loans and all other amounts payable hereunder. This Section 13.5 shall not apply with respect to Taxes, other than any Taxes that represent losses, claims, damages, liabilities, obligations, penalties, actions, judgments, suits, costs, expenses or disbursements arising from any non-Tax claim.</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40" w:firstLine="656"/>
        <w:spacing w:after="0" w:line="271" w:lineRule="auto"/>
        <w:tabs>
          <w:tab w:leader="none" w:pos="1223"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No Credit Party nor any Indemnified Person shall have any liability for any special, punitive, indirect or consequential damages resulting from this Agreement or any other Credit Document or arising out of its activities in connection herewith or therewith (whether before or after the Restatement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limit Holdings’ and the Borrower’s indemnification obligations to the Indemnified Persons pursuant to </w:t>
      </w:r>
      <w:r>
        <w:rPr>
          <w:rFonts w:ascii="Arial" w:cs="Arial" w:eastAsia="Arial" w:hAnsi="Arial"/>
          <w:sz w:val="17"/>
          <w:szCs w:val="17"/>
          <w:u w:val="single" w:color="auto"/>
          <w:color w:val="auto"/>
        </w:rPr>
        <w:t>Section 13.5(a)</w:t>
      </w:r>
      <w:r>
        <w:rPr>
          <w:rFonts w:ascii="Arial" w:cs="Arial" w:eastAsia="Arial" w:hAnsi="Arial"/>
          <w:sz w:val="17"/>
          <w:szCs w:val="17"/>
          <w:color w:val="auto"/>
        </w:rPr>
        <w:t xml:space="preserve"> in respect of damages incurred or paid by an Indemnified Person to a third party.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Indemnified Person or any of its Related Parties as determined by a final and non-appealable judgment of a court of competent jurisdiction.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8" w:right="259" w:bottom="1440" w:gutter="0" w:footer="0" w:header="0"/>
        </w:sectPr>
      </w:pPr>
    </w:p>
    <w:bookmarkStart w:id="172" w:name="page173"/>
    <w:bookmarkEnd w:id="172"/>
    <w:p>
      <w:pPr>
        <w:ind w:right="320" w:firstLine="656"/>
        <w:spacing w:after="0" w:line="264" w:lineRule="auto"/>
        <w:tabs>
          <w:tab w:leader="none" w:pos="125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Notwithstanding the foregoing, each Indemnified Person shall be obligated to refund or return any and all amounts paid by the Borrower under this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to such Indemnified Person for any losses, claims, damages, liabilities and expenses to the extent such Indemnified Person is not entitled to payment of such amounts in accordance with the terms hereof.</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290" w:lineRule="auto"/>
        <w:tabs>
          <w:tab w:leader="none" w:pos="125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except that (i) except as expressly permitted by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 Borrower may not assign or otherwise transfer any of their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to the extent expressly contemplated hereby, the Related Parties of each of the Administrative Agent, the Collateral Agent, the Letter of Credit Issuer and the Lenders and each other Person entitled to indemnification under </w:t>
      </w:r>
      <w:r>
        <w:rPr>
          <w:rFonts w:ascii="Arial" w:cs="Arial" w:eastAsia="Arial" w:hAnsi="Arial"/>
          <w:sz w:val="16"/>
          <w:szCs w:val="16"/>
          <w:u w:val="single" w:color="auto"/>
          <w:color w:val="auto"/>
        </w:rPr>
        <w:t>Section 13.5</w:t>
      </w:r>
      <w:r>
        <w:rPr>
          <w:rFonts w:ascii="Arial" w:cs="Arial" w:eastAsia="Arial" w:hAnsi="Arial"/>
          <w:sz w:val="16"/>
          <w:szCs w:val="16"/>
          <w:color w:val="auto"/>
        </w:rPr>
        <w:t>) any legal or equitable right, remedy or claim under or by reason of this Agreement.</w:t>
      </w:r>
    </w:p>
    <w:p>
      <w:pPr>
        <w:spacing w:after="0" w:line="166" w:lineRule="exact"/>
        <w:rPr>
          <w:rFonts w:ascii="Arial" w:cs="Arial" w:eastAsia="Arial" w:hAnsi="Arial"/>
          <w:sz w:val="16"/>
          <w:szCs w:val="16"/>
          <w:color w:val="auto"/>
        </w:rPr>
      </w:pPr>
    </w:p>
    <w:p>
      <w:pPr>
        <w:ind w:right="40" w:firstLine="656"/>
        <w:spacing w:after="0" w:line="297" w:lineRule="auto"/>
        <w:tabs>
          <w:tab w:leader="none" w:pos="126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below and </w:t>
      </w:r>
      <w:r>
        <w:rPr>
          <w:rFonts w:ascii="Arial" w:cs="Arial" w:eastAsia="Arial" w:hAnsi="Arial"/>
          <w:sz w:val="16"/>
          <w:szCs w:val="16"/>
          <w:u w:val="single" w:color="auto"/>
          <w:color w:val="auto"/>
        </w:rPr>
        <w:t>Section 13.7</w:t>
      </w:r>
      <w:r>
        <w:rPr>
          <w:rFonts w:ascii="Arial" w:cs="Arial" w:eastAsia="Arial" w:hAnsi="Arial"/>
          <w:sz w:val="16"/>
          <w:szCs w:val="16"/>
          <w:color w:val="auto"/>
        </w:rPr>
        <w:t>, any Lender may at any time assign to one or more assignees all or a portion of its rights and obligations under this Agreement (including all or a portion of its Commitments and the Loans (including participations in L/C Obligations or Swingline Loans) at the time owing to it) with the prior written consent (such consent not to be unreasonably withheld or delayed;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w:t>
      </w:r>
    </w:p>
    <w:p>
      <w:pPr>
        <w:spacing w:after="0" w:line="158" w:lineRule="exact"/>
        <w:rPr>
          <w:rFonts w:ascii="Arial" w:cs="Arial" w:eastAsia="Arial" w:hAnsi="Arial"/>
          <w:sz w:val="16"/>
          <w:szCs w:val="16"/>
          <w:color w:val="auto"/>
        </w:rPr>
      </w:pPr>
    </w:p>
    <w:p>
      <w:pPr>
        <w:ind w:left="660" w:right="120" w:firstLine="645"/>
        <w:spacing w:after="0" w:line="264" w:lineRule="auto"/>
        <w:tabs>
          <w:tab w:leader="none" w:pos="187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(1) an assignment of Term Loans to (X) a Lender, (Y) an Affiliate of a Lender, or (Z) an Approved Fund or (2) an assignment of Loans or Commitments to any assignee if an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(with respect to Holdings or the Borrower) has occurred and is continuing; and</w:t>
      </w:r>
    </w:p>
    <w:p>
      <w:pPr>
        <w:spacing w:after="0" w:line="181" w:lineRule="exact"/>
        <w:rPr>
          <w:rFonts w:ascii="Arial" w:cs="Arial" w:eastAsia="Arial" w:hAnsi="Arial"/>
          <w:sz w:val="18"/>
          <w:szCs w:val="18"/>
          <w:color w:val="auto"/>
        </w:rPr>
      </w:pPr>
    </w:p>
    <w:p>
      <w:pPr>
        <w:ind w:left="660" w:right="300" w:firstLine="645"/>
        <w:spacing w:after="0" w:line="286" w:lineRule="auto"/>
        <w:tabs>
          <w:tab w:leader="none" w:pos="1863" w:val="left"/>
        </w:tabs>
        <w:numPr>
          <w:ilvl w:val="1"/>
          <w:numId w:val="185"/>
        </w:numPr>
        <w:rPr>
          <w:rFonts w:ascii="Arial" w:cs="Arial" w:eastAsia="Arial" w:hAnsi="Arial"/>
          <w:sz w:val="17"/>
          <w:szCs w:val="17"/>
          <w:color w:val="auto"/>
        </w:rPr>
      </w:pPr>
      <w:r>
        <w:rPr>
          <w:rFonts w:ascii="Arial" w:cs="Arial" w:eastAsia="Arial" w:hAnsi="Arial"/>
          <w:sz w:val="17"/>
          <w:szCs w:val="17"/>
          <w:color w:val="auto"/>
        </w:rPr>
        <w:t xml:space="preserve">the Administrative Agent (not to be unreasonably withheld or delayed) and, in the case of Revolving Credit Commitments or Revolving Credit Loans only, the Swingline Lender and the Letter of Credit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of any Term Loan to a Lender, an Affiliate of a Lender or an Approved Fund.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foregoing, (i) no such assignment shall be made to a natural Person, Disqualified Lender or Defaulting Lender and (ii) Holdings, the Borrower or Affiliates. For the avoidance of doubt, the Administrative Agent shall bear no responsibility or liability for monitoring and enforcing the list of Persons who are Disqualified Lenders at any time.</w:t>
      </w:r>
    </w:p>
    <w:p>
      <w:pPr>
        <w:spacing w:after="0" w:line="181" w:lineRule="exact"/>
        <w:rPr>
          <w:sz w:val="20"/>
          <w:szCs w:val="20"/>
          <w:color w:val="auto"/>
        </w:rPr>
      </w:pPr>
    </w:p>
    <w:p>
      <w:pPr>
        <w:ind w:left="1280" w:hanging="624"/>
        <w:spacing w:after="0"/>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ind w:left="660" w:right="120" w:firstLine="645"/>
        <w:spacing w:after="0" w:line="270" w:lineRule="auto"/>
        <w:tabs>
          <w:tab w:leader="none" w:pos="1873" w:val="left"/>
        </w:tabs>
        <w:numPr>
          <w:ilvl w:val="1"/>
          <w:numId w:val="186"/>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$5,000,000 in the case of Revolving Credit Commitments and $1,000,000 in the case of Term Loans, unless each of the Borrower and the Administrative Agent otherwise consents (which consents shall not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has occurred and is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3" w:name="page174"/>
    <w:bookmarkEnd w:id="173"/>
    <w:p>
      <w:pPr>
        <w:ind w:left="640" w:right="60" w:firstLine="645"/>
        <w:spacing w:after="0" w:line="264" w:lineRule="auto"/>
        <w:tabs>
          <w:tab w:leader="none" w:pos="184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shall not be construed to prohibit the assignment of a proportionate part of all the assigning Lender’s rights and obligations in respect of one Class of Commitments or Loans;</w:t>
      </w:r>
    </w:p>
    <w:p>
      <w:pPr>
        <w:spacing w:after="0" w:line="181" w:lineRule="exact"/>
        <w:rPr>
          <w:rFonts w:ascii="Arial" w:cs="Arial" w:eastAsia="Arial" w:hAnsi="Arial"/>
          <w:sz w:val="18"/>
          <w:szCs w:val="18"/>
          <w:color w:val="auto"/>
        </w:rPr>
      </w:pPr>
    </w:p>
    <w:p>
      <w:pPr>
        <w:ind w:left="640" w:right="240" w:firstLine="645"/>
        <w:spacing w:after="0" w:line="259" w:lineRule="auto"/>
        <w:tabs>
          <w:tab w:leader="none" w:pos="184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Acceptance via an electronic settlement system or other method reasonably acceptable to the Administrative Agent,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and</w:t>
      </w:r>
    </w:p>
    <w:p>
      <w:pPr>
        <w:spacing w:after="0" w:line="186" w:lineRule="exact"/>
        <w:rPr>
          <w:rFonts w:ascii="Arial" w:cs="Arial" w:eastAsia="Arial" w:hAnsi="Arial"/>
          <w:sz w:val="18"/>
          <w:szCs w:val="18"/>
          <w:color w:val="auto"/>
        </w:rPr>
      </w:pPr>
    </w:p>
    <w:p>
      <w:pPr>
        <w:ind w:left="640" w:right="20" w:firstLine="645"/>
        <w:spacing w:after="0" w:line="308" w:lineRule="auto"/>
        <w:tabs>
          <w:tab w:leader="none" w:pos="1853"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in a form approved by the Administrative Agent (the “</w:t>
      </w:r>
      <w:r>
        <w:rPr>
          <w:rFonts w:ascii="Arial" w:cs="Arial" w:eastAsia="Arial" w:hAnsi="Arial"/>
          <w:sz w:val="17"/>
          <w:szCs w:val="17"/>
          <w:b w:val="1"/>
          <w:bCs w:val="1"/>
          <w:color w:val="auto"/>
        </w:rPr>
        <w:t>Administrative Questionnaire</w:t>
      </w:r>
      <w:r>
        <w:rPr>
          <w:rFonts w:ascii="Arial" w:cs="Arial" w:eastAsia="Arial" w:hAnsi="Arial"/>
          <w:sz w:val="17"/>
          <w:szCs w:val="17"/>
          <w:color w:val="auto"/>
        </w:rPr>
        <w:t xml:space="preserve">”) and applicable tax forms (as required under </w:t>
      </w:r>
      <w:r>
        <w:rPr>
          <w:rFonts w:ascii="Arial" w:cs="Arial" w:eastAsia="Arial" w:hAnsi="Arial"/>
          <w:sz w:val="17"/>
          <w:szCs w:val="17"/>
          <w:u w:val="single" w:color="auto"/>
          <w:color w:val="auto"/>
        </w:rPr>
        <w:t>Section 5.4(e))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20" w:right="40" w:firstLine="656"/>
        <w:spacing w:after="0" w:line="287" w:lineRule="auto"/>
        <w:tabs>
          <w:tab w:leader="none" w:pos="121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clause (b)(v)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13.5</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For the avoidance of doubt, in case of an assignment to a new Lender pursuant to this </w:t>
      </w:r>
      <w:r>
        <w:rPr>
          <w:rFonts w:ascii="Arial" w:cs="Arial" w:eastAsia="Arial" w:hAnsi="Arial"/>
          <w:sz w:val="16"/>
          <w:szCs w:val="16"/>
          <w:u w:val="single" w:color="auto"/>
          <w:color w:val="auto"/>
        </w:rPr>
        <w:t>Section 13.6</w:t>
      </w:r>
      <w:r>
        <w:rPr>
          <w:rFonts w:ascii="Arial" w:cs="Arial" w:eastAsia="Arial" w:hAnsi="Arial"/>
          <w:sz w:val="16"/>
          <w:szCs w:val="16"/>
          <w:color w:val="auto"/>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spacing w:after="0" w:line="168" w:lineRule="exact"/>
        <w:rPr>
          <w:rFonts w:ascii="Arial" w:cs="Arial" w:eastAsia="Arial" w:hAnsi="Arial"/>
          <w:sz w:val="16"/>
          <w:szCs w:val="16"/>
          <w:color w:val="auto"/>
        </w:rPr>
      </w:pPr>
    </w:p>
    <w:p>
      <w:pPr>
        <w:ind w:left="-20" w:right="140" w:firstLine="656"/>
        <w:spacing w:after="0" w:line="290" w:lineRule="auto"/>
        <w:tabs>
          <w:tab w:leader="none" w:pos="12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and any payment made by the Letter of Credit Issuer under any Letter of Credit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the Administrative Agent, the Collateral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Administrative Agent and its Affiliates and, with respect to itself, any Lender, at any reasonable time and from time to time upon reasonable prior notice.</w:t>
      </w:r>
    </w:p>
    <w:p>
      <w:pPr>
        <w:spacing w:after="0" w:line="166" w:lineRule="exact"/>
        <w:rPr>
          <w:rFonts w:ascii="Arial" w:cs="Arial" w:eastAsia="Arial" w:hAnsi="Arial"/>
          <w:sz w:val="16"/>
          <w:szCs w:val="16"/>
          <w:color w:val="auto"/>
        </w:rPr>
      </w:pPr>
    </w:p>
    <w:p>
      <w:pPr>
        <w:ind w:left="-20" w:firstLine="656"/>
        <w:spacing w:after="0" w:line="297" w:lineRule="auto"/>
        <w:tabs>
          <w:tab w:leader="none" w:pos="115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any written consent to such assignment required by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clause (b)(v).</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74" w:name="page175"/>
    <w:bookmarkEnd w:id="174"/>
    <w:p>
      <w:pPr>
        <w:ind w:left="-40" w:firstLine="656"/>
        <w:spacing w:after="0" w:line="267" w:lineRule="auto"/>
        <w:tabs>
          <w:tab w:leader="none" w:pos="121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(i) Any Lender may, without the consent of the Borrower or the Administrative Agent, the Letter of Credit Issuer or the Swingline Lender, sell participations to one or more banks or other entities (other than (x) a natural person (or a holding company, investment vehicle or trust for, or owned and operated by or for the primary benefit of a natural Person), (y) Holdings and its Subsidiaries or Affiliates and (z) any Disqualified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clause (y) hereof, participations may be sold to Disqualified Lenders unless a list of Disqualified Lenders has been made available to all Lenders) (each, a “</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Commitments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monitoring and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of the second proviso to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clause (c)(ii)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the Borrower agrees that each Participant shall be entitled to the benefits of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including the requirements of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(it being agreed that any documentation required under Section 5.4(e) shall be provided solely to the participating Lender)). To the extent permitted by law, each Participant also shall be entitled to the benefits of </w:t>
      </w:r>
      <w:r>
        <w:rPr>
          <w:rFonts w:ascii="Arial" w:cs="Arial" w:eastAsia="Arial" w:hAnsi="Arial"/>
          <w:sz w:val="17"/>
          <w:szCs w:val="17"/>
          <w:u w:val="single" w:color="auto"/>
          <w:color w:val="auto"/>
        </w:rPr>
        <w:t>Section 13.8(b)</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shall be subject to </w:t>
      </w:r>
      <w:r>
        <w:rPr>
          <w:rFonts w:ascii="Arial" w:cs="Arial" w:eastAsia="Arial" w:hAnsi="Arial"/>
          <w:sz w:val="17"/>
          <w:szCs w:val="17"/>
          <w:u w:val="single" w:color="auto"/>
          <w:color w:val="auto"/>
        </w:rPr>
        <w:t>Section 13.8(a)</w:t>
      </w:r>
      <w:r>
        <w:rPr>
          <w:rFonts w:ascii="Arial" w:cs="Arial" w:eastAsia="Arial" w:hAnsi="Arial"/>
          <w:sz w:val="17"/>
          <w:szCs w:val="17"/>
          <w:color w:val="auto"/>
        </w:rPr>
        <w:t xml:space="preserve"> as though it were a Lender.</w:t>
      </w:r>
    </w:p>
    <w:p>
      <w:pPr>
        <w:spacing w:after="0" w:line="190" w:lineRule="exact"/>
        <w:rPr>
          <w:sz w:val="20"/>
          <w:szCs w:val="20"/>
          <w:color w:val="auto"/>
        </w:rPr>
      </w:pPr>
    </w:p>
    <w:p>
      <w:pPr>
        <w:ind w:left="-40" w:right="20" w:firstLine="656"/>
        <w:spacing w:after="0" w:line="269" w:lineRule="auto"/>
        <w:tabs>
          <w:tab w:leader="none" w:pos="122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of the United States Treasury Regulations.</w:t>
      </w:r>
    </w:p>
    <w:p>
      <w:pPr>
        <w:spacing w:after="0" w:line="183" w:lineRule="exact"/>
        <w:rPr>
          <w:sz w:val="20"/>
          <w:szCs w:val="20"/>
          <w:color w:val="auto"/>
        </w:rPr>
      </w:pPr>
    </w:p>
    <w:p>
      <w:pPr>
        <w:ind w:left="-40" w:right="80" w:firstLine="656"/>
        <w:spacing w:after="0" w:line="257" w:lineRule="auto"/>
        <w:tabs>
          <w:tab w:leader="none" w:pos="121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8" w:lineRule="exact"/>
        <w:rPr>
          <w:rFonts w:ascii="Arial" w:cs="Arial" w:eastAsia="Arial" w:hAnsi="Arial"/>
          <w:sz w:val="18"/>
          <w:szCs w:val="18"/>
          <w:color w:val="auto"/>
        </w:rPr>
      </w:pPr>
    </w:p>
    <w:p>
      <w:pPr>
        <w:ind w:left="-40" w:right="80" w:firstLine="656"/>
        <w:spacing w:after="0" w:line="257" w:lineRule="auto"/>
        <w:tabs>
          <w:tab w:leader="none" w:pos="121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13.16</w:t>
      </w:r>
      <w:r>
        <w:rPr>
          <w:rFonts w:ascii="Arial" w:cs="Arial" w:eastAsia="Arial" w:hAnsi="Arial"/>
          <w:sz w:val="18"/>
          <w:szCs w:val="18"/>
          <w:color w:val="auto"/>
        </w:rPr>
        <w:t>, the Borrower authorizes each Lender to disclose to any Participant, secured creditor of such Lender or assignee (each, a “</w:t>
      </w:r>
      <w:r>
        <w:rPr>
          <w:rFonts w:ascii="Arial" w:cs="Arial" w:eastAsia="Arial" w:hAnsi="Arial"/>
          <w:sz w:val="18"/>
          <w:szCs w:val="18"/>
          <w:b w:val="1"/>
          <w:bCs w:val="1"/>
          <w:color w:val="auto"/>
        </w:rPr>
        <w:t>Transferee</w:t>
      </w:r>
      <w:r>
        <w:rPr>
          <w:rFonts w:ascii="Arial" w:cs="Arial" w:eastAsia="Arial" w:hAnsi="Arial"/>
          <w:sz w:val="18"/>
          <w:szCs w:val="18"/>
          <w:color w:val="auto"/>
        </w:rPr>
        <w:t>”) and any prospective Transferee any and all financial information in such Lender’s possession concerning the Borrower and their Affiliates that has been delivered to such Lender by or on behalf of the Borrower and their Affiliates pursuant to this Agreement or that has been delivered to such Lender by or on behalf of the Borrower and their Affiliates in connection with such Lender’s credit evaluation of the Borrower and their Affiliates prior to becoming a party to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175" w:name="page176"/>
    <w:bookmarkEnd w:id="175"/>
    <w:p>
      <w:pPr>
        <w:ind w:left="-40" w:right="100" w:firstLine="656"/>
        <w:spacing w:after="0" w:line="270" w:lineRule="auto"/>
        <w:tabs>
          <w:tab w:leader="none" w:pos="119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The words “execution,” “signed,” “signature,” and words of like import used in connection with this Agreement and the transactions contemplated hereby (including without limitation Assignment and Acceptances, amendments or other modifications, Notices of Borrowing,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nor any Letter of Credit Issuer or Lenders is under no obligation to agree to accept electronic signatures in any form or in any format unless expressly agreed to by the Administrative Agent pursuant to procedures approved by it.</w:t>
      </w:r>
    </w:p>
    <w:p>
      <w:pPr>
        <w:spacing w:after="0" w:line="177" w:lineRule="exact"/>
        <w:rPr>
          <w:rFonts w:ascii="Arial" w:cs="Arial" w:eastAsia="Arial" w:hAnsi="Arial"/>
          <w:sz w:val="17"/>
          <w:szCs w:val="17"/>
          <w:color w:val="auto"/>
        </w:rPr>
      </w:pPr>
    </w:p>
    <w:p>
      <w:pPr>
        <w:ind w:left="-40" w:firstLine="656"/>
        <w:spacing w:after="0" w:line="284" w:lineRule="auto"/>
        <w:tabs>
          <w:tab w:leader="none" w:pos="1223"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SPV Lender</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b w:val="1"/>
          <w:bCs w:val="1"/>
          <w:color w:val="auto"/>
        </w:rPr>
        <w:t>SPV</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disclose on a confidential basis any non-public information relating to its Loans to any rating agency, commercial paper dealer or provider of any surety, guarantee or credit or liquidity enhancement to such SPV. This </w:t>
      </w:r>
      <w:r>
        <w:rPr>
          <w:rFonts w:ascii="Arial" w:cs="Arial" w:eastAsia="Arial" w:hAnsi="Arial"/>
          <w:sz w:val="16"/>
          <w:szCs w:val="16"/>
          <w:u w:val="single" w:color="auto"/>
          <w:color w:val="auto"/>
        </w:rPr>
        <w:t>Section 13.6(g)</w:t>
      </w:r>
      <w:r>
        <w:rPr>
          <w:rFonts w:ascii="Arial" w:cs="Arial" w:eastAsia="Arial" w:hAnsi="Arial"/>
          <w:sz w:val="16"/>
          <w:szCs w:val="16"/>
          <w:color w:val="auto"/>
        </w:rPr>
        <w:t xml:space="preserve"> may not be amended without the written consent of the SPV. Notwithstanding anything to the contrary in this Agreement but subject to the following sentence, each SPV shall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(it being agreed that any documentation required under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shall be provided solely to the Granting Lender)). Notwithstanding the prior sentence, an SPV shall not be entitled to receive any greater payment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than its Granting Lender would have been entitled to receive absent the grant to such SPV, unless such grant to such SPV is made with the Borrower’s prior written consent (which consent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909" w:right="259" w:bottom="1440" w:gutter="0" w:footer="0" w:header="0"/>
        </w:sectPr>
      </w:pPr>
    </w:p>
    <w:bookmarkStart w:id="176" w:name="page177"/>
    <w:bookmarkEnd w:id="176"/>
    <w:p>
      <w:pPr>
        <w:ind w:left="660"/>
        <w:spacing w:after="0"/>
        <w:tabs>
          <w:tab w:leader="none" w:pos="12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Replacements of Lenders Under Certain Circumstances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3" w:lineRule="auto"/>
        <w:tabs>
          <w:tab w:leader="none" w:pos="125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Borrower shall be permitted (x) to replace any Lender or (y)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that (a) requests reimbursement for amounts owing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(b) is affected in the manner described in </w:t>
      </w:r>
      <w:r>
        <w:rPr>
          <w:rFonts w:ascii="Arial" w:cs="Arial" w:eastAsia="Arial" w:hAnsi="Arial"/>
          <w:sz w:val="16"/>
          <w:szCs w:val="16"/>
          <w:u w:val="single" w:color="auto"/>
          <w:color w:val="auto"/>
        </w:rPr>
        <w:t>Section 2.10(a)(iii)</w:t>
      </w:r>
      <w:r>
        <w:rPr>
          <w:rFonts w:ascii="Arial" w:cs="Arial" w:eastAsia="Arial" w:hAnsi="Arial"/>
          <w:sz w:val="16"/>
          <w:szCs w:val="16"/>
          <w:color w:val="auto"/>
        </w:rPr>
        <w:t xml:space="preserve"> and as a result thereof any of the actions described in such Section is required to be taken, or (c) becomes a Defaulting Lender, with a replacement bank or other financial institution; provided that (i) such replacement does not conflict with any Requirement of Law, (ii) no Event of Default under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shall have occurred and be continuing at the time of such replacement, (iii) the Borrower shall repay (or the replacement bank or institution shall purchase, at par) all Loans and other amounts pursuant to </w:t>
      </w:r>
      <w:r>
        <w:rPr>
          <w:rFonts w:ascii="Arial" w:cs="Arial" w:eastAsia="Arial" w:hAnsi="Arial"/>
          <w:sz w:val="16"/>
          <w:szCs w:val="16"/>
          <w:u w:val="single" w:color="auto"/>
          <w:color w:val="auto"/>
        </w:rPr>
        <w:t>Sections</w:t>
      </w:r>
    </w:p>
    <w:p>
      <w:pPr>
        <w:spacing w:after="0" w:line="6" w:lineRule="exact"/>
        <w:rPr>
          <w:rFonts w:ascii="Arial" w:cs="Arial" w:eastAsia="Arial" w:hAnsi="Arial"/>
          <w:sz w:val="16"/>
          <w:szCs w:val="16"/>
          <w:color w:val="auto"/>
        </w:rPr>
      </w:pPr>
    </w:p>
    <w:p>
      <w:pPr>
        <w:ind w:right="40"/>
        <w:spacing w:after="0" w:line="270" w:lineRule="auto"/>
        <w:rPr>
          <w:rFonts w:ascii="Arial" w:cs="Arial" w:eastAsia="Arial" w:hAnsi="Arial"/>
          <w:sz w:val="16"/>
          <w:szCs w:val="16"/>
          <w:color w:val="auto"/>
        </w:rPr>
      </w:pP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as the case may be, owing to such replaced Lender prior to the date of replacement, (iv) the replacement bank or institution, if not already a Lender, an Affiliate of the Lender or Approved Fund, and the terms and conditions of such replacement, shall be reasonably satisfactory to the Administrative Agent, (v) the replacement bank or institution, if not already a Lender shall be subject to the provisions of </w:t>
      </w:r>
      <w:r>
        <w:rPr>
          <w:rFonts w:ascii="Arial" w:cs="Arial" w:eastAsia="Arial" w:hAnsi="Arial"/>
          <w:sz w:val="17"/>
          <w:szCs w:val="17"/>
          <w:u w:val="single" w:color="auto"/>
          <w:color w:val="auto"/>
        </w:rPr>
        <w:t>Section 13.6(b)</w:t>
      </w:r>
      <w:r>
        <w:rPr>
          <w:rFonts w:ascii="Arial" w:cs="Arial" w:eastAsia="Arial" w:hAnsi="Arial"/>
          <w:sz w:val="17"/>
          <w:szCs w:val="17"/>
          <w:color w:val="auto"/>
        </w:rPr>
        <w:t xml:space="preserve">, (vi) the replaced Lender shall be obligated to make such replacement in accordance with the provisions of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(provided 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spacing w:after="0" w:line="174" w:lineRule="exact"/>
        <w:rPr>
          <w:rFonts w:ascii="Arial" w:cs="Arial" w:eastAsia="Arial" w:hAnsi="Arial"/>
          <w:sz w:val="16"/>
          <w:szCs w:val="16"/>
          <w:color w:val="auto"/>
        </w:rPr>
      </w:pPr>
    </w:p>
    <w:p>
      <w:pPr>
        <w:ind w:right="20" w:firstLine="656"/>
        <w:spacing w:after="0" w:line="285" w:lineRule="auto"/>
        <w:tabs>
          <w:tab w:leader="none" w:pos="1263"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any Lender (such Lender, a “</w:t>
      </w:r>
      <w:r>
        <w:rPr>
          <w:rFonts w:ascii="Arial" w:cs="Arial" w:eastAsia="Arial" w:hAnsi="Arial"/>
          <w:sz w:val="16"/>
          <w:szCs w:val="16"/>
          <w:b w:val="1"/>
          <w:bCs w:val="1"/>
          <w:color w:val="auto"/>
        </w:rPr>
        <w:t>Non-Consenting Lender</w:t>
      </w:r>
      <w:r>
        <w:rPr>
          <w:rFonts w:ascii="Arial" w:cs="Arial" w:eastAsia="Arial" w:hAnsi="Arial"/>
          <w:sz w:val="16"/>
          <w:szCs w:val="16"/>
          <w:color w:val="auto"/>
        </w:rPr>
        <w:t xml:space="preserve">”) has failed to consent to a proposed amendment, waiver, discharge or termination that pursuant to the terms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or to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all Obligations hereunder of the Borrower owing to such Non-Consenting Lender being replaced shall be paid in full to such Non-Consenting Lender concurrently with such assignment including any amounts that such Lender may be owed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(b) the replacement Lender shall purchase the foregoing by paying to such Non-Consenting Lender a price equal to the principal amount thereof plus accrued and unpaid interest thereon, and (c) the Borrower shall pay (or cause to be paid) to such Non-Consenting Lender the amount, if any, owing to such Lender pursuant to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In connection with any such assignment, the Borrower, the Administrative Agent, such Non-Consenting Lender and the replacement Lender shall otherwise comply with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Non-Consenting Lender does not execute and deliver an Assignment and Acceptance in respect of such assignment within one Business Day of the date on which the replacement Lender executes and delivers such Assignment and Acceptance to such Non-Consenting Lender (or such Assignment and Acceptance is delivered by the Administrative Agent on behalf of such replacement Lender), such Non-Consenting Lender shall be deemed to have executed and delivered such Assignment and Acceptance without any action on the part of such Non-Consenting Lender and the Assignment and Acceptance so executed by such replacement Lender shall be effective for the purpose of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13.7</w:t>
      </w:r>
      <w:r>
        <w:rPr>
          <w:rFonts w:ascii="Arial" w:cs="Arial" w:eastAsia="Arial" w:hAnsi="Arial"/>
          <w:sz w:val="16"/>
          <w:szCs w:val="16"/>
          <w:color w:val="auto"/>
        </w:rPr>
        <w:t>.</w:t>
      </w:r>
    </w:p>
    <w:p>
      <w:pPr>
        <w:spacing w:after="0" w:line="17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21" w:lineRule="exact"/>
        <w:rPr>
          <w:sz w:val="20"/>
          <w:szCs w:val="20"/>
          <w:color w:val="auto"/>
        </w:rPr>
      </w:pPr>
    </w:p>
    <w:p>
      <w:pPr>
        <w:ind w:right="20" w:firstLine="656"/>
        <w:spacing w:after="0" w:line="291" w:lineRule="auto"/>
        <w:tabs>
          <w:tab w:leader="none" w:pos="1253"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Except as contemplated in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or elsewhere herein, if any Lender (a “</w:t>
      </w:r>
      <w:r>
        <w:rPr>
          <w:rFonts w:ascii="Arial" w:cs="Arial" w:eastAsia="Arial" w:hAnsi="Arial"/>
          <w:sz w:val="16"/>
          <w:szCs w:val="16"/>
          <w:b w:val="1"/>
          <w:bCs w:val="1"/>
          <w:color w:val="auto"/>
        </w:rPr>
        <w:t>Benefited Lender</w:t>
      </w:r>
      <w:r>
        <w:rPr>
          <w:rFonts w:ascii="Arial" w:cs="Arial" w:eastAsia="Arial" w:hAnsi="Arial"/>
          <w:sz w:val="16"/>
          <w:szCs w:val="16"/>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7" w:name="page178"/>
    <w:bookmarkEnd w:id="177"/>
    <w:p>
      <w:pPr>
        <w:ind w:firstLine="656"/>
        <w:spacing w:after="0" w:line="253" w:lineRule="auto"/>
        <w:tabs>
          <w:tab w:leader="none" w:pos="120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97"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one or more of the parties to this Agreement on any number of separate counterparts (including by facsimile or other electronic transmission), and all of said counterparts taken together shall be deemed to constitute one and the same instrument. A set of the copies of this Agreement signed by all the parties shall be lodged with the Borrower and the Administrative Agent.</w:t>
      </w:r>
    </w:p>
    <w:p>
      <w:pPr>
        <w:spacing w:after="0" w:line="147" w:lineRule="exact"/>
        <w:rPr>
          <w:sz w:val="20"/>
          <w:szCs w:val="20"/>
          <w:color w:val="auto"/>
        </w:rPr>
      </w:pPr>
    </w:p>
    <w:p>
      <w:pPr>
        <w:ind w:right="600" w:firstLine="648"/>
        <w:spacing w:after="0" w:line="286"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other Credit Documents represent the agreement of Holdings, the Borrower, the Collateral Agent, the Administrative Agent and the Lenders with respect to the subject matter hereof, and there are no promises, undertakings, representations or warranties by Holdings, the Borrower, the Administrative Agent, the Collateral Agent nor any Lender relative to subject matter hereof not expressly set forth or referred to herein or in the other Credit Documents.</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HEREUNDER SHALL BE GOVERNED BY, AND CONSTRUED AND INTERPRETED IN ACCORDANCE WITH, THE LAW OF THE STATE OF NEW YORK. EACH LETTER OF CREDIT SHALL BE GOVERNED BY, AND CONSTRUED IN ACCORDANCE WITH, THE LAWS OF THE STATE OF NEW YORK.</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party hereto irrevocably and unconditionally:</w:t>
      </w:r>
    </w:p>
    <w:p>
      <w:pPr>
        <w:spacing w:after="0" w:line="225" w:lineRule="exact"/>
        <w:rPr>
          <w:sz w:val="20"/>
          <w:szCs w:val="20"/>
          <w:color w:val="auto"/>
        </w:rPr>
      </w:pPr>
    </w:p>
    <w:p>
      <w:pPr>
        <w:ind w:left="660" w:right="320" w:firstLine="645"/>
        <w:spacing w:after="0" w:line="312" w:lineRule="auto"/>
        <w:tabs>
          <w:tab w:leader="none" w:pos="182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Credit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146" w:lineRule="exact"/>
        <w:rPr>
          <w:rFonts w:ascii="Arial" w:cs="Arial" w:eastAsia="Arial" w:hAnsi="Arial"/>
          <w:sz w:val="16"/>
          <w:szCs w:val="16"/>
          <w:color w:val="auto"/>
        </w:rPr>
      </w:pPr>
    </w:p>
    <w:p>
      <w:pPr>
        <w:ind w:left="660" w:firstLine="645"/>
        <w:spacing w:after="0" w:line="259" w:lineRule="auto"/>
        <w:tabs>
          <w:tab w:leader="none" w:pos="183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consents that any such action or proceeding shall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186" w:lineRule="exact"/>
        <w:rPr>
          <w:rFonts w:ascii="Arial" w:cs="Arial" w:eastAsia="Arial" w:hAnsi="Arial"/>
          <w:sz w:val="18"/>
          <w:szCs w:val="18"/>
          <w:color w:val="auto"/>
        </w:rPr>
      </w:pPr>
    </w:p>
    <w:p>
      <w:pPr>
        <w:ind w:left="660" w:right="140" w:firstLine="645"/>
        <w:spacing w:after="0" w:line="264" w:lineRule="auto"/>
        <w:tabs>
          <w:tab w:leader="none" w:pos="182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at such other address of which the Administrative Agent shall have been notified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78" w:name="page179"/>
    <w:bookmarkEnd w:id="178"/>
    <w:p>
      <w:pPr>
        <w:jc w:val="both"/>
        <w:ind w:right="20" w:firstLine="645"/>
        <w:spacing w:after="0" w:line="264" w:lineRule="auto"/>
        <w:tabs>
          <w:tab w:leader="none" w:pos="117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of the Administrative Agent, any Lender or another Secured Party to effect service of process in any other manner permitted by law or to commence legal proceedings or otherwise proceed against Holdings or the Borrower or any other Credit Party in any other jurisdiction; and</w:t>
      </w:r>
    </w:p>
    <w:p>
      <w:pPr>
        <w:spacing w:after="0" w:line="181" w:lineRule="exact"/>
        <w:rPr>
          <w:rFonts w:ascii="Arial" w:cs="Arial" w:eastAsia="Arial" w:hAnsi="Arial"/>
          <w:sz w:val="18"/>
          <w:szCs w:val="18"/>
          <w:color w:val="auto"/>
        </w:rPr>
      </w:pPr>
    </w:p>
    <w:p>
      <w:pPr>
        <w:jc w:val="both"/>
        <w:ind w:right="280" w:firstLine="645"/>
        <w:spacing w:after="0" w:line="264" w:lineRule="auto"/>
        <w:tabs>
          <w:tab w:leader="none" w:pos="116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any special, exemplary, punitive or consequential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(e) shall limit the Credit Parties’ indemnification obligations set forth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u w:val="single" w:color="auto"/>
          <w:color w:val="auto"/>
        </w:rPr>
        <w:t>Acknowledgments</w:t>
      </w:r>
      <w:r>
        <w:rPr>
          <w:rFonts w:ascii="Arial" w:cs="Arial" w:eastAsia="Arial" w:hAnsi="Arial"/>
          <w:sz w:val="16"/>
          <w:szCs w:val="16"/>
          <w:color w:val="auto"/>
        </w:rPr>
        <w:t>. Each of Holdings and the Borrower hereby acknowledges that:</w:t>
      </w:r>
    </w:p>
    <w:p>
      <w:pPr>
        <w:spacing w:after="0" w:line="225" w:lineRule="exact"/>
        <w:rPr>
          <w:sz w:val="20"/>
          <w:szCs w:val="20"/>
          <w:color w:val="auto"/>
        </w:rPr>
      </w:pPr>
    </w:p>
    <w:p>
      <w:pPr>
        <w:ind w:left="1160" w:hanging="515"/>
        <w:spacing w:after="0"/>
        <w:tabs>
          <w:tab w:leader="none" w:pos="11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Credit Documents;</w:t>
      </w:r>
    </w:p>
    <w:p>
      <w:pPr>
        <w:spacing w:after="0" w:line="236" w:lineRule="exact"/>
        <w:rPr>
          <w:rFonts w:ascii="Arial" w:cs="Arial" w:eastAsia="Arial" w:hAnsi="Arial"/>
          <w:sz w:val="17"/>
          <w:szCs w:val="17"/>
          <w:color w:val="auto"/>
        </w:rPr>
      </w:pPr>
    </w:p>
    <w:p>
      <w:pPr>
        <w:ind w:right="120" w:firstLine="645"/>
        <w:spacing w:after="0" w:line="255" w:lineRule="auto"/>
        <w:tabs>
          <w:tab w:leader="none" w:pos="117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spacing w:after="0" w:line="193" w:lineRule="exact"/>
        <w:rPr>
          <w:sz w:val="20"/>
          <w:szCs w:val="20"/>
          <w:color w:val="auto"/>
        </w:rPr>
      </w:pPr>
    </w:p>
    <w:p>
      <w:pPr>
        <w:ind w:right="180" w:firstLine="645"/>
        <w:spacing w:after="0" w:line="264" w:lineRule="auto"/>
        <w:tabs>
          <w:tab w:leader="none" w:pos="118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w:t>
      </w:r>
    </w:p>
    <w:p>
      <w:pPr>
        <w:spacing w:after="0" w:line="181" w:lineRule="exact"/>
        <w:rPr>
          <w:rFonts w:ascii="Arial" w:cs="Arial" w:eastAsia="Arial" w:hAnsi="Arial"/>
          <w:sz w:val="18"/>
          <w:szCs w:val="18"/>
          <w:color w:val="auto"/>
        </w:rPr>
      </w:pPr>
    </w:p>
    <w:p>
      <w:pPr>
        <w:ind w:firstLine="645"/>
        <w:spacing w:after="0" w:line="293" w:lineRule="auto"/>
        <w:tabs>
          <w:tab w:leader="none" w:pos="123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spacing w:after="0" w:line="164" w:lineRule="exact"/>
        <w:rPr>
          <w:rFonts w:ascii="Arial" w:cs="Arial" w:eastAsia="Arial" w:hAnsi="Arial"/>
          <w:sz w:val="16"/>
          <w:szCs w:val="16"/>
          <w:color w:val="auto"/>
        </w:rPr>
      </w:pPr>
    </w:p>
    <w:p>
      <w:pPr>
        <w:ind w:firstLine="645"/>
        <w:spacing w:after="0" w:line="264" w:lineRule="auto"/>
        <w:tabs>
          <w:tab w:leader="none" w:pos="122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Administrative Agent, each other Agent and each Affiliate of the foregoing may be engaged in a broad range of transactions that involve interests that differ from those of the Borrower and their Affiliates, and neither the Administrative Agent nor any other Agent has any obligation to disclose any of such interests by virtue of any advisory, agency or fiduciary relationship; and</w:t>
      </w:r>
    </w:p>
    <w:p>
      <w:pPr>
        <w:spacing w:after="0" w:line="181" w:lineRule="exact"/>
        <w:rPr>
          <w:rFonts w:ascii="Arial" w:cs="Arial" w:eastAsia="Arial" w:hAnsi="Arial"/>
          <w:sz w:val="18"/>
          <w:szCs w:val="18"/>
          <w:color w:val="auto"/>
        </w:rPr>
      </w:pPr>
    </w:p>
    <w:p>
      <w:pPr>
        <w:ind w:right="80" w:firstLine="645"/>
        <w:spacing w:after="0" w:line="293" w:lineRule="auto"/>
        <w:tabs>
          <w:tab w:leader="none" w:pos="117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the Borrower have consulted their own legal, accounting, regulatory and tax advisors to the extent it has deemed appropriate. Each of Holdings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w:t>
      </w:r>
    </w:p>
    <w:p>
      <w:pPr>
        <w:spacing w:after="0" w:line="38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909" w:right="259" w:bottom="1440" w:gutter="0" w:footer="0" w:header="0"/>
        </w:sectPr>
      </w:pPr>
    </w:p>
    <w:bookmarkStart w:id="179" w:name="page180"/>
    <w:bookmarkEnd w:id="179"/>
    <w:p>
      <w:pPr>
        <w:ind w:right="260" w:firstLine="656"/>
        <w:spacing w:after="0" w:line="277" w:lineRule="auto"/>
        <w:tabs>
          <w:tab w:leader="none" w:pos="125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Credit Documents or otherwise exists by virtue of the transactions contemplated hereby among the Lenders or among the Borrower, on the one hand, and any Lender, on the other hand.</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EACH PARTY HERETO IRREVOCABLY AND UNCONDITIONALLY WAIVES (TO THE EXTENT PERMITTED BY APPLICABLE LAW) TRIAL BY JURY IN ANY LEGAL ACTION OR PROCEEDING RELATING TO THIS AGREEMENT OR ANY OTHER CREDIT DOCUMENT OR THE PERFORMANCE OF SERVICES HEREUNDER AND THEREUNDER AND FOR ANY COUNTERCLAIM THEREIN.</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13.16</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 The Administrative Agent, each other Agent and each Lender (collectively, the “</w:t>
      </w:r>
      <w:r>
        <w:rPr>
          <w:rFonts w:ascii="Arial" w:cs="Arial" w:eastAsia="Arial" w:hAnsi="Arial"/>
          <w:sz w:val="16"/>
          <w:szCs w:val="16"/>
          <w:b w:val="1"/>
          <w:bCs w:val="1"/>
          <w:color w:val="auto"/>
        </w:rPr>
        <w:t>Restricted Persons</w:t>
      </w:r>
      <w:r>
        <w:rPr>
          <w:rFonts w:ascii="Arial" w:cs="Arial" w:eastAsia="Arial" w:hAnsi="Arial"/>
          <w:sz w:val="16"/>
          <w:szCs w:val="16"/>
          <w:color w:val="auto"/>
        </w:rPr>
        <w:t>” and, each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Person</w:t>
      </w:r>
      <w:r>
        <w:rPr>
          <w:rFonts w:ascii="Arial" w:cs="Arial" w:eastAsia="Arial" w:hAnsi="Arial"/>
          <w:sz w:val="16"/>
          <w:szCs w:val="16"/>
          <w:color w:val="auto"/>
        </w:rPr>
        <w:t>”) shall treat confidentially all non-public information provided to any Restricted Person by or on behalf of any Credit Party hereunder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such Restricted Person’s evaluation of whether to become a Lender hereunder or obtained by such Restricted Person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this Agreement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and shall not publish, disclose or otherwise divulge such Confidential Information; </w:t>
      </w:r>
      <w:r>
        <w:rPr>
          <w:rFonts w:ascii="Arial" w:cs="Arial" w:eastAsia="Arial" w:hAnsi="Arial"/>
          <w:sz w:val="16"/>
          <w:szCs w:val="16"/>
          <w:u w:val="single" w:color="auto"/>
          <w:color w:val="auto"/>
        </w:rPr>
        <w:t>provided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nothing herein shall prevent any Restricted Person from disclosing any such Confidential Information (a) pursuant to the order of any court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agency or in any pending legal, judicial or administrative proceeding, or otherwise as required by applicable law, rule or regulation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compulsory legal process (in which case such Restricted Person agrees (except with respect to any routine or ordinary course audit or examination conducted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bank accountants, any governmental, bank regulatory or self-regulatory authority exercising examination or regulatory authority), to the extent practicable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not prohibited by applicable law, rule or regulation, to inform the Borrower promptly thereof prior to disclosure), (b) upon the request or demand of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regulatory authority (including any self-regulatory authority) having jurisdiction over such Restricted Person or any of its Affiliates (in which case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Restricted Person agrees (except with respect to any audit or examination conducted by bank accountants or any governmental, bank regulatory or self-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regulatory authority exercising examination or regulatory authority) to the extent practicable and not prohibited by applicable law, rule or regulation,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inform the Borrower promptly thereof prior to disclosure), (c) to the extent that such Confidential Information becomes publicly available other than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reason of improper disclosure by such Restricted Person or any of its affiliates or any related parties thereto in violation of any confidentiality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owing under this </w:t>
      </w:r>
      <w:r>
        <w:rPr>
          <w:rFonts w:ascii="Arial" w:cs="Arial" w:eastAsia="Arial" w:hAnsi="Arial"/>
          <w:sz w:val="16"/>
          <w:szCs w:val="16"/>
          <w:u w:val="single" w:color="auto"/>
          <w:color w:val="auto"/>
        </w:rPr>
        <w:t>Section 13.16</w:t>
      </w:r>
      <w:r>
        <w:rPr>
          <w:rFonts w:ascii="Arial" w:cs="Arial" w:eastAsia="Arial" w:hAnsi="Arial"/>
          <w:sz w:val="16"/>
          <w:szCs w:val="16"/>
          <w:color w:val="auto"/>
        </w:rPr>
        <w:t>, (d) to the extent that such Confidential Information is received by such Restricted Person from a third party that is not,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Restricted Person’s knowledge, subject to confidentiality obligations owing to any Credit Party or any of their respective subsidiaries or affiliates, (e)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that such Confidential Information was already in the possession of the Restricted Persons prior to any duty or other undertaking of confidentiality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is independently developed by the Restricted Persons without the use of such Confidential Information, (f) to such Restricted Person’s affiliates and to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their respective officers, directors, partners, employees, legal counsel, independent auditors, and other experts or agents who need to know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Confidential Information in connection with providing the Loans or action as an Agent hereunder and who are informed of the confidential nature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Confidential Information and who are subject to customary confidentiality obligations of professional practice or who agree to be bound by the terms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(with each such Restricted Person,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within its control, responsible for such person’s compliance with this paragraph), (g) to potential or prospective Lenders, hedge providers, participants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assignees, in each case who agree (pursuant to customary syndication practice)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least as restrictive as those set forth in this </w:t>
      </w:r>
      <w:r>
        <w:rPr>
          <w:rFonts w:ascii="Arial" w:cs="Arial" w:eastAsia="Arial" w:hAnsi="Arial"/>
          <w:sz w:val="17"/>
          <w:szCs w:val="17"/>
          <w:u w:val="single" w:color="auto"/>
          <w:color w:val="auto"/>
        </w:rPr>
        <w:t>Section 13.16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disclosure of any such Confidential Information to any Lenders, hedge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providers or prospective Lenders, hedge providers or participants or prospective participants referred to above shall be made subject to the acknowledgment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acceptance by such Lender, hedge provider or prospective Lender or participant or prospective participant that such Confidential Information is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disseminated on a confidential basis (on substantially the terms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in accordance with the standard syndication processes of such Restricted Person or customary market standards for dissemination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such type of information, which shall in any event require “click through” or other affirmative actions on the part of recipient to access such Confidential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and (ii) no such disclosure shall be made by such Restricted Person to any person that is at such time a Disqualified Lender, (h)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establishing a “due diligence” defense, or (i) to rating agencies in connection with obtaining ratings for the Borrower and the facilities described hereunder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extent such rating agencies are subject to customary confidentiality obligations of professional practice or agree to be bound by the terms of this </w:t>
      </w:r>
      <w:r>
        <w:rPr>
          <w:rFonts w:ascii="Arial" w:cs="Arial" w:eastAsia="Arial" w:hAnsi="Arial"/>
          <w:sz w:val="16"/>
          <w:szCs w:val="16"/>
          <w:u w:val="single" w:color="auto"/>
          <w:color w:val="auto"/>
        </w:rPr>
        <w:t>Section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Notwithstanding the foregoing, (i) Confidential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not include, with respect to any Person, information available to it or its Affiliates on a non-confidential basis from a source other than Holdings,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Subsidiaries or their respective Affiliates, (ii) the Administrative Agent shall not be responsible for compliance with this </w:t>
      </w:r>
      <w:r>
        <w:rPr>
          <w:rFonts w:ascii="Arial" w:cs="Arial" w:eastAsia="Arial" w:hAnsi="Arial"/>
          <w:sz w:val="17"/>
          <w:szCs w:val="17"/>
          <w:u w:val="single" w:color="auto"/>
          <w:color w:val="auto"/>
        </w:rPr>
        <w:t>Section 13.16</w:t>
      </w:r>
      <w:r>
        <w:rPr>
          <w:rFonts w:ascii="Arial" w:cs="Arial" w:eastAsia="Arial" w:hAnsi="Arial"/>
          <w:sz w:val="17"/>
          <w:szCs w:val="17"/>
          <w:color w:val="auto"/>
        </w:rPr>
        <w:t xml:space="preserve"> by any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Restricted Person (other than its officers, directors or employees), (iii) in no event shall any Lender, the Administrative Agent or any other Agent be obligated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required to return any materials furnished by Holdings or any of its Subsidiaries, and (iv) each Agent and each Lender may disclose the existence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and the information about this Agreement to market data collectors, similar services providers to the lending industry, and service providers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Agents and the Lenders in connection with the administration, settlement and management of this Agreement and the other Credit Documents.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80" w:name="page181"/>
    <w:bookmarkEnd w:id="180"/>
    <w:p>
      <w:pPr>
        <w:ind w:firstLine="648"/>
        <w:spacing w:after="0" w:line="285" w:lineRule="auto"/>
        <w:rPr>
          <w:sz w:val="20"/>
          <w:szCs w:val="20"/>
          <w:color w:val="auto"/>
        </w:rPr>
      </w:pPr>
      <w:r>
        <w:rPr>
          <w:rFonts w:ascii="Arial" w:cs="Arial" w:eastAsia="Arial" w:hAnsi="Arial"/>
          <w:sz w:val="16"/>
          <w:szCs w:val="16"/>
          <w:color w:val="auto"/>
        </w:rPr>
        <w:t xml:space="preserve">13.17 </w:t>
      </w:r>
      <w:r>
        <w:rPr>
          <w:rFonts w:ascii="Arial" w:cs="Arial" w:eastAsia="Arial" w:hAnsi="Arial"/>
          <w:sz w:val="16"/>
          <w:szCs w:val="16"/>
          <w:u w:val="single" w:color="auto"/>
          <w:color w:val="auto"/>
        </w:rPr>
        <w:t>Direct Website Communications</w:t>
      </w:r>
      <w:r>
        <w:rPr>
          <w:rFonts w:ascii="Arial" w:cs="Arial" w:eastAsia="Arial" w:hAnsi="Arial"/>
          <w:sz w:val="16"/>
          <w:szCs w:val="16"/>
          <w:color w:val="auto"/>
        </w:rPr>
        <w:t>. Each of Holdings and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6"/>
          <w:szCs w:val="16"/>
          <w:b w:val="1"/>
          <w:bCs w:val="1"/>
          <w:color w:val="auto"/>
        </w:rPr>
        <w:t>Communications</w:t>
      </w:r>
      <w:r>
        <w:rPr>
          <w:rFonts w:ascii="Arial" w:cs="Arial" w:eastAsia="Arial" w:hAnsi="Arial"/>
          <w:sz w:val="16"/>
          <w:szCs w:val="16"/>
          <w:color w:val="auto"/>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upon written request by the Administrative Agent, Holdings or the Borrower shall deliver paper copies of such documents to the Administrative Agent for further distribution to each Lender until a written request to cease delivering paper copies is given by the Administrative Agent and (ii) Holdings or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Arial" w:cs="Arial" w:eastAsia="Arial" w:hAnsi="Arial"/>
          <w:sz w:val="16"/>
          <w:szCs w:val="16"/>
          <w:u w:val="single" w:color="auto"/>
          <w:color w:val="auto"/>
        </w:rPr>
        <w:t>Section 13.17</w:t>
      </w:r>
      <w:r>
        <w:rPr>
          <w:rFonts w:ascii="Arial" w:cs="Arial" w:eastAsia="Arial" w:hAnsi="Arial"/>
          <w:sz w:val="16"/>
          <w:szCs w:val="16"/>
          <w:color w:val="auto"/>
        </w:rPr>
        <w:t xml:space="preserve"> shall prejudice the right of Holdings, the Borrower, the Administrative Agent, any other Agent or any Lender to give any notice or other communication pursuant to any Credit Document in any other manner specified in such Credit Document.</w:t>
      </w:r>
    </w:p>
    <w:p>
      <w:pPr>
        <w:spacing w:after="0" w:line="17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w:t>
      </w:r>
    </w:p>
    <w:p>
      <w:pPr>
        <w:spacing w:after="0" w:line="193" w:lineRule="exact"/>
        <w:rPr>
          <w:sz w:val="20"/>
          <w:szCs w:val="20"/>
          <w:color w:val="auto"/>
        </w:rPr>
      </w:pPr>
    </w:p>
    <w:p>
      <w:pPr>
        <w:ind w:right="100" w:firstLine="656"/>
        <w:spacing w:after="0" w:line="312" w:lineRule="auto"/>
        <w:tabs>
          <w:tab w:leader="none" w:pos="125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Each of Holdings and the Borrower further agrees that any Agent may make the Communications available to the Lenders by posting the Communications on Intralinks or a substantially similar electronic transmission system (the “</w:t>
      </w:r>
      <w:r>
        <w:rPr>
          <w:rFonts w:ascii="Arial" w:cs="Arial" w:eastAsia="Arial" w:hAnsi="Arial"/>
          <w:sz w:val="16"/>
          <w:szCs w:val="16"/>
          <w:b w:val="1"/>
          <w:bCs w:val="1"/>
          <w:color w:val="auto"/>
        </w:rPr>
        <w:t>Platform</w:t>
      </w:r>
      <w:r>
        <w:rPr>
          <w:rFonts w:ascii="Arial" w:cs="Arial" w:eastAsia="Arial" w:hAnsi="Arial"/>
          <w:sz w:val="16"/>
          <w:szCs w:val="16"/>
          <w:color w:val="auto"/>
        </w:rPr>
        <w:t xml:space="preserve">”), so long as the access to such Platform (i) is limited to the Agents, the Lenders and Transferees or prospective Transferees and (ii) remains subject to the confidentiality requirements set forth in </w:t>
      </w:r>
      <w:r>
        <w:rPr>
          <w:rFonts w:ascii="Arial" w:cs="Arial" w:eastAsia="Arial" w:hAnsi="Arial"/>
          <w:sz w:val="16"/>
          <w:szCs w:val="16"/>
          <w:u w:val="single" w:color="auto"/>
          <w:color w:val="auto"/>
        </w:rPr>
        <w:t>Section 13.16</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40" w:firstLine="656"/>
        <w:spacing w:after="0" w:line="269" w:lineRule="auto"/>
        <w:tabs>
          <w:tab w:leader="none" w:pos="126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PLATFORM IS PROVIDED “AS IS” AND “AS AVAILABLE.” THE AGENT PARTIES DO NOT WARRANT THE ACCURACY OR COMPLETENESS OF ANY MATERIALS OR INFORMATION PROVIDED BY THE CREDIT PARTIES (THE “</w:t>
      </w:r>
      <w:r>
        <w:rPr>
          <w:rFonts w:ascii="Arial" w:cs="Arial" w:eastAsia="Arial" w:hAnsi="Arial"/>
          <w:sz w:val="17"/>
          <w:szCs w:val="17"/>
          <w:b w:val="1"/>
          <w:bCs w:val="1"/>
          <w:color w:val="auto"/>
        </w:rPr>
        <w:t>BORROWER MATERIALS</w:t>
      </w:r>
      <w:r>
        <w:rPr>
          <w:rFonts w:ascii="Arial" w:cs="Arial" w:eastAsia="Arial" w:hAnsi="Arial"/>
          <w:sz w:val="17"/>
          <w:szCs w:val="17"/>
          <w:color w:val="auto"/>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and each an “</w:t>
      </w:r>
      <w:r>
        <w:rPr>
          <w:rFonts w:ascii="Arial" w:cs="Arial" w:eastAsia="Arial" w:hAnsi="Arial"/>
          <w:sz w:val="17"/>
          <w:szCs w:val="17"/>
          <w:b w:val="1"/>
          <w:bCs w:val="1"/>
          <w:color w:val="auto"/>
        </w:rPr>
        <w:t>Agent Party</w:t>
      </w:r>
      <w:r>
        <w:rPr>
          <w:rFonts w:ascii="Arial" w:cs="Arial" w:eastAsia="Arial" w:hAnsi="Arial"/>
          <w:sz w:val="17"/>
          <w:szCs w:val="17"/>
          <w:color w:val="auto"/>
        </w:rPr>
        <w:t>”)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81" w:name="page182"/>
    <w:bookmarkEnd w:id="181"/>
    <w:p>
      <w:pPr>
        <w:ind w:firstLine="656"/>
        <w:spacing w:after="0" w:line="287" w:lineRule="auto"/>
        <w:tabs>
          <w:tab w:leader="none" w:pos="1253"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Each of Holdings and the Borrower and each Lender acknowledge that certain of the Lenders may be “public-side” Lenders (Lenders that do not wish to receive material non-public information with respect to Holdings, the Borrower, the Subsidiaries or their securities) and, if documents or notices required to be delivered pursuant to the Credit Documents or otherwise are being distributed through the Platform, any document or notice that Holdings or the Borrower has indicated contains only publicly available information with respect to Holdings or the Borrower may be posted on that portion of the Platform designated for such public-side Lenders. If Holdings or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Holdings, the Borrower, the Subsidiaries and their securities. Notwithstanding the foregoing, each of Holdings and the Borrower shall use commercially reasonable efforts to indicate whether any document or notice contains only publicly available information; provided however that, the following documents shall be deemed to be marked “PUBLIC,” unless the Borrower notifies the Administrative Agent promptly that any such document contains material nonpublic information: (1) the Credit Documents, (2) any notification of changes in the terms of the Credit Facility and (3) all financial statements and certificates delivered pursuant to </w:t>
      </w:r>
      <w:r>
        <w:rPr>
          <w:rFonts w:ascii="Arial" w:cs="Arial" w:eastAsia="Arial" w:hAnsi="Arial"/>
          <w:sz w:val="16"/>
          <w:szCs w:val="16"/>
          <w:u w:val="single" w:color="auto"/>
          <w:color w:val="auto"/>
        </w:rPr>
        <w:t>Sections 9.1(a)</w:t>
      </w:r>
      <w:r>
        <w:rPr>
          <w:rFonts w:ascii="Arial" w:cs="Arial" w:eastAsia="Arial" w:hAnsi="Arial"/>
          <w:sz w:val="16"/>
          <w:szCs w:val="16"/>
          <w:color w:val="auto"/>
        </w:rPr>
        <w:t>,</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w:t>
      </w:r>
    </w:p>
    <w:p>
      <w:pPr>
        <w:spacing w:after="0" w:line="17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13.18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each Credit Party that pursuant to the requirements of the USA Patriot Act (Title III of Pub. L. 107-56 (signed into law October 26, 2001)) (the “</w:t>
      </w:r>
      <w:r>
        <w:rPr>
          <w:rFonts w:ascii="Arial" w:cs="Arial" w:eastAsia="Arial" w:hAnsi="Arial"/>
          <w:sz w:val="18"/>
          <w:szCs w:val="18"/>
          <w:b w:val="1"/>
          <w:bCs w:val="1"/>
          <w:color w:val="auto"/>
        </w:rPr>
        <w:t>Patriot Act</w:t>
      </w:r>
      <w:r>
        <w:rPr>
          <w:rFonts w:ascii="Arial" w:cs="Arial" w:eastAsia="Arial" w:hAnsi="Arial"/>
          <w:sz w:val="18"/>
          <w:szCs w:val="18"/>
          <w:color w:val="auto"/>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13.19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13.20 </w:t>
      </w:r>
      <w:r>
        <w:rPr>
          <w:rFonts w:ascii="Arial" w:cs="Arial" w:eastAsia="Arial" w:hAnsi="Arial"/>
          <w:sz w:val="17"/>
          <w:szCs w:val="17"/>
          <w:u w:val="single" w:color="auto"/>
          <w:color w:val="auto"/>
        </w:rPr>
        <w:t>Payments Set Aside</w:t>
      </w:r>
      <w:r>
        <w:rPr>
          <w:rFonts w:ascii="Arial" w:cs="Arial" w:eastAsia="Arial" w:hAnsi="Arial"/>
          <w:sz w:val="17"/>
          <w:szCs w:val="17"/>
          <w:color w:val="auto"/>
        </w:rPr>
        <w:t>. To the extent that any payment by or on behalf of Holdings or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w:t>
      </w:r>
    </w:p>
    <w:p>
      <w:pPr>
        <w:spacing w:after="0" w:line="17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13.21 </w:t>
      </w:r>
      <w:r>
        <w:rPr>
          <w:rFonts w:ascii="Arial" w:cs="Arial" w:eastAsia="Arial" w:hAnsi="Arial"/>
          <w:sz w:val="17"/>
          <w:szCs w:val="17"/>
          <w:u w:val="single" w:color="auto"/>
          <w:color w:val="auto"/>
        </w:rPr>
        <w:t>No Fiduciary Duty</w:t>
      </w:r>
      <w:r>
        <w:rPr>
          <w:rFonts w:ascii="Arial" w:cs="Arial" w:eastAsia="Arial" w:hAnsi="Arial"/>
          <w:sz w:val="17"/>
          <w:szCs w:val="17"/>
          <w:color w:val="auto"/>
        </w:rPr>
        <w:t>. Each Agent, each Syndication Agent, each Documentation Agent, each Joint Lead Arranger and Bookrunner, each Letter of Credit Issuer, each Lender and their Affiliates (collectively, the “</w:t>
      </w:r>
      <w:r>
        <w:rPr>
          <w:rFonts w:ascii="Arial" w:cs="Arial" w:eastAsia="Arial" w:hAnsi="Arial"/>
          <w:sz w:val="17"/>
          <w:szCs w:val="17"/>
          <w:b w:val="1"/>
          <w:bCs w:val="1"/>
          <w:color w:val="auto"/>
        </w:rPr>
        <w:t>Lender Parties</w:t>
      </w:r>
      <w:r>
        <w:rPr>
          <w:rFonts w:ascii="Arial" w:cs="Arial" w:eastAsia="Arial" w:hAnsi="Arial"/>
          <w:sz w:val="17"/>
          <w:szCs w:val="17"/>
          <w:color w:val="auto"/>
        </w:rPr>
        <w:t>”), may have economic interests that conflict with those of the Credit Parties, their stockholders and/or their affiliates. Each Credit Party agrees that nothing in the Credit Documents or otherwise will be deemed to create an advisory, fiduciary or agency relationship or fiduciary or other implied duty between any Lender Party, on the one hand, and such Credit Party, its stockholders or its affiliates, on the other. The Credit Parties acknowledge and agree that (i) the transactions contemplated by the Credit Documents (including the exercise of rights and remedies hereunder and thereunder) are arm’s-length commercial transactions between the Lender Parties, on the one hand, and the Credit Parties, on the other, and (ii) in connection therewith and with the process leading thereto, (x) no Lender Party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Party has advised, is currently advising or will advise any Credit Party, its stockholders or its Affiliates on other matters) or any other obligation to any Credit Party except the obligations expressly set forth in the Credit Documents and (y) each Lender Party is acting solely as principal and not as the agent or fiduciary of any Credit Party, its management, stockholders or creditors.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Party has rendered advisory services of any nature or respect, or owes a fiduciary or similar duty to such Credit Party, in connection with such transaction or the process leading thereto.</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2" w:name="page183"/>
    <w:bookmarkEnd w:id="182"/>
    <w:p>
      <w:pPr>
        <w:ind w:right="100" w:firstLine="648"/>
        <w:spacing w:after="0" w:line="257" w:lineRule="auto"/>
        <w:rPr>
          <w:sz w:val="20"/>
          <w:szCs w:val="20"/>
          <w:color w:val="auto"/>
        </w:rPr>
      </w:pPr>
      <w:r>
        <w:rPr>
          <w:rFonts w:ascii="Arial" w:cs="Arial" w:eastAsia="Arial" w:hAnsi="Arial"/>
          <w:sz w:val="18"/>
          <w:szCs w:val="18"/>
          <w:color w:val="auto"/>
        </w:rPr>
        <w:t xml:space="preserve">13.22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Solely to the extent any Lender that is an EEA Financial Institution is a party to this Agreement and notwithstanding anything to the contrary in any Credit Document or in any other agreement, arrangement or understanding among any such parties, each party hereto acknowledges that any liability of any Lender that is an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88" w:lineRule="exact"/>
        <w:rPr>
          <w:sz w:val="20"/>
          <w:szCs w:val="20"/>
          <w:color w:val="auto"/>
        </w:rPr>
      </w:pPr>
    </w:p>
    <w:p>
      <w:pPr>
        <w:ind w:left="660" w:right="40" w:firstLine="645"/>
        <w:spacing w:after="0" w:line="277" w:lineRule="auto"/>
        <w:tabs>
          <w:tab w:leader="none" w:pos="182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1300" w:right="180" w:firstLine="653"/>
        <w:spacing w:after="0" w:line="259" w:lineRule="auto"/>
        <w:tabs>
          <w:tab w:leader="none" w:pos="2483"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86" w:lineRule="exact"/>
        <w:rPr>
          <w:rFonts w:ascii="Arial" w:cs="Arial" w:eastAsia="Arial" w:hAnsi="Arial"/>
          <w:sz w:val="18"/>
          <w:szCs w:val="18"/>
          <w:color w:val="auto"/>
        </w:rPr>
      </w:pPr>
    </w:p>
    <w:p>
      <w:pPr>
        <w:ind w:left="1300" w:right="300" w:firstLine="653"/>
        <w:spacing w:after="0" w:line="277" w:lineRule="auto"/>
        <w:tabs>
          <w:tab w:leader="none" w:pos="2533"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Credit Documents provide support, through a guarantee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otherwise, for any swap contract or any other agreement or instrument that is a QFC (such support, “</w:t>
      </w:r>
      <w:r>
        <w:rPr>
          <w:rFonts w:ascii="Arial" w:cs="Arial" w:eastAsia="Arial" w:hAnsi="Arial"/>
          <w:sz w:val="17"/>
          <w:szCs w:val="17"/>
          <w:b w:val="1"/>
          <w:bCs w:val="1"/>
          <w:color w:val="auto"/>
        </w:rPr>
        <w:t>QFC Credit Support</w:t>
      </w:r>
      <w:r>
        <w:rPr>
          <w:rFonts w:ascii="Arial" w:cs="Arial" w:eastAsia="Arial" w:hAnsi="Arial"/>
          <w:sz w:val="17"/>
          <w:szCs w:val="17"/>
          <w:color w:val="auto"/>
        </w:rPr>
        <w:t>”, and each such QFC,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Federal Deposit Insurance Act and Title II of the Dodd-Frank Wall Street Reform and Consumer Protection Act (together with the regulations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promulgated thereunder, the “</w:t>
      </w:r>
      <w:r>
        <w:rPr>
          <w:rFonts w:ascii="Arial" w:cs="Arial" w:eastAsia="Arial" w:hAnsi="Arial"/>
          <w:sz w:val="16"/>
          <w:szCs w:val="16"/>
          <w:b w:val="1"/>
          <w:bCs w:val="1"/>
          <w:color w:val="auto"/>
        </w:rPr>
        <w:t>U.S. Special Resolution Regimes</w:t>
      </w:r>
      <w:r>
        <w:rPr>
          <w:rFonts w:ascii="Arial" w:cs="Arial" w:eastAsia="Arial" w:hAnsi="Arial"/>
          <w:sz w:val="16"/>
          <w:szCs w:val="16"/>
          <w:color w:val="auto"/>
        </w:rPr>
        <w:t>”) in respect of such Supported QFC and QFC Credit Support (with the provisions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notwithstanding that the Credit Documents and any Supported QFC may in fact be stated to be governed by the laws of the State of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and/or of the United States or any other state of the United States):</w:t>
      </w:r>
    </w:p>
    <w:p>
      <w:pPr>
        <w:spacing w:after="0" w:line="207" w:lineRule="exact"/>
        <w:rPr>
          <w:sz w:val="20"/>
          <w:szCs w:val="20"/>
          <w:color w:val="auto"/>
        </w:rPr>
      </w:pPr>
    </w:p>
    <w:p>
      <w:pPr>
        <w:ind w:left="660" w:firstLine="645"/>
        <w:spacing w:after="0" w:line="288" w:lineRule="auto"/>
        <w:tabs>
          <w:tab w:leader="none" w:pos="191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b w:val="1"/>
          <w:b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3" w:name="page184"/>
    <w:bookmarkEnd w:id="183"/>
    <w:p>
      <w:pPr>
        <w:ind w:left="700" w:hanging="595"/>
        <w:spacing w:after="0"/>
        <w:tabs>
          <w:tab w:leader="none" w:pos="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13.23</w:t>
      </w:r>
      <w:r>
        <w:rPr>
          <w:rFonts w:ascii="Arial" w:cs="Arial" w:eastAsia="Arial" w:hAnsi="Arial"/>
          <w:sz w:val="18"/>
          <w:szCs w:val="18"/>
          <w:color w:val="auto"/>
        </w:rPr>
        <w:t>, the following terms have the following meanings:</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of a party means an “affiliate” (as such term is defined under, and interpreted in accordance with, 12 U.S.C.</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1841(k)) of such party.</w:t>
      </w:r>
    </w:p>
    <w:p>
      <w:pPr>
        <w:spacing w:after="0" w:line="207" w:lineRule="exact"/>
        <w:rPr>
          <w:sz w:val="20"/>
          <w:szCs w:val="20"/>
          <w:color w:val="auto"/>
        </w:rPr>
      </w:pPr>
    </w:p>
    <w:p>
      <w:pPr>
        <w:ind w:left="100"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100"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66"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intentionally omitted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20"/>
      </w:cols>
      <w:pgMar w:left="1440" w:top="9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
      <w:numFmt w:val="bullet"/>
      <w:start w:val="1"/>
    </w:lvl>
  </w:abstractNum>
  <w:abstractNum w:abstractNumId="1">
    <w:nsid w:val="14FCE74E"/>
    <w:multiLevelType w:val="hybridMultilevel"/>
    <w:lvl w:ilvl="0">
      <w:lvlJc w:val="left"/>
      <w:lvlText w:val="(%1)"/>
      <w:numFmt w:val="lowerRoman"/>
      <w:start w:val="2"/>
    </w:lvl>
  </w:abstractNum>
  <w:abstractNum w:abstractNumId="2">
    <w:nsid w:val="6A3DD3E8"/>
    <w:multiLevelType w:val="hybridMultilevel"/>
    <w:lvl w:ilvl="0">
      <w:lvlJc w:val="left"/>
      <w:lvlText w:val="(%1)"/>
      <w:numFmt w:val="lowerLetter"/>
      <w:start w:val="4"/>
    </w:lvl>
  </w:abstractNum>
  <w:abstractNum w:abstractNumId="3">
    <w:nsid w:val="71C91298"/>
    <w:multiLevelType w:val="hybridMultilevel"/>
    <w:lvl w:ilvl="0">
      <w:lvlJc w:val="left"/>
      <w:lvlText w:val="(%1)"/>
      <w:numFmt w:val="lowerLetter"/>
      <w:start w:val="1"/>
    </w:lvl>
  </w:abstractNum>
  <w:abstractNum w:abstractNumId="4">
    <w:nsid w:val="9DAF632"/>
    <w:multiLevelType w:val="hybridMultilevel"/>
    <w:lvl w:ilvl="0">
      <w:lvlJc w:val="left"/>
      <w:lvlText w:val="(%1)"/>
      <w:numFmt w:val="lowerLetter"/>
      <w:start w:val="1"/>
    </w:lvl>
  </w:abstractNum>
  <w:abstractNum w:abstractNumId="5">
    <w:nsid w:val="53299938"/>
    <w:multiLevelType w:val="hybridMultilevel"/>
    <w:lvl w:ilvl="0">
      <w:lvlJc w:val="left"/>
      <w:lvlText w:val="(%1)"/>
      <w:numFmt w:val="lowerLetter"/>
      <w:start w:val="1"/>
    </w:lvl>
  </w:abstractNum>
  <w:abstractNum w:abstractNumId="6">
    <w:nsid w:val="1FBFE8E0"/>
    <w:multiLevelType w:val="hybridMultilevel"/>
    <w:lvl w:ilvl="0">
      <w:lvlJc w:val="left"/>
      <w:lvlText w:val="(%1)"/>
      <w:numFmt w:val="lowerLetter"/>
      <w:start w:val="1"/>
    </w:lvl>
  </w:abstractNum>
  <w:abstractNum w:abstractNumId="7">
    <w:nsid w:val="5092CA79"/>
    <w:multiLevelType w:val="hybridMultilevel"/>
    <w:lvl w:ilvl="0">
      <w:lvlJc w:val="left"/>
      <w:lvlText w:val="(%1)"/>
      <w:numFmt w:val="lowerLetter"/>
      <w:start w:val="2"/>
    </w:lvl>
  </w:abstractNum>
  <w:abstractNum w:abstractNumId="8">
    <w:nsid w:val="1D545C4D"/>
    <w:multiLevelType w:val="hybridMultilevel"/>
    <w:lvl w:ilvl="0">
      <w:lvlJc w:val="left"/>
      <w:lvlText w:val="(%1)"/>
      <w:numFmt w:val="lowerLetter"/>
      <w:start w:val="3"/>
    </w:lvl>
  </w:abstractNum>
  <w:abstractNum w:abstractNumId="9">
    <w:nsid w:val="59ADEA3D"/>
    <w:multiLevelType w:val="hybridMultilevel"/>
    <w:lvl w:ilvl="0">
      <w:lvlJc w:val="left"/>
      <w:lvlText w:val="(%1)"/>
      <w:numFmt w:val="lowerLetter"/>
      <w:start w:val="7"/>
    </w:lvl>
  </w:abstractNum>
  <w:abstractNum w:abstractNumId="10">
    <w:nsid w:val="288F1A34"/>
    <w:multiLevelType w:val="hybridMultilevel"/>
    <w:lvl w:ilvl="0">
      <w:lvlJc w:val="left"/>
      <w:lvlText w:val="(%1)"/>
      <w:numFmt w:val="lowerLetter"/>
      <w:start w:val="1"/>
    </w:lvl>
  </w:abstractNum>
  <w:abstractNum w:abstractNumId="11">
    <w:nsid w:val="2A155DBC"/>
    <w:multiLevelType w:val="hybridMultilevel"/>
    <w:lvl w:ilvl="0">
      <w:lvlJc w:val="left"/>
      <w:lvlText w:val="(%1)"/>
      <w:numFmt w:val="lowerRoman"/>
      <w:start w:val="1"/>
    </w:lvl>
    <w:lvl w:ilvl="1">
      <w:lvlJc w:val="left"/>
      <w:lvlText w:val="(%2)"/>
      <w:numFmt w:val="lowerLetter"/>
      <w:start w:val="1"/>
    </w:lvl>
  </w:abstractNum>
  <w:abstractNum w:abstractNumId="12">
    <w:nsid w:val="1D9F6E5F"/>
    <w:multiLevelType w:val="hybridMultilevel"/>
    <w:lvl w:ilvl="0">
      <w:lvlJc w:val="left"/>
      <w:lvlText w:val="(%1)"/>
      <w:numFmt w:val="lowerLetter"/>
      <w:start w:val="9"/>
    </w:lvl>
  </w:abstractNum>
  <w:abstractNum w:abstractNumId="13">
    <w:nsid w:val="97E1B4E"/>
    <w:multiLevelType w:val="hybridMultilevel"/>
    <w:lvl w:ilvl="0">
      <w:lvlJc w:val="left"/>
      <w:lvlText w:val="(%1)"/>
      <w:numFmt w:val="lowerLetter"/>
      <w:start w:val="23"/>
    </w:lvl>
  </w:abstractNum>
  <w:abstractNum w:abstractNumId="14">
    <w:nsid w:val="51088277"/>
    <w:multiLevelType w:val="hybridMultilevel"/>
    <w:lvl w:ilvl="0">
      <w:lvlJc w:val="left"/>
      <w:lvlText w:val="%1"/>
      <w:numFmt w:val="lowerLetter"/>
      <w:start w:val="1"/>
    </w:lvl>
    <w:lvl w:ilvl="1">
      <w:lvlJc w:val="left"/>
      <w:lvlText w:val="(%2)"/>
      <w:numFmt w:val="lowerRoman"/>
      <w:start w:val="1"/>
    </w:lvl>
  </w:abstractNum>
  <w:abstractNum w:abstractNumId="15">
    <w:nsid w:val="1CA0C5FA"/>
    <w:multiLevelType w:val="hybridMultilevel"/>
    <w:lvl w:ilvl="0">
      <w:lvlJc w:val="left"/>
      <w:lvlText w:val="(%1)"/>
      <w:numFmt w:val="lowerLetter"/>
      <w:start w:val="2"/>
    </w:lvl>
    <w:lvl w:ilvl="1">
      <w:lvlJc w:val="left"/>
      <w:lvlText w:val="%2"/>
      <w:numFmt w:val="lowerRoman"/>
      <w:start w:val="1"/>
    </w:lvl>
  </w:abstractNum>
  <w:abstractNum w:abstractNumId="16">
    <w:nsid w:val="53584BCB"/>
    <w:multiLevelType w:val="hybridMultilevel"/>
    <w:lvl w:ilvl="0">
      <w:lvlJc w:val="left"/>
      <w:lvlText w:val="(%1)"/>
      <w:numFmt w:val="lowerRoman"/>
      <w:start w:val="3"/>
    </w:lvl>
  </w:abstractNum>
  <w:abstractNum w:abstractNumId="17">
    <w:nsid w:val="415E286C"/>
    <w:multiLevelType w:val="hybridMultilevel"/>
    <w:lvl w:ilvl="0">
      <w:lvlJc w:val="left"/>
      <w:lvlText w:val="(%1)"/>
      <w:numFmt w:val="lowerRoman"/>
      <w:start w:val="3"/>
    </w:lvl>
  </w:abstractNum>
  <w:abstractNum w:abstractNumId="18">
    <w:nsid w:val="7C58FD05"/>
    <w:multiLevelType w:val="hybridMultilevel"/>
    <w:lvl w:ilvl="0">
      <w:lvlJc w:val="left"/>
      <w:lvlText w:val="(%1)"/>
      <w:numFmt w:val="lowerLetter"/>
      <w:start w:val="9"/>
    </w:lvl>
    <w:lvl w:ilvl="1">
      <w:lvlJc w:val="left"/>
      <w:lvlText w:val="(%2)"/>
      <w:numFmt w:val="lowerLetter"/>
      <w:start w:val="1"/>
    </w:lvl>
  </w:abstractNum>
  <w:abstractNum w:abstractNumId="19">
    <w:nsid w:val="23D86AAC"/>
    <w:multiLevelType w:val="hybridMultilevel"/>
    <w:lvl w:ilvl="0">
      <w:lvlJc w:val="left"/>
      <w:lvlText w:val="(%1)"/>
      <w:numFmt w:val="lowerLetter"/>
      <w:start w:val="2"/>
    </w:lvl>
  </w:abstractNum>
  <w:abstractNum w:abstractNumId="20">
    <w:nsid w:val="45E6D486"/>
    <w:multiLevelType w:val="hybridMultilevel"/>
    <w:lvl w:ilvl="0">
      <w:lvlJc w:val="left"/>
      <w:lvlText w:val="(%1)"/>
      <w:numFmt w:val="lowerLetter"/>
      <w:start w:val="10"/>
    </w:lvl>
  </w:abstractNum>
  <w:abstractNum w:abstractNumId="21">
    <w:nsid w:val="5C10FE21"/>
    <w:multiLevelType w:val="hybridMultilevel"/>
    <w:lvl w:ilvl="0">
      <w:lvlJc w:val="left"/>
      <w:lvlText w:val="%1"/>
      <w:numFmt w:val="lowerLetter"/>
      <w:start w:val="1"/>
    </w:lvl>
    <w:lvl w:ilvl="1">
      <w:lvlJc w:val="left"/>
      <w:lvlText w:val="(%2)"/>
      <w:numFmt w:val="lowerLetter"/>
      <w:start w:val="18"/>
    </w:lvl>
  </w:abstractNum>
  <w:abstractNum w:abstractNumId="22">
    <w:nsid w:val="E7FFA2B"/>
    <w:multiLevelType w:val="hybridMultilevel"/>
    <w:lvl w:ilvl="0">
      <w:lvlJc w:val="left"/>
      <w:lvlText w:val="(%1)"/>
      <w:numFmt w:val="lowerLetter"/>
      <w:start w:val="35"/>
    </w:lvl>
    <w:lvl w:ilvl="1">
      <w:lvlJc w:val="left"/>
      <w:lvlText w:val="(%2)"/>
      <w:numFmt w:val="lowerLetter"/>
      <w:start w:val="1"/>
    </w:lvl>
  </w:abstractNum>
  <w:abstractNum w:abstractNumId="23">
    <w:nsid w:val="3C5991AA"/>
    <w:multiLevelType w:val="hybridMultilevel"/>
    <w:lvl w:ilvl="0">
      <w:lvlJc w:val="left"/>
      <w:lvlText w:val="(%1)"/>
      <w:numFmt w:val="lowerLetter"/>
      <w:start w:val="61"/>
    </w:lvl>
    <w:lvl w:ilvl="1">
      <w:lvlJc w:val="left"/>
      <w:lvlText w:val="(%2)"/>
      <w:numFmt w:val="lowerLetter"/>
      <w:start w:val="1"/>
    </w:lvl>
  </w:abstractNum>
  <w:abstractNum w:abstractNumId="24">
    <w:nsid w:val="4BD8591A"/>
    <w:multiLevelType w:val="hybridMultilevel"/>
    <w:lvl w:ilvl="0">
      <w:lvlJc w:val="left"/>
      <w:lvlText w:val="(%1)"/>
      <w:numFmt w:val="lowerRoman"/>
      <w:start w:val="1"/>
    </w:lvl>
  </w:abstractNum>
  <w:abstractNum w:abstractNumId="25">
    <w:nsid w:val="78DF6A55"/>
    <w:multiLevelType w:val="hybridMultilevel"/>
    <w:lvl w:ilvl="0">
      <w:lvlJc w:val="left"/>
      <w:lvlText w:val="(%1)"/>
      <w:numFmt w:val="lowerRoman"/>
      <w:start w:val="2"/>
    </w:lvl>
  </w:abstractNum>
  <w:abstractNum w:abstractNumId="26">
    <w:nsid w:val="39B7AAA2"/>
    <w:multiLevelType w:val="hybridMultilevel"/>
    <w:lvl w:ilvl="0">
      <w:lvlJc w:val="left"/>
      <w:lvlText w:val="(%1)"/>
      <w:numFmt w:val="lowerRoman"/>
      <w:start w:val="1"/>
    </w:lvl>
  </w:abstractNum>
  <w:abstractNum w:abstractNumId="27">
    <w:nsid w:val="2B0D8DBE"/>
    <w:multiLevelType w:val="hybridMultilevel"/>
    <w:lvl w:ilvl="0">
      <w:lvlJc w:val="left"/>
      <w:lvlText w:val="(%1)"/>
      <w:numFmt w:val="lowerRoman"/>
      <w:start w:val="2"/>
    </w:lvl>
  </w:abstractNum>
  <w:abstractNum w:abstractNumId="28">
    <w:nsid w:val="6C80EC70"/>
    <w:multiLevelType w:val="hybridMultilevel"/>
    <w:lvl w:ilvl="0">
      <w:lvlJc w:val="left"/>
      <w:lvlText w:val="(%1)"/>
      <w:numFmt w:val="lowerRoman"/>
      <w:start w:val="1"/>
    </w:lvl>
  </w:abstractNum>
  <w:abstractNum w:abstractNumId="29">
    <w:nsid w:val="379E21B5"/>
    <w:multiLevelType w:val="hybridMultilevel"/>
    <w:lvl w:ilvl="0">
      <w:lvlJc w:val="left"/>
      <w:lvlText w:val="(%1)"/>
      <w:numFmt w:val="lowerRoman"/>
      <w:start w:val="7"/>
    </w:lvl>
  </w:abstractNum>
  <w:abstractNum w:abstractNumId="30">
    <w:nsid w:val="69E373"/>
    <w:multiLevelType w:val="hybridMultilevel"/>
    <w:lvl w:ilvl="0">
      <w:lvlJc w:val="left"/>
      <w:lvlText w:val="(%1)"/>
      <w:numFmt w:val="lowerRoman"/>
      <w:start w:val="14"/>
    </w:lvl>
  </w:abstractNum>
  <w:abstractNum w:abstractNumId="31">
    <w:nsid w:val="2C27173B"/>
    <w:multiLevelType w:val="hybridMultilevel"/>
    <w:lvl w:ilvl="0">
      <w:lvlJc w:val="left"/>
      <w:lvlText w:val="(%1)"/>
      <w:numFmt w:val="lowerRoman"/>
      <w:start w:val="17"/>
    </w:lvl>
  </w:abstractNum>
  <w:abstractNum w:abstractNumId="32">
    <w:nsid w:val="4C9B0904"/>
    <w:multiLevelType w:val="hybridMultilevel"/>
    <w:lvl w:ilvl="0">
      <w:lvlJc w:val="left"/>
      <w:lvlText w:val="(%1)"/>
      <w:numFmt w:val="lowerRoman"/>
      <w:start w:val="1"/>
    </w:lvl>
  </w:abstractNum>
  <w:abstractNum w:abstractNumId="33">
    <w:nsid w:val="6AA7B75C"/>
    <w:multiLevelType w:val="hybridMultilevel"/>
    <w:lvl w:ilvl="0">
      <w:lvlJc w:val="left"/>
      <w:lvlText w:val="(%1)"/>
      <w:numFmt w:val="lowerLetter"/>
      <w:start w:val="7"/>
    </w:lvl>
  </w:abstractNum>
  <w:abstractNum w:abstractNumId="34">
    <w:nsid w:val="1DF029D3"/>
    <w:multiLevelType w:val="hybridMultilevel"/>
    <w:lvl w:ilvl="0">
      <w:lvlJc w:val="left"/>
      <w:lvlText w:val="(%1)"/>
      <w:numFmt w:val="lowerRoman"/>
      <w:start w:val="1"/>
    </w:lvl>
  </w:abstractNum>
  <w:abstractNum w:abstractNumId="35">
    <w:nsid w:val="5675FF36"/>
    <w:multiLevelType w:val="hybridMultilevel"/>
    <w:lvl w:ilvl="0">
      <w:lvlJc w:val="left"/>
      <w:lvlText w:val="(%1)"/>
      <w:numFmt w:val="lowerRoman"/>
      <w:start w:val="1"/>
    </w:lvl>
  </w:abstractNum>
  <w:abstractNum w:abstractNumId="36">
    <w:nsid w:val="3DD15094"/>
    <w:multiLevelType w:val="hybridMultilevel"/>
    <w:lvl w:ilvl="0">
      <w:lvlJc w:val="left"/>
      <w:lvlText w:val=";"/>
      <w:numFmt w:val="bullet"/>
      <w:start w:val="1"/>
    </w:lvl>
    <w:lvl w:ilvl="1">
      <w:lvlJc w:val="left"/>
      <w:lvlText w:val="(%2)"/>
      <w:numFmt w:val="lowerRoman"/>
      <w:start w:val="1"/>
    </w:lvl>
  </w:abstractNum>
  <w:abstractNum w:abstractNumId="37">
    <w:nsid w:val="3DB012B3"/>
    <w:multiLevelType w:val="hybridMultilevel"/>
    <w:lvl w:ilvl="0">
      <w:lvlJc w:val="left"/>
      <w:lvlText w:val="(%1)"/>
      <w:numFmt w:val="lowerLetter"/>
      <w:start w:val="1"/>
    </w:lvl>
  </w:abstractNum>
  <w:abstractNum w:abstractNumId="38">
    <w:nsid w:val="2708C9AF"/>
    <w:multiLevelType w:val="hybridMultilevel"/>
    <w:lvl w:ilvl="0">
      <w:lvlJc w:val="left"/>
      <w:lvlText w:val="(%1)"/>
      <w:numFmt w:val="lowerLetter"/>
      <w:start w:val="3"/>
    </w:lvl>
  </w:abstractNum>
  <w:abstractNum w:abstractNumId="39">
    <w:nsid w:val="5B25ACE2"/>
    <w:multiLevelType w:val="hybridMultilevel"/>
    <w:lvl w:ilvl="0">
      <w:lvlJc w:val="left"/>
      <w:lvlText w:val="(%1)"/>
      <w:numFmt w:val="lowerRoman"/>
      <w:start w:val="1"/>
    </w:lvl>
  </w:abstractNum>
  <w:abstractNum w:abstractNumId="40">
    <w:nsid w:val="175DFCF0"/>
    <w:multiLevelType w:val="hybridMultilevel"/>
    <w:lvl w:ilvl="0">
      <w:lvlJc w:val="left"/>
      <w:lvlText w:val="%1"/>
      <w:numFmt w:val="lowerRoman"/>
      <w:start w:val="1"/>
    </w:lvl>
    <w:lvl w:ilvl="1">
      <w:lvlJc w:val="left"/>
      <w:lvlText w:val="(%2)"/>
      <w:numFmt w:val="lowerRoman"/>
      <w:start w:val="7"/>
    </w:lvl>
  </w:abstractNum>
  <w:abstractNum w:abstractNumId="41">
    <w:nsid w:val="4F97E3E4"/>
    <w:multiLevelType w:val="hybridMultilevel"/>
    <w:lvl w:ilvl="0">
      <w:lvlJc w:val="left"/>
      <w:lvlText w:val="(%1)"/>
      <w:numFmt w:val="lowerRoman"/>
      <w:start w:val="3"/>
    </w:lvl>
    <w:lvl w:ilvl="1">
      <w:lvlJc w:val="left"/>
      <w:lvlText w:val="(%2)"/>
      <w:numFmt w:val="lowerRoman"/>
      <w:start w:val="10"/>
    </w:lvl>
  </w:abstractNum>
  <w:abstractNum w:abstractNumId="42">
    <w:nsid w:val="53B0A9E"/>
    <w:multiLevelType w:val="hybridMultilevel"/>
    <w:lvl w:ilvl="0">
      <w:lvlJc w:val="left"/>
      <w:lvlText w:val="(%1)"/>
      <w:numFmt w:val="lowerRoman"/>
      <w:start w:val="17"/>
    </w:lvl>
  </w:abstractNum>
  <w:abstractNum w:abstractNumId="43">
    <w:nsid w:val="34FD6B4F"/>
    <w:multiLevelType w:val="hybridMultilevel"/>
    <w:lvl w:ilvl="0">
      <w:lvlJc w:val="left"/>
      <w:lvlText w:val="(%1)"/>
      <w:numFmt w:val="lowerRoman"/>
      <w:start w:val="1"/>
    </w:lvl>
  </w:abstractNum>
  <w:abstractNum w:abstractNumId="44">
    <w:nsid w:val="5915FF32"/>
    <w:multiLevelType w:val="hybridMultilevel"/>
    <w:lvl w:ilvl="0">
      <w:lvlJc w:val="left"/>
      <w:lvlText w:val="%1"/>
      <w:numFmt w:val="lowerLetter"/>
      <w:start w:val="1"/>
    </w:lvl>
    <w:lvl w:ilvl="1">
      <w:lvlJc w:val="left"/>
      <w:lvlText w:val="(%2)"/>
      <w:numFmt w:val="lowerRoman"/>
      <w:start w:val="3"/>
    </w:lvl>
  </w:abstractNum>
  <w:abstractNum w:abstractNumId="45">
    <w:nsid w:val="56438D15"/>
    <w:multiLevelType w:val="hybridMultilevel"/>
    <w:lvl w:ilvl="0">
      <w:lvlJc w:val="left"/>
      <w:lvlText w:val="(%1)"/>
      <w:numFmt w:val="lowerLetter"/>
      <w:start w:val="25"/>
    </w:lvl>
    <w:lvl w:ilvl="1">
      <w:lvlJc w:val="left"/>
      <w:lvlText w:val="%2"/>
      <w:numFmt w:val="lowerRoman"/>
      <w:start w:val="1"/>
    </w:lvl>
  </w:abstractNum>
  <w:abstractNum w:abstractNumId="46">
    <w:nsid w:val="519E3149"/>
    <w:multiLevelType w:val="hybridMultilevel"/>
    <w:lvl w:ilvl="0">
      <w:lvlJc w:val="left"/>
      <w:lvlText w:val="(%1)"/>
      <w:numFmt w:val="lowerRoman"/>
      <w:start w:val="7"/>
    </w:lvl>
  </w:abstractNum>
  <w:abstractNum w:abstractNumId="47">
    <w:nsid w:val="2C6E4AFD"/>
    <w:multiLevelType w:val="hybridMultilevel"/>
    <w:lvl w:ilvl="0">
      <w:lvlJc w:val="left"/>
      <w:lvlText w:val="(%1)"/>
      <w:numFmt w:val="lowerRoman"/>
      <w:start w:val="16"/>
    </w:lvl>
  </w:abstractNum>
  <w:abstractNum w:abstractNumId="48">
    <w:nsid w:val="17A1B582"/>
    <w:multiLevelType w:val="hybridMultilevel"/>
    <w:lvl w:ilvl="0">
      <w:lvlJc w:val="left"/>
      <w:lvlText w:val="(%1)"/>
      <w:numFmt w:val="lowerRoman"/>
      <w:start w:val="28"/>
    </w:lvl>
  </w:abstractNum>
  <w:abstractNum w:abstractNumId="49">
    <w:nsid w:val="4DF72E4E"/>
    <w:multiLevelType w:val="hybridMultilevel"/>
    <w:lvl w:ilvl="0">
      <w:lvlJc w:val="left"/>
      <w:lvlText w:val="(%1)"/>
      <w:numFmt w:val="lowerLetter"/>
      <w:start w:val="1"/>
    </w:lvl>
  </w:abstractNum>
  <w:abstractNum w:abstractNumId="50">
    <w:nsid w:val="5046B5A9"/>
    <w:multiLevelType w:val="hybridMultilevel"/>
    <w:lvl w:ilvl="0">
      <w:lvlJc w:val="left"/>
      <w:lvlText w:val="(%1)"/>
      <w:numFmt w:val="lowerLetter"/>
      <w:start w:val="1"/>
    </w:lvl>
  </w:abstractNum>
  <w:abstractNum w:abstractNumId="51">
    <w:nsid w:val="5D888A08"/>
    <w:multiLevelType w:val="hybridMultilevel"/>
    <w:lvl w:ilvl="0">
      <w:lvlJc w:val="left"/>
      <w:lvlText w:val="(%1)"/>
      <w:numFmt w:val="lowerRoman"/>
      <w:start w:val="1"/>
    </w:lvl>
  </w:abstractNum>
  <w:abstractNum w:abstractNumId="52">
    <w:nsid w:val="2A082C70"/>
    <w:multiLevelType w:val="hybridMultilevel"/>
    <w:lvl w:ilvl="0">
      <w:lvlJc w:val="left"/>
      <w:lvlText w:val="(%1)"/>
      <w:numFmt w:val="lowerLetter"/>
      <w:start w:val="1"/>
    </w:lvl>
  </w:abstractNum>
  <w:abstractNum w:abstractNumId="53">
    <w:nsid w:val="5EC6AFD4"/>
    <w:multiLevelType w:val="hybridMultilevel"/>
    <w:lvl w:ilvl="0">
      <w:lvlJc w:val="left"/>
      <w:lvlText w:val="(%1)"/>
      <w:numFmt w:val="lowerLetter"/>
      <w:start w:val="1"/>
    </w:lvl>
  </w:abstractNum>
  <w:abstractNum w:abstractNumId="54">
    <w:nsid w:val="19E21BB2"/>
    <w:multiLevelType w:val="hybridMultilevel"/>
    <w:lvl w:ilvl="0">
      <w:lvlJc w:val="left"/>
      <w:lvlText w:val="%1"/>
      <w:numFmt w:val="lowerLetter"/>
      <w:start w:val="1"/>
    </w:lvl>
    <w:lvl w:ilvl="1">
      <w:lvlJc w:val="left"/>
      <w:lvlText w:val="(%2)"/>
      <w:numFmt w:val="lowerLetter"/>
      <w:start w:val="2"/>
    </w:lvl>
  </w:abstractNum>
  <w:abstractNum w:abstractNumId="55">
    <w:nsid w:val="75E0858A"/>
    <w:multiLevelType w:val="hybridMultilevel"/>
    <w:lvl w:ilvl="0">
      <w:lvlJc w:val="left"/>
      <w:lvlText w:val="(%1)"/>
      <w:numFmt w:val="lowerLetter"/>
      <w:start w:val="35"/>
    </w:lvl>
    <w:lvl w:ilvl="1">
      <w:lvlJc w:val="left"/>
      <w:lvlText w:val="%2"/>
      <w:numFmt w:val="lowerLetter"/>
      <w:start w:val="1"/>
    </w:lvl>
  </w:abstractNum>
  <w:abstractNum w:abstractNumId="56">
    <w:nsid w:val="57A61A29"/>
    <w:multiLevelType w:val="hybridMultilevel"/>
    <w:lvl w:ilvl="0">
      <w:lvlJc w:val="left"/>
      <w:lvlText w:val="(%1)"/>
      <w:numFmt w:val="lowerRoman"/>
      <w:start w:val="1"/>
    </w:lvl>
  </w:abstractNum>
  <w:abstractNum w:abstractNumId="57">
    <w:nsid w:val="5399C654"/>
    <w:multiLevelType w:val="hybridMultilevel"/>
    <w:lvl w:ilvl="0">
      <w:lvlJc w:val="left"/>
      <w:lvlText w:val="(%1)"/>
      <w:numFmt w:val="lowerLetter"/>
      <w:start w:val="3"/>
    </w:lvl>
  </w:abstractNum>
  <w:abstractNum w:abstractNumId="58">
    <w:nsid w:val="20EE1348"/>
    <w:multiLevelType w:val="hybridMultilevel"/>
    <w:lvl w:ilvl="0">
      <w:lvlJc w:val="left"/>
      <w:lvlText w:val="(%1)"/>
      <w:numFmt w:val="lowerLetter"/>
      <w:start w:val="1"/>
    </w:lvl>
  </w:abstractNum>
  <w:abstractNum w:abstractNumId="59">
    <w:nsid w:val="4427069A"/>
    <w:multiLevelType w:val="hybridMultilevel"/>
    <w:lvl w:ilvl="0">
      <w:lvlJc w:val="left"/>
      <w:lvlText w:val="(%1)"/>
      <w:numFmt w:val="lowerLetter"/>
      <w:start w:val="2"/>
    </w:lvl>
  </w:abstractNum>
  <w:abstractNum w:abstractNumId="60">
    <w:nsid w:val="B37E80A"/>
    <w:multiLevelType w:val="hybridMultilevel"/>
    <w:lvl w:ilvl="0">
      <w:lvlJc w:val="left"/>
      <w:lvlText w:val="(%1)"/>
      <w:numFmt w:val="lowerLetter"/>
      <w:start w:val="5"/>
    </w:lvl>
  </w:abstractNum>
  <w:abstractNum w:abstractNumId="61">
    <w:nsid w:val="2157F6BC"/>
    <w:multiLevelType w:val="hybridMultilevel"/>
    <w:lvl w:ilvl="0">
      <w:lvlJc w:val="left"/>
      <w:lvlText w:val="(%1)"/>
      <w:numFmt w:val="lowerLetter"/>
      <w:start w:val="1"/>
    </w:lvl>
  </w:abstractNum>
  <w:abstractNum w:abstractNumId="62">
    <w:nsid w:val="704E1DD5"/>
    <w:multiLevelType w:val="hybridMultilevel"/>
    <w:lvl w:ilvl="0">
      <w:lvlJc w:val="left"/>
      <w:lvlText w:val="(%1)"/>
      <w:numFmt w:val="lowerLetter"/>
      <w:start w:val="3"/>
    </w:lvl>
  </w:abstractNum>
  <w:abstractNum w:abstractNumId="63">
    <w:nsid w:val="57D2F10E"/>
    <w:multiLevelType w:val="hybridMultilevel"/>
    <w:lvl w:ilvl="0">
      <w:lvlJc w:val="left"/>
      <w:lvlText w:val="(%1)"/>
      <w:numFmt w:val="lowerLetter"/>
      <w:start w:val="1"/>
    </w:lvl>
  </w:abstractNum>
  <w:abstractNum w:abstractNumId="64">
    <w:nsid w:val="BFFAE18"/>
    <w:multiLevelType w:val="hybridMultilevel"/>
    <w:lvl w:ilvl="0">
      <w:lvlJc w:val="left"/>
      <w:lvlText w:val="(%1)"/>
      <w:numFmt w:val="lowerLetter"/>
      <w:start w:val="3"/>
    </w:lvl>
  </w:abstractNum>
  <w:abstractNum w:abstractNumId="65">
    <w:nsid w:val="E3E47A8"/>
    <w:multiLevelType w:val="hybridMultilevel"/>
    <w:lvl w:ilvl="0">
      <w:lvlJc w:val="left"/>
      <w:lvlText w:val="(%1)"/>
      <w:numFmt w:val="lowerLetter"/>
      <w:start w:val="1"/>
    </w:lvl>
  </w:abstractNum>
  <w:abstractNum w:abstractNumId="66">
    <w:nsid w:val="2E48F044"/>
    <w:multiLevelType w:val="hybridMultilevel"/>
    <w:lvl w:ilvl="0">
      <w:lvlJc w:val="left"/>
      <w:lvlText w:val="(%1)"/>
      <w:numFmt w:val="lowerLetter"/>
      <w:start w:val="3"/>
    </w:lvl>
  </w:abstractNum>
  <w:abstractNum w:abstractNumId="67">
    <w:nsid w:val="49D0FEAC"/>
    <w:multiLevelType w:val="hybridMultilevel"/>
    <w:lvl w:ilvl="0">
      <w:lvlJc w:val="left"/>
      <w:lvlText w:val="(%1)"/>
      <w:numFmt w:val="lowerLetter"/>
      <w:start w:val="6"/>
    </w:lvl>
  </w:abstractNum>
  <w:abstractNum w:abstractNumId="68">
    <w:nsid w:val="4BEE5A5B"/>
    <w:multiLevelType w:val="hybridMultilevel"/>
    <w:lvl w:ilvl="0">
      <w:lvlJc w:val="left"/>
      <w:lvlText w:val="%1"/>
      <w:numFmt w:val="lowerLetter"/>
      <w:start w:val="1"/>
    </w:lvl>
    <w:lvl w:ilvl="1">
      <w:lvlJc w:val="left"/>
      <w:lvlText w:val="(%2)"/>
      <w:numFmt w:val="lowerLetter"/>
      <w:start w:val="1"/>
    </w:lvl>
  </w:abstractNum>
  <w:abstractNum w:abstractNumId="69">
    <w:nsid w:val="5551B9F3"/>
    <w:multiLevelType w:val="hybridMultilevel"/>
    <w:lvl w:ilvl="0">
      <w:lvlJc w:val="left"/>
      <w:lvlText w:val="(%1)"/>
      <w:numFmt w:val="lowerLetter"/>
      <w:start w:val="35"/>
    </w:lvl>
    <w:lvl w:ilvl="1">
      <w:lvlJc w:val="left"/>
      <w:lvlText w:val="(%2)"/>
      <w:numFmt w:val="lowerLetter"/>
      <w:start w:val="2"/>
    </w:lvl>
  </w:abstractNum>
  <w:abstractNum w:abstractNumId="70">
    <w:nsid w:val="24F6AB8E"/>
    <w:multiLevelType w:val="hybridMultilevel"/>
    <w:lvl w:ilvl="0">
      <w:lvlJc w:val="left"/>
      <w:lvlText w:val="(%1)"/>
      <w:numFmt w:val="lowerLetter"/>
      <w:start w:val="1"/>
    </w:lvl>
  </w:abstractNum>
  <w:abstractNum w:abstractNumId="71">
    <w:nsid w:val="634C574C"/>
    <w:multiLevelType w:val="hybridMultilevel"/>
    <w:lvl w:ilvl="0">
      <w:lvlJc w:val="left"/>
      <w:lvlText w:val="(%1)"/>
      <w:numFmt w:val="lowerLetter"/>
      <w:start w:val="1"/>
    </w:lvl>
  </w:abstractNum>
  <w:abstractNum w:abstractNumId="72">
    <w:nsid w:val="24E99DD7"/>
    <w:multiLevelType w:val="hybridMultilevel"/>
    <w:lvl w:ilvl="0">
      <w:lvlJc w:val="left"/>
      <w:lvlText w:val="(%1)"/>
      <w:numFmt w:val="lowerLetter"/>
      <w:start w:val="1"/>
    </w:lvl>
    <w:lvl w:ilvl="1">
      <w:lvlJc w:val="left"/>
      <w:lvlText w:val="(%2)"/>
      <w:numFmt w:val="lowerRoman"/>
      <w:start w:val="1"/>
    </w:lvl>
  </w:abstractNum>
  <w:abstractNum w:abstractNumId="73">
    <w:nsid w:val="2A31B62D"/>
    <w:multiLevelType w:val="hybridMultilevel"/>
    <w:lvl w:ilvl="0">
      <w:lvlJc w:val="left"/>
      <w:lvlText w:val="(%1)"/>
      <w:numFmt w:val="lowerLetter"/>
      <w:start w:val="26"/>
    </w:lvl>
  </w:abstractNum>
  <w:abstractNum w:abstractNumId="74">
    <w:nsid w:val="1849C29B"/>
    <w:multiLevelType w:val="hybridMultilevel"/>
    <w:lvl w:ilvl="0">
      <w:lvlJc w:val="left"/>
      <w:lvlText w:val="(%1)"/>
      <w:numFmt w:val="lowerLetter"/>
      <w:start w:val="2"/>
    </w:lvl>
    <w:lvl w:ilvl="1">
      <w:lvlJc w:val="left"/>
      <w:lvlText w:val="(%2)"/>
      <w:numFmt w:val="lowerRoman"/>
      <w:start w:val="1"/>
    </w:lvl>
  </w:abstractNum>
  <w:abstractNum w:abstractNumId="75">
    <w:nsid w:val="7DFF9D09"/>
    <w:multiLevelType w:val="hybridMultilevel"/>
    <w:lvl w:ilvl="0">
      <w:lvlJc w:val="left"/>
      <w:lvlText w:val="(%1)"/>
      <w:numFmt w:val="lowerRoman"/>
      <w:start w:val="3"/>
    </w:lvl>
  </w:abstractNum>
  <w:abstractNum w:abstractNumId="76">
    <w:nsid w:val="754342"/>
    <w:multiLevelType w:val="hybridMultilevel"/>
    <w:lvl w:ilvl="0">
      <w:lvlJc w:val="left"/>
      <w:lvlText w:val="(%1)"/>
      <w:numFmt w:val="lowerLetter"/>
      <w:start w:val="1"/>
    </w:lvl>
  </w:abstractNum>
  <w:abstractNum w:abstractNumId="77">
    <w:nsid w:val="69E7F3E5"/>
    <w:multiLevelType w:val="hybridMultilevel"/>
    <w:lvl w:ilvl="0">
      <w:lvlJc w:val="left"/>
      <w:lvlText w:val="(%1)"/>
      <w:numFmt w:val="lowerLetter"/>
      <w:start w:val="3"/>
    </w:lvl>
  </w:abstractNum>
  <w:abstractNum w:abstractNumId="78">
    <w:nsid w:val="2A6DE806"/>
    <w:multiLevelType w:val="hybridMultilevel"/>
    <w:lvl w:ilvl="0">
      <w:lvlJc w:val="left"/>
      <w:lvlText w:val="(%1)"/>
      <w:numFmt w:val="lowerRoman"/>
      <w:start w:val="2"/>
    </w:lvl>
  </w:abstractNum>
  <w:abstractNum w:abstractNumId="79">
    <w:nsid w:val="1816F8C4"/>
    <w:multiLevelType w:val="hybridMultilevel"/>
    <w:lvl w:ilvl="0">
      <w:lvlJc w:val="left"/>
      <w:lvlText w:val="(%1)"/>
      <w:numFmt w:val="lowerRoman"/>
      <w:start w:val="4"/>
    </w:lvl>
  </w:abstractNum>
  <w:abstractNum w:abstractNumId="80">
    <w:nsid w:val="37DF2233"/>
    <w:multiLevelType w:val="hybridMultilevel"/>
    <w:lvl w:ilvl="0">
      <w:lvlJc w:val="left"/>
      <w:lvlText w:val="(%1)"/>
      <w:numFmt w:val="lowerRoman"/>
      <w:start w:val="5"/>
    </w:lvl>
  </w:abstractNum>
  <w:abstractNum w:abstractNumId="81">
    <w:nsid w:val="7AB49DAF"/>
    <w:multiLevelType w:val="hybridMultilevel"/>
    <w:lvl w:ilvl="0">
      <w:lvlJc w:val="left"/>
      <w:lvlText w:val="(%1)"/>
      <w:numFmt w:val="lowerRoman"/>
      <w:start w:val="6"/>
    </w:lvl>
  </w:abstractNum>
  <w:abstractNum w:abstractNumId="82">
    <w:nsid w:val="759F82CD"/>
    <w:multiLevelType w:val="hybridMultilevel"/>
    <w:lvl w:ilvl="0">
      <w:lvlJc w:val="left"/>
      <w:lvlText w:val="(%1)"/>
      <w:numFmt w:val="lowerLetter"/>
      <w:start w:val="1"/>
    </w:lvl>
    <w:lvl w:ilvl="1">
      <w:lvlJc w:val="left"/>
      <w:lvlText w:val="(%2)"/>
      <w:numFmt w:val="lowerRoman"/>
      <w:start w:val="1"/>
    </w:lvl>
  </w:abstractNum>
  <w:abstractNum w:abstractNumId="83">
    <w:nsid w:val="61E74EA3"/>
    <w:multiLevelType w:val="hybridMultilevel"/>
    <w:lvl w:ilvl="0">
      <w:lvlJc w:val="left"/>
      <w:lvlText w:val="(%1)"/>
      <w:numFmt w:val="lowerRoman"/>
      <w:start w:val="3"/>
    </w:lvl>
  </w:abstractNum>
  <w:abstractNum w:abstractNumId="84">
    <w:nsid w:val="597B4D84"/>
    <w:multiLevelType w:val="hybridMultilevel"/>
    <w:lvl w:ilvl="0">
      <w:lvlJc w:val="left"/>
      <w:lvlText w:val="(%1)"/>
      <w:numFmt w:val="upperLetter"/>
      <w:start w:val="1"/>
    </w:lvl>
  </w:abstractNum>
  <w:abstractNum w:abstractNumId="85">
    <w:nsid w:val="F819E7F"/>
    <w:multiLevelType w:val="hybridMultilevel"/>
    <w:lvl w:ilvl="0">
      <w:lvlJc w:val="left"/>
      <w:lvlText w:val="%1"/>
      <w:numFmt w:val="lowerLetter"/>
      <w:start w:val="1"/>
    </w:lvl>
    <w:lvl w:ilvl="1">
      <w:lvlJc w:val="left"/>
      <w:lvlText w:val="(%2)"/>
      <w:numFmt w:val="lowerRoman"/>
      <w:start w:val="4"/>
    </w:lvl>
  </w:abstractNum>
  <w:abstractNum w:abstractNumId="86">
    <w:nsid w:val="57C7D42D"/>
    <w:multiLevelType w:val="hybridMultilevel"/>
    <w:lvl w:ilvl="0">
      <w:lvlJc w:val="left"/>
      <w:lvlText w:val="(%1)"/>
      <w:numFmt w:val="lowerLetter"/>
      <w:start w:val="2"/>
    </w:lvl>
    <w:lvl w:ilvl="1">
      <w:lvlJc w:val="left"/>
      <w:lvlText w:val="%2"/>
      <w:numFmt w:val="lowerRoman"/>
      <w:start w:val="1"/>
    </w:lvl>
  </w:abstractNum>
  <w:abstractNum w:abstractNumId="87">
    <w:nsid w:val="312167AD"/>
    <w:multiLevelType w:val="hybridMultilevel"/>
    <w:lvl w:ilvl="0">
      <w:lvlJc w:val="left"/>
      <w:lvlText w:val="(%1)"/>
      <w:numFmt w:val="lowerLetter"/>
      <w:start w:val="1"/>
    </w:lvl>
    <w:lvl w:ilvl="1">
      <w:lvlJc w:val="left"/>
      <w:lvlText w:val="(%2)"/>
      <w:numFmt w:val="lowerLetter"/>
      <w:start w:val="9"/>
    </w:lvl>
  </w:abstractNum>
  <w:abstractNum w:abstractNumId="88">
    <w:nsid w:val="631B64D4"/>
    <w:multiLevelType w:val="hybridMultilevel"/>
    <w:lvl w:ilvl="0">
      <w:lvlJc w:val="left"/>
      <w:lvlText w:val="%1"/>
      <w:numFmt w:val="lowerLetter"/>
      <w:start w:val="1"/>
    </w:lvl>
    <w:lvl w:ilvl="1">
      <w:lvlJc w:val="left"/>
      <w:lvlText w:val="(%2)"/>
      <w:numFmt w:val="lowerRoman"/>
      <w:start w:val="2"/>
    </w:lvl>
  </w:abstractNum>
  <w:abstractNum w:abstractNumId="89">
    <w:nsid w:val="78B5E776"/>
    <w:multiLevelType w:val="hybridMultilevel"/>
    <w:lvl w:ilvl="0">
      <w:lvlJc w:val="left"/>
      <w:lvlText w:val="(%1)"/>
      <w:numFmt w:val="lowerLetter"/>
      <w:start w:val="6"/>
    </w:lvl>
    <w:lvl w:ilvl="1">
      <w:lvlJc w:val="left"/>
      <w:lvlText w:val="%2"/>
      <w:numFmt w:val="lowerRoman"/>
      <w:start w:val="1"/>
    </w:lvl>
  </w:abstractNum>
  <w:abstractNum w:abstractNumId="90">
    <w:nsid w:val="75486E47"/>
    <w:multiLevelType w:val="hybridMultilevel"/>
    <w:lvl w:ilvl="0">
      <w:lvlJc w:val="left"/>
      <w:lvlText w:val="(%1)"/>
      <w:numFmt w:val="lowerLetter"/>
      <w:start w:val="1"/>
    </w:lvl>
  </w:abstractNum>
  <w:abstractNum w:abstractNumId="91">
    <w:nsid w:val="6E534CDE"/>
    <w:multiLevelType w:val="hybridMultilevel"/>
    <w:lvl w:ilvl="0">
      <w:lvlJc w:val="left"/>
      <w:lvlText w:val="(%1)"/>
      <w:numFmt w:val="lowerLetter"/>
      <w:start w:val="3"/>
    </w:lvl>
  </w:abstractNum>
  <w:abstractNum w:abstractNumId="92">
    <w:nsid w:val="1A0DDE32"/>
    <w:multiLevelType w:val="hybridMultilevel"/>
    <w:lvl w:ilvl="0">
      <w:lvlJc w:val="left"/>
      <w:lvlText w:val="(%1)"/>
      <w:numFmt w:val="lowerLetter"/>
      <w:start w:val="1"/>
    </w:lvl>
  </w:abstractNum>
  <w:abstractNum w:abstractNumId="93">
    <w:nsid w:val="65968C1C"/>
    <w:multiLevelType w:val="hybridMultilevel"/>
    <w:lvl w:ilvl="0">
      <w:lvlJc w:val="left"/>
      <w:lvlText w:val="(%1)"/>
      <w:numFmt w:val="lowerLetter"/>
      <w:start w:val="2"/>
    </w:lvl>
  </w:abstractNum>
  <w:abstractNum w:abstractNumId="94">
    <w:nsid w:val="46263DEC"/>
    <w:multiLevelType w:val="hybridMultilevel"/>
    <w:lvl w:ilvl="0">
      <w:lvlJc w:val="left"/>
      <w:lvlText w:val="(%1)"/>
      <w:numFmt w:val="lowerLetter"/>
      <w:start w:val="1"/>
    </w:lvl>
    <w:lvl w:ilvl="1">
      <w:lvlJc w:val="left"/>
      <w:lvlText w:val="(%2)"/>
      <w:numFmt w:val="lowerRoman"/>
      <w:start w:val="1"/>
    </w:lvl>
  </w:abstractNum>
  <w:abstractNum w:abstractNumId="95">
    <w:nsid w:val="260D8C4A"/>
    <w:multiLevelType w:val="hybridMultilevel"/>
    <w:lvl w:ilvl="0">
      <w:lvlJc w:val="left"/>
      <w:lvlText w:val="(%1)"/>
      <w:numFmt w:val="lowerRoman"/>
      <w:start w:val="4"/>
    </w:lvl>
  </w:abstractNum>
  <w:abstractNum w:abstractNumId="96">
    <w:nsid w:val="73D4D3C4"/>
    <w:multiLevelType w:val="hybridMultilevel"/>
    <w:lvl w:ilvl="0">
      <w:lvlJc w:val="left"/>
      <w:lvlText w:val="(%1)"/>
      <w:numFmt w:val="lowerLetter"/>
      <w:start w:val="3"/>
    </w:lvl>
  </w:abstractNum>
  <w:abstractNum w:abstractNumId="97">
    <w:nsid w:val="746F2E30"/>
    <w:multiLevelType w:val="hybridMultilevel"/>
    <w:lvl w:ilvl="0">
      <w:lvlJc w:val="left"/>
      <w:lvlText w:val="(%1)"/>
      <w:numFmt w:val="lowerRoman"/>
      <w:start w:val="10"/>
    </w:lvl>
  </w:abstractNum>
  <w:abstractNum w:abstractNumId="98">
    <w:nsid w:val="6FDE8AF6"/>
    <w:multiLevelType w:val="hybridMultilevel"/>
    <w:lvl w:ilvl="0">
      <w:lvlJc w:val="left"/>
      <w:lvlText w:val="(%1)"/>
      <w:numFmt w:val="lowerLetter"/>
      <w:start w:val="1"/>
    </w:lvl>
  </w:abstractNum>
  <w:abstractNum w:abstractNumId="99">
    <w:nsid w:val="3FC32E20"/>
    <w:multiLevelType w:val="hybridMultilevel"/>
    <w:lvl w:ilvl="0">
      <w:lvlJc w:val="left"/>
      <w:lvlText w:val="(%1)"/>
      <w:numFmt w:val="lowerLetter"/>
      <w:start w:val="1"/>
    </w:lvl>
  </w:abstractNum>
  <w:abstractNum w:abstractNumId="100">
    <w:nsid w:val="49C0E823"/>
    <w:multiLevelType w:val="hybridMultilevel"/>
    <w:lvl w:ilvl="0">
      <w:lvlJc w:val="left"/>
      <w:lvlText w:val="(%1)"/>
      <w:numFmt w:val="lowerLetter"/>
      <w:start w:val="3"/>
    </w:lvl>
  </w:abstractNum>
  <w:abstractNum w:abstractNumId="101">
    <w:nsid w:val="14D53685"/>
    <w:multiLevelType w:val="hybridMultilevel"/>
    <w:lvl w:ilvl="0">
      <w:lvlJc w:val="left"/>
      <w:lvlText w:val="(%1)"/>
      <w:numFmt w:val="lowerLetter"/>
      <w:start w:val="1"/>
    </w:lvl>
  </w:abstractNum>
  <w:abstractNum w:abstractNumId="102">
    <w:nsid w:val="230F856C"/>
    <w:multiLevelType w:val="hybridMultilevel"/>
    <w:lvl w:ilvl="0">
      <w:lvlJc w:val="left"/>
      <w:lvlText w:val="(%1)"/>
      <w:numFmt w:val="lowerLetter"/>
      <w:start w:val="7"/>
    </w:lvl>
  </w:abstractNum>
  <w:abstractNum w:abstractNumId="103">
    <w:nsid w:val="6EAA85FB"/>
    <w:multiLevelType w:val="hybridMultilevel"/>
    <w:lvl w:ilvl="0">
      <w:lvlJc w:val="left"/>
      <w:lvlText w:val="(%1)"/>
      <w:numFmt w:val="lowerLetter"/>
      <w:start w:val="1"/>
    </w:lvl>
  </w:abstractNum>
  <w:abstractNum w:abstractNumId="104">
    <w:nsid w:val="3F06ECB2"/>
    <w:multiLevelType w:val="hybridMultilevel"/>
    <w:lvl w:ilvl="0">
      <w:lvlJc w:val="left"/>
      <w:lvlText w:val="(%1)"/>
      <w:numFmt w:val="decimal"/>
      <w:start w:val="3"/>
    </w:lvl>
  </w:abstractNum>
  <w:abstractNum w:abstractNumId="105">
    <w:nsid w:val="3B594807"/>
    <w:multiLevelType w:val="hybridMultilevel"/>
    <w:lvl w:ilvl="0">
      <w:lvlJc w:val="left"/>
      <w:lvlText w:val="(%1)"/>
      <w:numFmt w:val="lowerLetter"/>
      <w:start w:val="1"/>
    </w:lvl>
  </w:abstractNum>
  <w:abstractNum w:abstractNumId="106">
    <w:nsid w:val="6CAA2304"/>
    <w:multiLevelType w:val="hybridMultilevel"/>
    <w:lvl w:ilvl="0">
      <w:lvlJc w:val="left"/>
      <w:lvlText w:val="%1"/>
      <w:numFmt w:val="lowerRoman"/>
      <w:start w:val="1"/>
    </w:lvl>
    <w:lvl w:ilvl="1">
      <w:lvlJc w:val="left"/>
      <w:lvlText w:val="(%2)"/>
      <w:numFmt w:val="lowerRoman"/>
      <w:start w:val="1"/>
    </w:lvl>
  </w:abstractNum>
  <w:abstractNum w:abstractNumId="107">
    <w:nsid w:val="3F7C2FF4"/>
    <w:multiLevelType w:val="hybridMultilevel"/>
    <w:lvl w:ilvl="0">
      <w:lvlJc w:val="left"/>
      <w:lvlText w:val="(%1)"/>
      <w:numFmt w:val="lowerRoman"/>
      <w:start w:val="10"/>
    </w:lvl>
    <w:lvl w:ilvl="1">
      <w:lvlJc w:val="left"/>
      <w:lvlText w:val="(%2)"/>
      <w:numFmt w:val="lowerRoman"/>
      <w:start w:val="2"/>
    </w:lvl>
  </w:abstractNum>
  <w:abstractNum w:abstractNumId="108">
    <w:nsid w:val="25413BEC"/>
    <w:multiLevelType w:val="hybridMultilevel"/>
    <w:lvl w:ilvl="0">
      <w:lvlJc w:val="left"/>
      <w:lvlText w:val="(%1)"/>
      <w:numFmt w:val="lowerLetter"/>
      <w:start w:val="2"/>
    </w:lvl>
  </w:abstractNum>
  <w:abstractNum w:abstractNumId="109">
    <w:nsid w:val="17180B0B"/>
    <w:multiLevelType w:val="hybridMultilevel"/>
    <w:lvl w:ilvl="0">
      <w:lvlJc w:val="left"/>
      <w:lvlText w:val="(%1)"/>
      <w:numFmt w:val="lowerLetter"/>
      <w:start w:val="1"/>
    </w:lvl>
  </w:abstractNum>
  <w:abstractNum w:abstractNumId="110">
    <w:nsid w:val="579328B9"/>
    <w:multiLevelType w:val="hybridMultilevel"/>
    <w:lvl w:ilvl="0">
      <w:lvlJc w:val="left"/>
      <w:lvlText w:val="(%1)"/>
      <w:numFmt w:val="lowerLetter"/>
      <w:start w:val="1"/>
    </w:lvl>
  </w:abstractNum>
  <w:abstractNum w:abstractNumId="111">
    <w:nsid w:val="5D205E20"/>
    <w:multiLevelType w:val="hybridMultilevel"/>
    <w:lvl w:ilvl="0">
      <w:lvlJc w:val="left"/>
      <w:lvlText w:val="(%1)"/>
      <w:numFmt w:val="lowerRoman"/>
      <w:start w:val="1"/>
    </w:lvl>
  </w:abstractNum>
  <w:abstractNum w:abstractNumId="112">
    <w:nsid w:val="11CCA8BA"/>
    <w:multiLevelType w:val="hybridMultilevel"/>
    <w:lvl w:ilvl="0">
      <w:lvlJc w:val="left"/>
      <w:lvlText w:val="(%1)"/>
      <w:numFmt w:val="lowerLetter"/>
      <w:start w:val="2"/>
    </w:lvl>
  </w:abstractNum>
  <w:abstractNum w:abstractNumId="113">
    <w:nsid w:val="4D32AB86"/>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14">
    <w:nsid w:val="3F07ACC3"/>
    <w:multiLevelType w:val="hybridMultilevel"/>
    <w:lvl w:ilvl="0">
      <w:lvlJc w:val="left"/>
      <w:lvlText w:val="(%1)"/>
      <w:numFmt w:val="upperLetter"/>
      <w:start w:val="3"/>
    </w:lvl>
    <w:lvl w:ilvl="1">
      <w:lvlJc w:val="left"/>
      <w:lvlText w:val="(%2)"/>
      <w:numFmt w:val="lowerRoman"/>
      <w:start w:val="2"/>
    </w:lvl>
    <w:lvl w:ilvl="2">
      <w:lvlJc w:val="left"/>
      <w:lvlText w:val="(%3)"/>
      <w:numFmt w:val="upperLetter"/>
      <w:start w:val="1"/>
    </w:lvl>
  </w:abstractNum>
  <w:abstractNum w:abstractNumId="115">
    <w:nsid w:val="6B47F63E"/>
    <w:multiLevelType w:val="hybridMultilevel"/>
    <w:lvl w:ilvl="0">
      <w:lvlJc w:val="left"/>
      <w:lvlText w:val="(%1)"/>
      <w:numFmt w:val="upperLetter"/>
      <w:start w:val="2"/>
    </w:lvl>
    <w:lvl w:ilvl="1">
      <w:lvlJc w:val="left"/>
      <w:lvlText w:val="(%2)"/>
      <w:numFmt w:val="decimal"/>
      <w:start w:val="1"/>
    </w:lvl>
  </w:abstractNum>
  <w:abstractNum w:abstractNumId="116">
    <w:nsid w:val="5CB44A05"/>
    <w:multiLevelType w:val="hybridMultilevel"/>
    <w:lvl w:ilvl="0">
      <w:lvlJc w:val="left"/>
      <w:lvlText w:val="(%1)"/>
      <w:numFmt w:val="lowerRoman"/>
      <w:start w:val="3"/>
    </w:lvl>
  </w:abstractNum>
  <w:abstractNum w:abstractNumId="117">
    <w:nsid w:val="16CF80F1"/>
    <w:multiLevelType w:val="hybridMultilevel"/>
    <w:lvl w:ilvl="0">
      <w:lvlJc w:val="left"/>
      <w:lvlText w:val="(%1)"/>
      <w:numFmt w:val="lowerLetter"/>
      <w:start w:val="6"/>
    </w:lvl>
  </w:abstractNum>
  <w:abstractNum w:abstractNumId="118">
    <w:nsid w:val="1C695DEC"/>
    <w:multiLevelType w:val="hybridMultilevel"/>
    <w:lvl w:ilvl="0">
      <w:lvlJc w:val="left"/>
      <w:lvlText w:val="(%1)"/>
      <w:numFmt w:val="lowerLetter"/>
      <w:start w:val="1"/>
    </w:lvl>
  </w:abstractNum>
  <w:abstractNum w:abstractNumId="119">
    <w:nsid w:val="3FCFAED9"/>
    <w:multiLevelType w:val="hybridMultilevel"/>
    <w:lvl w:ilvl="0">
      <w:lvlJc w:val="left"/>
      <w:lvlText w:val="(%1)"/>
      <w:numFmt w:val="lowerLetter"/>
      <w:start w:val="1"/>
    </w:lvl>
  </w:abstractNum>
  <w:abstractNum w:abstractNumId="120">
    <w:nsid w:val="F856867"/>
    <w:multiLevelType w:val="hybridMultilevel"/>
    <w:lvl w:ilvl="0">
      <w:lvlJc w:val="left"/>
      <w:lvlText w:val="(%1)"/>
      <w:numFmt w:val="lowerLetter"/>
      <w:start w:val="3"/>
    </w:lvl>
  </w:abstractNum>
  <w:abstractNum w:abstractNumId="121">
    <w:nsid w:val="11B1CC33"/>
    <w:multiLevelType w:val="hybridMultilevel"/>
    <w:lvl w:ilvl="0">
      <w:lvlJc w:val="left"/>
      <w:lvlText w:val="(%1)"/>
      <w:numFmt w:val="lowerLetter"/>
      <w:start w:val="1"/>
    </w:lvl>
  </w:abstractNum>
  <w:abstractNum w:abstractNumId="122">
    <w:nsid w:val="2E22FBB7"/>
    <w:multiLevelType w:val="hybridMultilevel"/>
    <w:lvl w:ilvl="0">
      <w:lvlJc w:val="left"/>
      <w:lvlText w:val="(%1)"/>
      <w:numFmt w:val="lowerLetter"/>
      <w:start w:val="1"/>
    </w:lvl>
  </w:abstractNum>
  <w:abstractNum w:abstractNumId="123">
    <w:nsid w:val="29934699"/>
    <w:multiLevelType w:val="hybridMultilevel"/>
    <w:lvl w:ilvl="0">
      <w:lvlJc w:val="left"/>
      <w:lvlText w:val="(%1)"/>
      <w:numFmt w:val="lowerLetter"/>
      <w:start w:val="1"/>
    </w:lvl>
  </w:abstractNum>
  <w:abstractNum w:abstractNumId="124">
    <w:nsid w:val="77485850"/>
    <w:multiLevelType w:val="hybridMultilevel"/>
    <w:lvl w:ilvl="0">
      <w:lvlJc w:val="left"/>
      <w:lvlText w:val="(%1)"/>
      <w:numFmt w:val="lowerRoman"/>
      <w:start w:val="2"/>
    </w:lvl>
  </w:abstractNum>
  <w:abstractNum w:abstractNumId="125">
    <w:nsid w:val="744939A3"/>
    <w:multiLevelType w:val="hybridMultilevel"/>
    <w:lvl w:ilvl="0">
      <w:lvlJc w:val="left"/>
      <w:lvlText w:val="(%1)"/>
      <w:numFmt w:val="lowerLetter"/>
      <w:start w:val="1"/>
    </w:lvl>
  </w:abstractNum>
  <w:abstractNum w:abstractNumId="126">
    <w:nsid w:val="4FA0D2E3"/>
    <w:multiLevelType w:val="hybridMultilevel"/>
    <w:lvl w:ilvl="0">
      <w:lvlJc w:val="left"/>
      <w:lvlText w:val="(%1)"/>
      <w:numFmt w:val="lowerLetter"/>
      <w:start w:val="2"/>
    </w:lvl>
  </w:abstractNum>
  <w:abstractNum w:abstractNumId="127">
    <w:nsid w:val="6B1D2C14"/>
    <w:multiLevelType w:val="hybridMultilevel"/>
    <w:lvl w:ilvl="0">
      <w:lvlJc w:val="left"/>
      <w:lvlText w:val="(%1)"/>
      <w:numFmt w:val="lowerLetter"/>
      <w:start w:val="1"/>
    </w:lvl>
  </w:abstractNum>
  <w:abstractNum w:abstractNumId="128">
    <w:nsid w:val="68B867D3"/>
    <w:multiLevelType w:val="hybridMultilevel"/>
    <w:lvl w:ilvl="0">
      <w:lvlJc w:val="left"/>
      <w:lvlText w:val="(%1)"/>
      <w:numFmt w:val="lowerLetter"/>
      <w:start w:val="1"/>
    </w:lvl>
  </w:abstractNum>
  <w:abstractNum w:abstractNumId="129">
    <w:nsid w:val="3F7F5DD9"/>
    <w:multiLevelType w:val="hybridMultilevel"/>
    <w:lvl w:ilvl="0">
      <w:lvlJc w:val="left"/>
      <w:lvlText w:val="(%1)"/>
      <w:numFmt w:val="lowerLetter"/>
      <w:start w:val="2"/>
    </w:lvl>
  </w:abstractNum>
  <w:abstractNum w:abstractNumId="130">
    <w:nsid w:val="2AE05A34"/>
    <w:multiLevelType w:val="hybridMultilevel"/>
    <w:lvl w:ilvl="0">
      <w:lvlJc w:val="left"/>
      <w:lvlText w:val="(%1)"/>
      <w:numFmt w:val="lowerLetter"/>
      <w:start w:val="1"/>
    </w:lvl>
  </w:abstractNum>
  <w:abstractNum w:abstractNumId="131">
    <w:nsid w:val="32794FF7"/>
    <w:multiLevelType w:val="hybridMultilevel"/>
    <w:lvl w:ilvl="0">
      <w:lvlJc w:val="left"/>
      <w:lvlText w:val="(%1)"/>
      <w:numFmt w:val="lowerLetter"/>
      <w:start w:val="1"/>
    </w:lvl>
  </w:abstractNum>
  <w:abstractNum w:abstractNumId="132">
    <w:nsid w:val="5454945E"/>
    <w:multiLevelType w:val="hybridMultilevel"/>
    <w:lvl w:ilvl="0">
      <w:lvlJc w:val="left"/>
      <w:lvlText w:val="(%1)"/>
      <w:numFmt w:val="lowerLetter"/>
      <w:start w:val="2"/>
    </w:lvl>
  </w:abstractNum>
  <w:abstractNum w:abstractNumId="133">
    <w:nsid w:val="4DEFDFA0"/>
    <w:multiLevelType w:val="hybridMultilevel"/>
    <w:lvl w:ilvl="0">
      <w:lvlJc w:val="left"/>
      <w:lvlText w:val="(%1)"/>
      <w:numFmt w:val="lowerLetter"/>
      <w:start w:val="1"/>
    </w:lvl>
  </w:abstractNum>
  <w:abstractNum w:abstractNumId="134">
    <w:nsid w:val="2123D5F2"/>
    <w:multiLevelType w:val="hybridMultilevel"/>
    <w:lvl w:ilvl="0">
      <w:lvlJc w:val="left"/>
      <w:lvlText w:val="(%1)"/>
      <w:numFmt w:val="lowerLetter"/>
      <w:start w:val="3"/>
    </w:lvl>
    <w:lvl w:ilvl="1">
      <w:lvlJc w:val="left"/>
      <w:lvlText w:val="(%2)"/>
      <w:numFmt w:val="lowerRoman"/>
      <w:start w:val="1"/>
    </w:lvl>
  </w:abstractNum>
  <w:abstractNum w:abstractNumId="135">
    <w:nsid w:val="135B8110"/>
    <w:multiLevelType w:val="hybridMultilevel"/>
    <w:lvl w:ilvl="0">
      <w:lvlJc w:val="left"/>
      <w:lvlText w:val="(%1)"/>
      <w:numFmt w:val="lowerLetter"/>
      <w:start w:val="7"/>
    </w:lvl>
  </w:abstractNum>
  <w:abstractNum w:abstractNumId="136">
    <w:nsid w:val="94927A8"/>
    <w:multiLevelType w:val="hybridMultilevel"/>
    <w:lvl w:ilvl="0">
      <w:lvlJc w:val="left"/>
      <w:lvlText w:val="(%1)"/>
      <w:numFmt w:val="upperLetter"/>
      <w:start w:val="2"/>
    </w:lvl>
  </w:abstractNum>
  <w:abstractNum w:abstractNumId="137">
    <w:nsid w:val="DCDF8F6"/>
    <w:multiLevelType w:val="hybridMultilevel"/>
    <w:lvl w:ilvl="0">
      <w:lvlJc w:val="left"/>
      <w:lvlText w:val="(%1)"/>
      <w:numFmt w:val="lowerLetter"/>
      <w:start w:val="1"/>
    </w:lvl>
  </w:abstractNum>
  <w:abstractNum w:abstractNumId="138">
    <w:nsid w:val="52D7B105"/>
    <w:multiLevelType w:val="hybridMultilevel"/>
    <w:lvl w:ilvl="0">
      <w:lvlJc w:val="left"/>
      <w:lvlText w:val="(%1)"/>
      <w:numFmt w:val="lowerLetter"/>
      <w:start w:val="1"/>
    </w:lvl>
  </w:abstractNum>
  <w:abstractNum w:abstractNumId="139">
    <w:nsid w:val="2E8A6394"/>
    <w:multiLevelType w:val="hybridMultilevel"/>
    <w:lvl w:ilvl="0">
      <w:lvlJc w:val="left"/>
      <w:lvlText w:val="%1"/>
      <w:numFmt w:val="lowerLetter"/>
      <w:start w:val="1"/>
    </w:lvl>
    <w:lvl w:ilvl="1">
      <w:lvlJc w:val="left"/>
      <w:lvlText w:val="(%2)"/>
      <w:numFmt w:val="lowerLetter"/>
      <w:start w:val="3"/>
    </w:lvl>
  </w:abstractNum>
  <w:abstractNum w:abstractNumId="140">
    <w:nsid w:val="24E60401"/>
    <w:multiLevelType w:val="hybridMultilevel"/>
    <w:lvl w:ilvl="0">
      <w:lvlJc w:val="left"/>
      <w:lvlText w:val="(%1)"/>
      <w:numFmt w:val="lowerLetter"/>
      <w:start w:val="35"/>
    </w:lvl>
    <w:lvl w:ilvl="1">
      <w:lvlJc w:val="left"/>
      <w:lvlText w:val="%2"/>
      <w:numFmt w:val="lowerLetter"/>
      <w:start w:val="1"/>
    </w:lvl>
  </w:abstractNum>
  <w:abstractNum w:abstractNumId="141">
    <w:nsid w:val="2A6AD9BE"/>
    <w:multiLevelType w:val="hybridMultilevel"/>
    <w:lvl w:ilvl="0">
      <w:lvlJc w:val="left"/>
      <w:lvlText w:val="(%1)"/>
      <w:numFmt w:val="lowerLetter"/>
      <w:start w:val="27"/>
    </w:lvl>
    <w:lvl w:ilvl="1">
      <w:lvlJc w:val="left"/>
      <w:lvlText w:val="(%2)"/>
      <w:numFmt w:val="lowerLetter"/>
      <w:start w:val="4"/>
    </w:lvl>
  </w:abstractNum>
  <w:abstractNum w:abstractNumId="142">
    <w:nsid w:val="BAAC1B4"/>
    <w:multiLevelType w:val="hybridMultilevel"/>
    <w:lvl w:ilvl="0">
      <w:lvlJc w:val="left"/>
      <w:lvlText w:val="(%1)"/>
      <w:numFmt w:val="lowerLetter"/>
      <w:start w:val="1"/>
    </w:lvl>
  </w:abstractNum>
  <w:abstractNum w:abstractNumId="143">
    <w:nsid w:val="36B2ACBC"/>
    <w:multiLevelType w:val="hybridMultilevel"/>
    <w:lvl w:ilvl="0">
      <w:lvlJc w:val="left"/>
      <w:lvlText w:val="(%1)"/>
      <w:numFmt w:val="lowerLetter"/>
      <w:start w:val="7"/>
    </w:lvl>
  </w:abstractNum>
  <w:abstractNum w:abstractNumId="144">
    <w:nsid w:val="779D8544"/>
    <w:multiLevelType w:val="hybridMultilevel"/>
    <w:lvl w:ilvl="0">
      <w:lvlJc w:val="left"/>
      <w:lvlText w:val="%1"/>
      <w:numFmt w:val="decimal"/>
      <w:start w:val="1"/>
    </w:lvl>
    <w:lvl w:ilvl="1">
      <w:lvlJc w:val="left"/>
      <w:lvlText w:val="(%2)"/>
      <w:numFmt w:val="lowerLetter"/>
      <w:start w:val="13"/>
    </w:lvl>
  </w:abstractNum>
  <w:abstractNum w:abstractNumId="145">
    <w:nsid w:val="4AB26E78"/>
    <w:multiLevelType w:val="hybridMultilevel"/>
    <w:lvl w:ilvl="0">
      <w:lvlJc w:val="left"/>
      <w:lvlText w:val="(%1)"/>
      <w:numFmt w:val="decimal"/>
      <w:start w:val="3"/>
    </w:lvl>
    <w:lvl w:ilvl="1">
      <w:lvlJc w:val="left"/>
      <w:lvlText w:val="(%2)"/>
      <w:numFmt w:val="lowerLetter"/>
      <w:start w:val="14"/>
    </w:lvl>
  </w:abstractNum>
  <w:abstractNum w:abstractNumId="146">
    <w:nsid w:val="21FAA2FA"/>
    <w:multiLevelType w:val="hybridMultilevel"/>
    <w:lvl w:ilvl="0">
      <w:lvlJc w:val="left"/>
      <w:lvlText w:val="(%1)"/>
      <w:numFmt w:val="lowerLetter"/>
      <w:start w:val="19"/>
    </w:lvl>
  </w:abstractNum>
  <w:abstractNum w:abstractNumId="147">
    <w:nsid w:val="5451CF49"/>
    <w:multiLevelType w:val="hybridMultilevel"/>
    <w:lvl w:ilvl="0">
      <w:lvlJc w:val="left"/>
      <w:lvlText w:val="(%1)"/>
      <w:numFmt w:val="lowerLetter"/>
      <w:start w:val="1"/>
    </w:lvl>
    <w:lvl w:ilvl="1">
      <w:lvlJc w:val="left"/>
      <w:lvlText w:val="(%2)"/>
      <w:numFmt w:val="lowerRoman"/>
      <w:start w:val="1"/>
    </w:lvl>
  </w:abstractNum>
  <w:abstractNum w:abstractNumId="148">
    <w:nsid w:val="6181EF69"/>
    <w:multiLevelType w:val="hybridMultilevel"/>
    <w:lvl w:ilvl="0">
      <w:lvlJc w:val="left"/>
      <w:lvlText w:val="(%1)"/>
      <w:numFmt w:val="lowerLetter"/>
      <w:start w:val="1"/>
    </w:lvl>
  </w:abstractNum>
  <w:abstractNum w:abstractNumId="149">
    <w:nsid w:val="3E6400E6"/>
    <w:multiLevelType w:val="hybridMultilevel"/>
    <w:lvl w:ilvl="0">
      <w:lvlJc w:val="left"/>
      <w:lvlText w:val="(%1)"/>
      <w:numFmt w:val="lowerLetter"/>
      <w:start w:val="5"/>
    </w:lvl>
  </w:abstractNum>
  <w:abstractNum w:abstractNumId="150">
    <w:nsid w:val="14217E23"/>
    <w:multiLevelType w:val="hybridMultilevel"/>
    <w:lvl w:ilvl="0">
      <w:lvlJc w:val="left"/>
      <w:lvlText w:val="(%1)"/>
      <w:numFmt w:val="lowerLetter"/>
      <w:start w:val="1"/>
    </w:lvl>
    <w:lvl w:ilvl="1">
      <w:lvlJc w:val="left"/>
      <w:lvlText w:val="(%2)"/>
      <w:numFmt w:val="lowerRoman"/>
      <w:start w:val="1"/>
    </w:lvl>
  </w:abstractNum>
  <w:abstractNum w:abstractNumId="151">
    <w:nsid w:val="710757D0"/>
    <w:multiLevelType w:val="hybridMultilevel"/>
    <w:lvl w:ilvl="0">
      <w:lvlJc w:val="left"/>
      <w:lvlText w:val="(%1)"/>
      <w:numFmt w:val="lowerRoman"/>
      <w:start w:val="1"/>
    </w:lvl>
  </w:abstractNum>
  <w:abstractNum w:abstractNumId="152">
    <w:nsid w:val="5015CD1A"/>
    <w:multiLevelType w:val="hybridMultilevel"/>
    <w:lvl w:ilvl="0">
      <w:lvlJc w:val="left"/>
      <w:lvlText w:val="(%1)"/>
      <w:numFmt w:val="lowerLetter"/>
      <w:start w:val="3"/>
    </w:lvl>
  </w:abstractNum>
  <w:abstractNum w:abstractNumId="153">
    <w:nsid w:val="424479D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54">
    <w:nsid w:val="1A9A9E69"/>
    <w:multiLevelType w:val="hybridMultilevel"/>
    <w:lvl w:ilvl="0">
      <w:lvlJc w:val="left"/>
      <w:lvlText w:val="(%1)"/>
      <w:numFmt w:val="decimal"/>
      <w:start w:val="4"/>
    </w:lvl>
  </w:abstractNum>
  <w:abstractNum w:abstractNumId="155">
    <w:nsid w:val="475E256A"/>
    <w:multiLevelType w:val="hybridMultilevel"/>
    <w:lvl w:ilvl="0">
      <w:lvlJc w:val="left"/>
      <w:lvlText w:val="(%1)"/>
      <w:numFmt w:val="lowerRoman"/>
      <w:start w:val="1"/>
    </w:lvl>
    <w:lvl w:ilvl="1">
      <w:lvlJc w:val="left"/>
      <w:lvlText w:val="(%2)"/>
      <w:numFmt w:val="upperLetter"/>
      <w:start w:val="1"/>
    </w:lvl>
  </w:abstractNum>
  <w:abstractNum w:abstractNumId="156">
    <w:nsid w:val="368DB37E"/>
    <w:multiLevelType w:val="hybridMultilevel"/>
    <w:lvl w:ilvl="0">
      <w:lvlJc w:val="left"/>
      <w:lvlText w:val="%1"/>
      <w:numFmt w:val="lowerRoman"/>
      <w:start w:val="1"/>
    </w:lvl>
    <w:lvl w:ilvl="1">
      <w:lvlJc w:val="left"/>
      <w:lvlText w:val="(%2)"/>
      <w:numFmt w:val="upperLetter"/>
      <w:start w:val="3"/>
    </w:lvl>
  </w:abstractNum>
  <w:abstractNum w:abstractNumId="157">
    <w:nsid w:val="6A3B714C"/>
    <w:multiLevelType w:val="hybridMultilevel"/>
    <w:lvl w:ilvl="0">
      <w:lvlJc w:val="left"/>
      <w:lvlText w:val="(%1)"/>
      <w:numFmt w:val="lowerRoman"/>
      <w:start w:val="2"/>
    </w:lvl>
    <w:lvl w:ilvl="1">
      <w:lvlJc w:val="left"/>
      <w:lvlText w:val="(%2)"/>
      <w:numFmt w:val="upperLetter"/>
      <w:start w:val="4"/>
    </w:lvl>
  </w:abstractNum>
  <w:abstractNum w:abstractNumId="158">
    <w:nsid w:val="327B517E"/>
    <w:multiLevelType w:val="hybridMultilevel"/>
    <w:lvl w:ilvl="0">
      <w:lvlJc w:val="left"/>
      <w:lvlText w:val="(%1)"/>
      <w:numFmt w:val="lowerLetter"/>
      <w:start w:val="2"/>
    </w:lvl>
    <w:lvl w:ilvl="1">
      <w:lvlJc w:val="left"/>
      <w:lvlText w:val="(%2)"/>
      <w:numFmt w:val="decimal"/>
      <w:start w:val="1"/>
    </w:lvl>
  </w:abstractNum>
  <w:abstractNum w:abstractNumId="159">
    <w:nsid w:val="1F461B51"/>
    <w:multiLevelType w:val="hybridMultilevel"/>
    <w:lvl w:ilvl="0">
      <w:lvlJc w:val="left"/>
      <w:lvlText w:val="(%1)"/>
      <w:numFmt w:val="decimal"/>
      <w:start w:val="4"/>
    </w:lvl>
  </w:abstractNum>
  <w:abstractNum w:abstractNumId="160">
    <w:nsid w:val="29BACF25"/>
    <w:multiLevelType w:val="hybridMultilevel"/>
    <w:lvl w:ilvl="0">
      <w:lvlJc w:val="left"/>
      <w:lvlText w:val="(%1)"/>
      <w:numFmt w:val="decimal"/>
      <w:start w:val="7"/>
    </w:lvl>
  </w:abstractNum>
  <w:abstractNum w:abstractNumId="161">
    <w:nsid w:val="5D5BABB3"/>
    <w:multiLevelType w:val="hybridMultilevel"/>
    <w:lvl w:ilvl="0">
      <w:lvlJc w:val="left"/>
      <w:lvlText w:val="(%1)"/>
      <w:numFmt w:val="decimal"/>
      <w:start w:val="15"/>
    </w:lvl>
  </w:abstractNum>
  <w:abstractNum w:abstractNumId="162">
    <w:nsid w:val="51BF6B48"/>
    <w:multiLevelType w:val="hybridMultilevel"/>
    <w:lvl w:ilvl="0">
      <w:lvlJc w:val="left"/>
      <w:lvlText w:val="(%1)"/>
      <w:numFmt w:val="lowerLetter"/>
      <w:start w:val="1"/>
    </w:lvl>
  </w:abstractNum>
  <w:abstractNum w:abstractNumId="163">
    <w:nsid w:val="7E0F6384"/>
    <w:multiLevelType w:val="hybridMultilevel"/>
    <w:lvl w:ilvl="0">
      <w:lvlJc w:val="left"/>
      <w:lvlText w:val="(%1)"/>
      <w:numFmt w:val="lowerRoman"/>
      <w:start w:val="1"/>
    </w:lvl>
  </w:abstractNum>
  <w:abstractNum w:abstractNumId="164">
    <w:nsid w:val="2B4B8B53"/>
    <w:multiLevelType w:val="hybridMultilevel"/>
    <w:lvl w:ilvl="0">
      <w:lvlJc w:val="left"/>
      <w:lvlText w:val="(%1)"/>
      <w:numFmt w:val="lowerRoman"/>
      <w:start w:val="6"/>
    </w:lvl>
  </w:abstractNum>
  <w:abstractNum w:abstractNumId="165">
    <w:nsid w:val="72E3413A"/>
    <w:multiLevelType w:val="hybridMultilevel"/>
    <w:lvl w:ilvl="0">
      <w:lvlJc w:val="left"/>
      <w:lvlText w:val="(%1)"/>
      <w:numFmt w:val="lowerRoman"/>
      <w:start w:val="1"/>
    </w:lvl>
  </w:abstractNum>
  <w:abstractNum w:abstractNumId="166">
    <w:nsid w:val="116AE494"/>
    <w:multiLevelType w:val="hybridMultilevel"/>
    <w:lvl w:ilvl="0">
      <w:lvlJc w:val="left"/>
      <w:lvlText w:val="(%1)"/>
      <w:numFmt w:val="lowerRoman"/>
      <w:start w:val="2"/>
    </w:lvl>
  </w:abstractNum>
  <w:abstractNum w:abstractNumId="167">
    <w:nsid w:val="3494B2FB"/>
    <w:multiLevelType w:val="hybridMultilevel"/>
    <w:lvl w:ilvl="0">
      <w:lvlJc w:val="left"/>
      <w:lvlText w:val="(%1)"/>
      <w:numFmt w:val="lowerLetter"/>
      <w:start w:val="1"/>
    </w:lvl>
  </w:abstractNum>
  <w:abstractNum w:abstractNumId="168">
    <w:nsid w:val="B13A31"/>
    <w:multiLevelType w:val="hybridMultilevel"/>
    <w:lvl w:ilvl="0">
      <w:lvlJc w:val="left"/>
      <w:lvlText w:val="(%1)"/>
      <w:numFmt w:val="lowerLetter"/>
      <w:start w:val="2"/>
    </w:lvl>
  </w:abstractNum>
  <w:abstractNum w:abstractNumId="169">
    <w:nsid w:val="64429599"/>
    <w:multiLevelType w:val="hybridMultilevel"/>
    <w:lvl w:ilvl="0">
      <w:lvlJc w:val="left"/>
      <w:lvlText w:val="(%1)"/>
      <w:numFmt w:val="lowerLetter"/>
      <w:start w:val="2"/>
    </w:lvl>
  </w:abstractNum>
  <w:abstractNum w:abstractNumId="170">
    <w:nsid w:val="631F1690"/>
    <w:multiLevelType w:val="hybridMultilevel"/>
    <w:lvl w:ilvl="0">
      <w:lvlJc w:val="left"/>
      <w:lvlText w:val="(%1)"/>
      <w:numFmt w:val="lowerRoman"/>
      <w:start w:val="1"/>
    </w:lvl>
  </w:abstractNum>
  <w:abstractNum w:abstractNumId="171">
    <w:nsid w:val="25973E32"/>
    <w:multiLevelType w:val="hybridMultilevel"/>
    <w:lvl w:ilvl="0">
      <w:lvlJc w:val="left"/>
      <w:lvlText w:val="(%1)"/>
      <w:numFmt w:val="lowerRoman"/>
      <w:start w:val="3"/>
    </w:lvl>
  </w:abstractNum>
  <w:abstractNum w:abstractNumId="172">
    <w:nsid w:val="EAD6F57"/>
    <w:multiLevelType w:val="hybridMultilevel"/>
    <w:lvl w:ilvl="0">
      <w:lvlJc w:val="left"/>
      <w:lvlText w:val="(%1)"/>
      <w:numFmt w:val="lowerLetter"/>
      <w:start w:val="1"/>
    </w:lvl>
  </w:abstractNum>
  <w:abstractNum w:abstractNumId="173">
    <w:nsid w:val="6EC9D844"/>
    <w:multiLevelType w:val="hybridMultilevel"/>
    <w:lvl w:ilvl="0">
      <w:lvlJc w:val="left"/>
      <w:lvlText w:val="(%1)"/>
      <w:numFmt w:val="lowerLetter"/>
      <w:start w:val="1"/>
    </w:lvl>
  </w:abstractNum>
  <w:abstractNum w:abstractNumId="174">
    <w:nsid w:val="5C49EAEE"/>
    <w:multiLevelType w:val="hybridMultilevel"/>
    <w:lvl w:ilvl="0">
      <w:lvlJc w:val="left"/>
      <w:lvlText w:val="(%1)"/>
      <w:numFmt w:val="lowerLetter"/>
      <w:start w:val="1"/>
    </w:lvl>
  </w:abstractNum>
  <w:abstractNum w:abstractNumId="175">
    <w:nsid w:val="64AF49B"/>
    <w:multiLevelType w:val="hybridMultilevel"/>
    <w:lvl w:ilvl="0">
      <w:lvlJc w:val="left"/>
      <w:lvlText w:val="%1"/>
      <w:numFmt w:val="lowerLetter"/>
      <w:start w:val="1"/>
    </w:lvl>
    <w:lvl w:ilvl="1">
      <w:lvlJc w:val="left"/>
      <w:lvlText w:val="(%2)"/>
      <w:numFmt w:val="lowerLetter"/>
      <w:start w:val="4"/>
    </w:lvl>
  </w:abstractNum>
  <w:abstractNum w:abstractNumId="176">
    <w:nsid w:val="397C46BC"/>
    <w:multiLevelType w:val="hybridMultilevel"/>
    <w:lvl w:ilvl="0">
      <w:lvlJc w:val="left"/>
      <w:lvlText w:val="(%1)"/>
      <w:numFmt w:val="lowerLetter"/>
      <w:start w:val="2"/>
    </w:lvl>
    <w:lvl w:ilvl="1">
      <w:lvlJc w:val="left"/>
      <w:lvlText w:val="%2"/>
      <w:numFmt w:val="lowerLetter"/>
      <w:start w:val="1"/>
    </w:lvl>
  </w:abstractNum>
  <w:abstractNum w:abstractNumId="177">
    <w:nsid w:val="7E448DE9"/>
    <w:multiLevelType w:val="hybridMultilevel"/>
    <w:lvl w:ilvl="0">
      <w:lvlJc w:val="left"/>
      <w:lvlText w:val="(%1)"/>
      <w:numFmt w:val="lowerLetter"/>
      <w:start w:val="1"/>
    </w:lvl>
    <w:lvl w:ilvl="1">
      <w:lvlJc w:val="left"/>
      <w:lvlText w:val="(%2)"/>
      <w:numFmt w:val="lowerRoman"/>
      <w:start w:val="1"/>
    </w:lvl>
  </w:abstractNum>
  <w:abstractNum w:abstractNumId="178">
    <w:nsid w:val="5A9CC3E5"/>
    <w:multiLevelType w:val="hybridMultilevel"/>
    <w:lvl w:ilvl="0">
      <w:lvlJc w:val="left"/>
      <w:lvlText w:val="(%1)"/>
      <w:numFmt w:val="lowerLetter"/>
      <w:start w:val="7"/>
    </w:lvl>
    <w:lvl w:ilvl="1">
      <w:lvlJc w:val="left"/>
      <w:lvlText w:val="(%2)"/>
      <w:numFmt w:val="lowerRoman"/>
      <w:start w:val="4"/>
    </w:lvl>
  </w:abstractNum>
  <w:abstractNum w:abstractNumId="179">
    <w:nsid w:val="1AFE3625"/>
    <w:multiLevelType w:val="hybridMultilevel"/>
    <w:lvl w:ilvl="0">
      <w:lvlJc w:val="left"/>
      <w:lvlText w:val="(%1)"/>
      <w:numFmt w:val="lowerLetter"/>
      <w:start w:val="2"/>
    </w:lvl>
    <w:lvl w:ilvl="1">
      <w:lvlJc w:val="left"/>
      <w:lvlText w:val="%2"/>
      <w:numFmt w:val="lowerRoman"/>
      <w:start w:val="1"/>
    </w:lvl>
  </w:abstractNum>
  <w:abstractNum w:abstractNumId="180">
    <w:nsid w:val="3CA88ECF"/>
    <w:multiLevelType w:val="hybridMultilevel"/>
    <w:lvl w:ilvl="0">
      <w:lvlJc w:val="left"/>
      <w:lvlText w:val="(%1)"/>
      <w:numFmt w:val="lowerLetter"/>
      <w:start w:val="1"/>
    </w:lvl>
  </w:abstractNum>
  <w:abstractNum w:abstractNumId="181">
    <w:nsid w:val="6EBE4208"/>
    <w:multiLevelType w:val="hybridMultilevel"/>
    <w:lvl w:ilvl="0">
      <w:lvlJc w:val="left"/>
      <w:lvlText w:val="(%1)"/>
      <w:numFmt w:val="lowerRoman"/>
      <w:start w:val="2"/>
    </w:lvl>
  </w:abstractNum>
  <w:abstractNum w:abstractNumId="182">
    <w:nsid w:val="C058DF5"/>
    <w:multiLevelType w:val="hybridMultilevel"/>
    <w:lvl w:ilvl="0">
      <w:lvlJc w:val="left"/>
      <w:lvlText w:val="(%1)"/>
      <w:numFmt w:val="lowerLetter"/>
      <w:start w:val="1"/>
    </w:lvl>
  </w:abstractNum>
  <w:abstractNum w:abstractNumId="183">
    <w:nsid w:val="CBE5BE9"/>
    <w:multiLevelType w:val="hybridMultilevel"/>
    <w:lvl w:ilvl="0">
      <w:lvlJc w:val="left"/>
      <w:lvlText w:val="(%1)"/>
      <w:numFmt w:val="lowerLetter"/>
      <w:start w:val="3"/>
    </w:lvl>
  </w:abstractNum>
  <w:abstractNum w:abstractNumId="184">
    <w:nsid w:val="3102BBE2"/>
    <w:multiLevelType w:val="hybridMultilevel"/>
    <w:lvl w:ilvl="0">
      <w:lvlJc w:val="left"/>
      <w:lvlText w:val="(%1)"/>
      <w:numFmt w:val="lowerLetter"/>
      <w:start w:val="1"/>
    </w:lvl>
    <w:lvl w:ilvl="1">
      <w:lvlJc w:val="left"/>
      <w:lvlText w:val="(%2)"/>
      <w:numFmt w:val="upperLetter"/>
      <w:start w:val="1"/>
    </w:lvl>
  </w:abstractNum>
  <w:abstractNum w:abstractNumId="185">
    <w:nsid w:val="26A02C5E"/>
    <w:multiLevelType w:val="hybridMultilevel"/>
    <w:lvl w:ilvl="0">
      <w:lvlJc w:val="left"/>
      <w:lvlText w:val="(%1)"/>
      <w:numFmt w:val="lowerRoman"/>
      <w:start w:val="2"/>
    </w:lvl>
    <w:lvl w:ilvl="1">
      <w:lvlJc w:val="left"/>
      <w:lvlText w:val="(%2)"/>
      <w:numFmt w:val="upperLetter"/>
      <w:start w:val="1"/>
    </w:lvl>
  </w:abstractNum>
  <w:abstractNum w:abstractNumId="186">
    <w:nsid w:val="541C8153"/>
    <w:multiLevelType w:val="hybridMultilevel"/>
    <w:lvl w:ilvl="0">
      <w:lvlJc w:val="left"/>
      <w:lvlText w:val="%1"/>
      <w:numFmt w:val="lowerRoman"/>
      <w:start w:val="1"/>
    </w:lvl>
    <w:lvl w:ilvl="1">
      <w:lvlJc w:val="left"/>
      <w:lvlText w:val="(%2)"/>
      <w:numFmt w:val="upperLetter"/>
      <w:start w:val="2"/>
    </w:lvl>
  </w:abstractNum>
  <w:abstractNum w:abstractNumId="187">
    <w:nsid w:val="67906F60"/>
    <w:multiLevelType w:val="hybridMultilevel"/>
    <w:lvl w:ilvl="0">
      <w:lvlJc w:val="left"/>
      <w:lvlText w:val="(%1)"/>
      <w:numFmt w:val="lowerRoman"/>
      <w:start w:val="3"/>
    </w:lvl>
    <w:lvl w:ilvl="1">
      <w:lvlJc w:val="left"/>
      <w:lvlText w:val="%2"/>
      <w:numFmt w:val="upperLetter"/>
      <w:start w:val="1"/>
    </w:lvl>
  </w:abstractNum>
  <w:abstractNum w:abstractNumId="188">
    <w:nsid w:val="10DB9DAA"/>
    <w:multiLevelType w:val="hybridMultilevel"/>
    <w:lvl w:ilvl="0">
      <w:lvlJc w:val="left"/>
      <w:lvlText w:val="(%1)"/>
      <w:numFmt w:val="lowerLetter"/>
      <w:start w:val="3"/>
    </w:lvl>
  </w:abstractNum>
  <w:abstractNum w:abstractNumId="189">
    <w:nsid w:val="697D2D2"/>
    <w:multiLevelType w:val="hybridMultilevel"/>
    <w:lvl w:ilvl="0">
      <w:lvlJc w:val="left"/>
      <w:lvlText w:val="(%1)"/>
      <w:numFmt w:val="lowerRoman"/>
      <w:start w:val="2"/>
    </w:lvl>
  </w:abstractNum>
  <w:abstractNum w:abstractNumId="190">
    <w:nsid w:val="6D68AB2"/>
    <w:multiLevelType w:val="hybridMultilevel"/>
    <w:lvl w:ilvl="0">
      <w:lvlJc w:val="left"/>
      <w:lvlText w:val="(%1)"/>
      <w:numFmt w:val="lowerLetter"/>
      <w:start w:val="4"/>
    </w:lvl>
  </w:abstractNum>
  <w:abstractNum w:abstractNumId="191">
    <w:nsid w:val="3A966CD0"/>
    <w:multiLevelType w:val="hybridMultilevel"/>
    <w:lvl w:ilvl="0">
      <w:lvlJc w:val="left"/>
      <w:lvlText w:val="(%1)"/>
      <w:numFmt w:val="lowerLetter"/>
      <w:start w:val="6"/>
    </w:lvl>
  </w:abstractNum>
  <w:abstractNum w:abstractNumId="192">
    <w:nsid w:val="63F37E85"/>
    <w:multiLevelType w:val="hybridMultilevel"/>
    <w:lvl w:ilvl="0">
      <w:lvlJc w:val="left"/>
      <w:lvlText w:val="(%1)"/>
      <w:numFmt w:val="lowerLetter"/>
      <w:start w:val="1"/>
    </w:lvl>
  </w:abstractNum>
  <w:abstractNum w:abstractNumId="193">
    <w:nsid w:val="5895F5FA"/>
    <w:multiLevelType w:val="hybridMultilevel"/>
    <w:lvl w:ilvl="0">
      <w:lvlJc w:val="left"/>
      <w:lvlText w:val="(%1)"/>
      <w:numFmt w:val="lowerLetter"/>
      <w:start w:val="1"/>
    </w:lvl>
  </w:abstractNum>
  <w:abstractNum w:abstractNumId="194">
    <w:nsid w:val="38A5D054"/>
    <w:multiLevelType w:val="hybridMultilevel"/>
    <w:lvl w:ilvl="0">
      <w:lvlJc w:val="left"/>
      <w:lvlText w:val="(%1)"/>
      <w:numFmt w:val="lowerLetter"/>
      <w:start w:val="2"/>
    </w:lvl>
  </w:abstractNum>
  <w:abstractNum w:abstractNumId="195">
    <w:nsid w:val="F3F09D8"/>
    <w:multiLevelType w:val="hybridMultilevel"/>
    <w:lvl w:ilvl="0">
      <w:lvlJc w:val="left"/>
      <w:lvlText w:val="(%1)"/>
      <w:numFmt w:val="lowerLetter"/>
      <w:start w:val="1"/>
    </w:lvl>
  </w:abstractNum>
  <w:abstractNum w:abstractNumId="196">
    <w:nsid w:val="4B793735"/>
    <w:multiLevelType w:val="hybridMultilevel"/>
    <w:lvl w:ilvl="0">
      <w:lvlJc w:val="left"/>
      <w:lvlText w:val="(%1)"/>
      <w:numFmt w:val="lowerLetter"/>
      <w:start w:val="4"/>
    </w:lvl>
  </w:abstractNum>
  <w:abstractNum w:abstractNumId="197">
    <w:nsid w:val="4A10B4E8"/>
    <w:multiLevelType w:val="hybridMultilevel"/>
    <w:lvl w:ilvl="0">
      <w:lvlJc w:val="left"/>
      <w:lvlText w:val="(%1)"/>
      <w:numFmt w:val="lowerLetter"/>
      <w:start w:val="1"/>
    </w:lvl>
  </w:abstractNum>
  <w:abstractNum w:abstractNumId="198">
    <w:nsid w:val="43D3BCD4"/>
    <w:multiLevelType w:val="hybridMultilevel"/>
    <w:lvl w:ilvl="0">
      <w:lvlJc w:val="left"/>
      <w:lvlText w:val="(%1)"/>
      <w:numFmt w:val="lowerRoman"/>
      <w:start w:val="2"/>
    </w:lvl>
  </w:abstractNum>
  <w:abstractNum w:abstractNumId="199">
    <w:nsid w:val="4C2A7166"/>
    <w:multiLevelType w:val="hybridMultilevel"/>
    <w:lvl w:ilvl="0">
      <w:lvlJc w:val="left"/>
      <w:lvlText w:val="(%1)"/>
      <w:numFmt w:val="lowerLetter"/>
      <w:start w:val="3"/>
    </w:lvl>
  </w:abstractNum>
  <w:abstractNum w:abstractNumId="200">
    <w:nsid w:val="2E534A82"/>
    <w:multiLevelType w:val="hybridMultilevel"/>
    <w:lvl w:ilvl="0">
      <w:lvlJc w:val="left"/>
      <w:lvlText w:val="(%1)"/>
      <w:numFmt w:val="lowerLetter"/>
      <w:start w:val="1"/>
    </w:lvl>
  </w:abstractNum>
  <w:abstractNum w:abstractNumId="201">
    <w:nsid w:val="26F2D364"/>
    <w:multiLevelType w:val="hybridMultilevel"/>
    <w:lvl w:ilvl="0">
      <w:lvlJc w:val="left"/>
      <w:lvlText w:val="(%1)"/>
      <w:numFmt w:val="lowerLetter"/>
      <w:start w:val="3"/>
    </w:lvl>
  </w:abstractNum>
  <w:abstractNum w:abstractNumId="202">
    <w:nsid w:val="71C1AF98"/>
    <w:multiLevelType w:val="hybridMultilevel"/>
    <w:lvl w:ilvl="0">
      <w:lvlJc w:val="left"/>
      <w:lvlText w:val="(%1)"/>
      <w:numFmt w:val="lowerLetter"/>
      <w:start w:val="1"/>
    </w:lvl>
    <w:lvl w:ilvl="1">
      <w:lvlJc w:val="left"/>
      <w:lvlText w:val="(%2)"/>
      <w:numFmt w:val="lowerRoman"/>
      <w:start w:val="1"/>
    </w:lvl>
  </w:abstractNum>
  <w:abstractNum w:abstractNumId="203">
    <w:nsid w:val="3D00B9D9"/>
    <w:multiLevelType w:val="hybridMultilevel"/>
    <w:lvl w:ilvl="0">
      <w:lvlJc w:val="left"/>
      <w:lvlText w:val="(%1)"/>
      <w:numFmt w:val="lowerLetter"/>
      <w:start w:val="1"/>
    </w:lvl>
  </w:abstractNum>
  <w:abstractNum w:abstractNumId="204">
    <w:nsid w:val="15BCABA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2019-12-28T09:59:06Z</dcterms:created>
  <dcterms:modified xsi:type="dcterms:W3CDTF">2019-12-28T09:59:06Z</dcterms:modified>
</cp:coreProperties>
</file>