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SCHEDULE 13G*</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5)*</w:t>
      </w: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August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20" w:right="9380" w:firstLine="5"/>
        <w:spacing w:after="0" w:line="232" w:lineRule="exact"/>
        <w:tabs>
          <w:tab w:leader="none" w:pos="79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7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766445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5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gridSpan w:val="2"/>
          </w:tcPr>
          <w:p>
            <w:pPr>
              <w:ind w:left="4880"/>
              <w:spacing w:after="0"/>
              <w:rPr>
                <w:sz w:val="20"/>
                <w:szCs w:val="20"/>
                <w:color w:val="auto"/>
              </w:rPr>
            </w:pPr>
            <w:r>
              <w:rPr>
                <w:rFonts w:ascii="Times New Roman" w:cs="Times New Roman" w:eastAsia="Times New Roman" w:hAnsi="Times New Roman"/>
                <w:sz w:val="18"/>
                <w:szCs w:val="18"/>
                <w:color w:val="auto"/>
              </w:rPr>
              <w:t>Page 2</w:t>
            </w:r>
          </w:p>
        </w:tc>
        <w:tc>
          <w:tcPr>
            <w:tcW w:w="0" w:type="dxa"/>
            <w:vAlign w:val="bottom"/>
          </w:tcPr>
          <w:p>
            <w:pPr>
              <w:spacing w:after="0"/>
              <w:rPr>
                <w:sz w:val="1"/>
                <w:szCs w:val="1"/>
                <w:color w:val="auto"/>
              </w:rPr>
            </w:pPr>
          </w:p>
        </w:tc>
      </w:tr>
      <w:tr>
        <w:trPr>
          <w:trHeight w:val="210"/>
        </w:trPr>
        <w:tc>
          <w:tcPr>
            <w:tcW w:w="9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William Blair Investment Management, LLC</w:t>
            </w:r>
          </w:p>
        </w:tc>
        <w:tc>
          <w:tcPr>
            <w:tcW w:w="14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99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920" w:type="dxa"/>
            <w:vAlign w:val="bottom"/>
            <w:tcBorders>
              <w:left w:val="single" w:sz="8" w:color="auto"/>
              <w:right w:val="single" w:sz="8" w:color="auto"/>
            </w:tcBorders>
          </w:tcPr>
          <w:p>
            <w:pPr>
              <w:spacing w:after="0"/>
              <w:rPr>
                <w:sz w:val="14"/>
                <w:szCs w:val="14"/>
                <w:color w:val="auto"/>
              </w:rPr>
            </w:pP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8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920" w:type="dxa"/>
            <w:vAlign w:val="bottom"/>
            <w:tcBorders>
              <w:left w:val="single" w:sz="8" w:color="auto"/>
              <w:right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920" w:type="dxa"/>
            <w:vAlign w:val="bottom"/>
            <w:tcBorders>
              <w:left w:val="single" w:sz="8" w:color="auto"/>
              <w:bottom w:val="single" w:sz="8" w:color="auto"/>
              <w:right w:val="single" w:sz="8" w:color="auto"/>
            </w:tcBorders>
          </w:tcPr>
          <w:p>
            <w:pPr>
              <w:spacing w:after="0"/>
              <w:rPr>
                <w:sz w:val="15"/>
                <w:szCs w:val="15"/>
                <w:color w:val="auto"/>
              </w:rPr>
            </w:pPr>
          </w:p>
        </w:tc>
        <w:tc>
          <w:tcPr>
            <w:tcW w:w="2820" w:type="dxa"/>
            <w:vAlign w:val="bottom"/>
            <w:tcBorders>
              <w:bottom w:val="single" w:sz="8" w:color="auto"/>
            </w:tcBorders>
            <w:gridSpan w:val="2"/>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508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9920" w:type="dxa"/>
            <w:vAlign w:val="bottom"/>
            <w:tcBorders>
              <w:bottom w:val="single" w:sz="8" w:color="auto"/>
            </w:tcBorders>
            <w:gridSpan w:val="6"/>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9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6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544,010</w:t>
            </w: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920" w:type="dxa"/>
            <w:vAlign w:val="bottom"/>
            <w:tcBorders>
              <w:left w:val="single" w:sz="8" w:color="auto"/>
            </w:tcBorders>
          </w:tcPr>
          <w:p>
            <w:pPr>
              <w:spacing w:after="0"/>
              <w:rPr>
                <w:sz w:val="16"/>
                <w:szCs w:val="16"/>
                <w:color w:val="auto"/>
              </w:rPr>
            </w:pPr>
          </w:p>
        </w:tc>
        <w:tc>
          <w:tcPr>
            <w:tcW w:w="2560" w:type="dxa"/>
            <w:vAlign w:val="bottom"/>
            <w:tcBorders>
              <w:right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6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9"/>
              </w:rPr>
              <w:t>BENEFICIALLY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08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Borders>
              <w:left w:val="single" w:sz="8" w:color="auto"/>
            </w:tcBorders>
          </w:tcPr>
          <w:p>
            <w:pPr>
              <w:spacing w:after="0"/>
              <w:rPr>
                <w:sz w:val="15"/>
                <w:szCs w:val="15"/>
                <w:color w:val="auto"/>
              </w:rPr>
            </w:pPr>
          </w:p>
        </w:tc>
        <w:tc>
          <w:tcPr>
            <w:tcW w:w="2560" w:type="dxa"/>
            <w:vAlign w:val="bottom"/>
            <w:tcBorders>
              <w:right w:val="single" w:sz="8" w:color="auto"/>
            </w:tcBorders>
          </w:tcPr>
          <w:p>
            <w:pPr>
              <w:jc w:val="center"/>
              <w:ind w:right="83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6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920" w:type="dxa"/>
            <w:vAlign w:val="bottom"/>
            <w:tcBorders>
              <w:left w:val="single" w:sz="8" w:color="auto"/>
            </w:tcBorders>
          </w:tcPr>
          <w:p>
            <w:pPr>
              <w:spacing w:after="0"/>
              <w:rPr>
                <w:sz w:val="21"/>
                <w:szCs w:val="21"/>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rPr>
              <w:t>WITH</w:t>
            </w:r>
          </w:p>
        </w:tc>
        <w:tc>
          <w:tcPr>
            <w:tcW w:w="26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593,189</w:t>
            </w:r>
          </w:p>
        </w:tc>
        <w:tc>
          <w:tcPr>
            <w:tcW w:w="508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6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9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593,189</w:t>
            </w: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9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920" w:type="dxa"/>
            <w:vAlign w:val="bottom"/>
            <w:tcBorders>
              <w:left w:val="single" w:sz="8" w:color="auto"/>
              <w:bottom w:val="single" w:sz="8" w:color="auto"/>
              <w:right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508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99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99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IA</w:t>
            </w: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9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9"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72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404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3</w:t>
            </w:r>
          </w:p>
        </w:tc>
      </w:tr>
      <w:tr>
        <w:trPr>
          <w:trHeight w:val="407"/>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234"/>
        </w:trPr>
        <w:tc>
          <w:tcPr>
            <w:tcW w:w="1720" w:type="dxa"/>
            <w:vAlign w:val="bottom"/>
          </w:tcPr>
          <w:p>
            <w:pPr>
              <w:spacing w:after="0"/>
              <w:rPr>
                <w:sz w:val="20"/>
                <w:szCs w:val="20"/>
                <w:color w:val="auto"/>
              </w:rPr>
            </w:pP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234"/>
        </w:trPr>
        <w:tc>
          <w:tcPr>
            <w:tcW w:w="1720" w:type="dxa"/>
            <w:vAlign w:val="bottom"/>
          </w:tcPr>
          <w:p>
            <w:pPr>
              <w:spacing w:after="0"/>
              <w:rPr>
                <w:sz w:val="20"/>
                <w:szCs w:val="20"/>
                <w:color w:val="auto"/>
              </w:rPr>
            </w:pP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2435 Commerce Avenue, Bldg. 2200, Duluth, GA 30096</w:t>
            </w: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234"/>
        </w:trPr>
        <w:tc>
          <w:tcPr>
            <w:tcW w:w="1720" w:type="dxa"/>
            <w:vAlign w:val="bottom"/>
          </w:tcPr>
          <w:p>
            <w:pPr>
              <w:spacing w:after="0"/>
              <w:rPr>
                <w:sz w:val="20"/>
                <w:szCs w:val="20"/>
                <w:color w:val="auto"/>
              </w:rPr>
            </w:pP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William Blair Investment Management, LLC</w:t>
            </w: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234"/>
        </w:trPr>
        <w:tc>
          <w:tcPr>
            <w:tcW w:w="1720" w:type="dxa"/>
            <w:vAlign w:val="bottom"/>
          </w:tcPr>
          <w:p>
            <w:pPr>
              <w:spacing w:after="0"/>
              <w:rPr>
                <w:sz w:val="20"/>
                <w:szCs w:val="20"/>
                <w:color w:val="auto"/>
              </w:rPr>
            </w:pP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150 North Riverside Plaza, Chicago, IL 60606</w:t>
            </w: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4"/>
        </w:trPr>
        <w:tc>
          <w:tcPr>
            <w:tcW w:w="1720" w:type="dxa"/>
            <w:vAlign w:val="bottom"/>
          </w:tcPr>
          <w:p>
            <w:pPr>
              <w:spacing w:after="0"/>
              <w:rPr>
                <w:sz w:val="20"/>
                <w:szCs w:val="20"/>
                <w:color w:val="auto"/>
              </w:rPr>
            </w:pP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234"/>
        </w:trPr>
        <w:tc>
          <w:tcPr>
            <w:tcW w:w="1720" w:type="dxa"/>
            <w:vAlign w:val="bottom"/>
          </w:tcPr>
          <w:p>
            <w:pPr>
              <w:spacing w:after="0"/>
              <w:rPr>
                <w:sz w:val="20"/>
                <w:szCs w:val="20"/>
                <w:color w:val="auto"/>
              </w:rPr>
            </w:pP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Stock</w:t>
            </w: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234"/>
        </w:trPr>
        <w:tc>
          <w:tcPr>
            <w:tcW w:w="1720" w:type="dxa"/>
            <w:vAlign w:val="bottom"/>
          </w:tcPr>
          <w:p>
            <w:pPr>
              <w:spacing w:after="0"/>
              <w:rPr>
                <w:sz w:val="20"/>
                <w:szCs w:val="20"/>
                <w:color w:val="auto"/>
              </w:rPr>
            </w:pP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63845R107</w:t>
            </w:r>
          </w:p>
        </w:tc>
      </w:tr>
      <w:tr>
        <w:trPr>
          <w:trHeight w:val="432"/>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tc>
      </w:tr>
    </w:tbl>
    <w:p>
      <w:pPr>
        <w:spacing w:after="0" w:line="157" w:lineRule="exact"/>
        <w:rPr>
          <w:sz w:val="20"/>
          <w:szCs w:val="20"/>
          <w:color w:val="auto"/>
        </w:rPr>
      </w:pPr>
    </w:p>
    <w:p>
      <w:pPr>
        <w:ind w:left="2600" w:hanging="437"/>
        <w:spacing w:after="0" w:line="207" w:lineRule="exact"/>
        <w:tabs>
          <w:tab w:leader="none" w:pos="2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96" w:lineRule="exact"/>
        <w:rPr>
          <w:rFonts w:ascii="Times New Roman" w:cs="Times New Roman" w:eastAsia="Times New Roman" w:hAnsi="Times New Roman"/>
          <w:sz w:val="18"/>
          <w:szCs w:val="18"/>
          <w:color w:val="auto"/>
        </w:rPr>
      </w:pPr>
    </w:p>
    <w:p>
      <w:pPr>
        <w:ind w:left="2600" w:hanging="442"/>
        <w:spacing w:after="0" w:line="207" w:lineRule="exact"/>
        <w:tabs>
          <w:tab w:leader="none" w:pos="2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Act (15 U.S.C. 78c);</w:t>
      </w:r>
    </w:p>
    <w:p>
      <w:pPr>
        <w:spacing w:after="0" w:line="90" w:lineRule="exact"/>
        <w:rPr>
          <w:rFonts w:ascii="Times New Roman" w:cs="Times New Roman" w:eastAsia="Times New Roman" w:hAnsi="Times New Roman"/>
          <w:sz w:val="18"/>
          <w:szCs w:val="18"/>
          <w:color w:val="auto"/>
        </w:rPr>
      </w:pPr>
    </w:p>
    <w:p>
      <w:pPr>
        <w:ind w:left="2600" w:hanging="437"/>
        <w:spacing w:after="0" w:line="207" w:lineRule="exact"/>
        <w:tabs>
          <w:tab w:leader="none" w:pos="2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90" w:lineRule="exact"/>
        <w:rPr>
          <w:rFonts w:ascii="Times New Roman" w:cs="Times New Roman" w:eastAsia="Times New Roman" w:hAnsi="Times New Roman"/>
          <w:sz w:val="18"/>
          <w:szCs w:val="18"/>
          <w:color w:val="auto"/>
        </w:rPr>
      </w:pPr>
    </w:p>
    <w:p>
      <w:pPr>
        <w:ind w:left="2600" w:hanging="442"/>
        <w:spacing w:after="0" w:line="207" w:lineRule="exact"/>
        <w:tabs>
          <w:tab w:leader="none" w:pos="2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90" w:lineRule="exact"/>
        <w:rPr>
          <w:rFonts w:ascii="Times New Roman" w:cs="Times New Roman" w:eastAsia="Times New Roman" w:hAnsi="Times New Roman"/>
          <w:sz w:val="18"/>
          <w:szCs w:val="18"/>
          <w:color w:val="auto"/>
        </w:rPr>
      </w:pPr>
    </w:p>
    <w:p>
      <w:pPr>
        <w:ind w:left="2600" w:hanging="437"/>
        <w:spacing w:after="0" w:line="207" w:lineRule="exact"/>
        <w:tabs>
          <w:tab w:leader="none" w:pos="2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 240.13d-1(b)(1)(ii)(E);</w:t>
      </w:r>
    </w:p>
    <w:p>
      <w:pPr>
        <w:spacing w:after="0" w:line="90" w:lineRule="exact"/>
        <w:rPr>
          <w:rFonts w:ascii="Times New Roman" w:cs="Times New Roman" w:eastAsia="Times New Roman" w:hAnsi="Times New Roman"/>
          <w:sz w:val="18"/>
          <w:szCs w:val="18"/>
          <w:color w:val="auto"/>
        </w:rPr>
      </w:pPr>
    </w:p>
    <w:p>
      <w:pPr>
        <w:ind w:left="2600" w:hanging="427"/>
        <w:spacing w:after="0" w:line="207" w:lineRule="exact"/>
        <w:tabs>
          <w:tab w:leader="none" w:pos="2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 240.13d-1(b)(1)(ii)(F);</w:t>
      </w:r>
    </w:p>
    <w:p>
      <w:pPr>
        <w:spacing w:after="0" w:line="90" w:lineRule="exact"/>
        <w:rPr>
          <w:rFonts w:ascii="Times New Roman" w:cs="Times New Roman" w:eastAsia="Times New Roman" w:hAnsi="Times New Roman"/>
          <w:sz w:val="18"/>
          <w:szCs w:val="18"/>
          <w:color w:val="auto"/>
        </w:rPr>
      </w:pPr>
    </w:p>
    <w:p>
      <w:pPr>
        <w:ind w:left="2600" w:hanging="442"/>
        <w:spacing w:after="0" w:line="207" w:lineRule="exact"/>
        <w:tabs>
          <w:tab w:leader="none" w:pos="2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 240.13d-1(b)(1)(ii)(G);</w:t>
      </w:r>
    </w:p>
    <w:p>
      <w:pPr>
        <w:spacing w:after="0" w:line="90" w:lineRule="exact"/>
        <w:rPr>
          <w:rFonts w:ascii="Times New Roman" w:cs="Times New Roman" w:eastAsia="Times New Roman" w:hAnsi="Times New Roman"/>
          <w:sz w:val="18"/>
          <w:szCs w:val="18"/>
          <w:color w:val="auto"/>
        </w:rPr>
      </w:pPr>
    </w:p>
    <w:p>
      <w:pPr>
        <w:ind w:left="2600" w:hanging="442"/>
        <w:spacing w:after="0" w:line="207" w:lineRule="exact"/>
        <w:tabs>
          <w:tab w:leader="none" w:pos="2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90" w:lineRule="exact"/>
        <w:rPr>
          <w:sz w:val="20"/>
          <w:szCs w:val="20"/>
          <w:color w:val="auto"/>
        </w:rPr>
      </w:pPr>
    </w:p>
    <w:p>
      <w:pPr>
        <w:ind w:left="3280" w:right="280" w:hanging="1103"/>
        <w:spacing w:after="0" w:line="226" w:lineRule="exact"/>
        <w:tabs>
          <w:tab w:leader="none" w:pos="2605"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(15 U.S.C. 80a-3);</w:t>
      </w:r>
    </w:p>
    <w:p>
      <w:pPr>
        <w:spacing w:after="0" w:line="56" w:lineRule="exact"/>
        <w:rPr>
          <w:rFonts w:ascii="Times New Roman" w:cs="Times New Roman" w:eastAsia="Times New Roman" w:hAnsi="Times New Roman"/>
          <w:sz w:val="18"/>
          <w:szCs w:val="18"/>
          <w:color w:val="auto"/>
        </w:rPr>
      </w:pPr>
    </w:p>
    <w:p>
      <w:pPr>
        <w:ind w:left="2600" w:hanging="423"/>
        <w:spacing w:after="0" w:line="207" w:lineRule="exact"/>
        <w:tabs>
          <w:tab w:leader="none" w:pos="2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non-U.S. institution in accordance with § 240.13d-1(b)(1)(ii)(J);</w:t>
      </w:r>
    </w:p>
    <w:p>
      <w:pPr>
        <w:spacing w:after="0" w:line="96" w:lineRule="exact"/>
        <w:rPr>
          <w:sz w:val="20"/>
          <w:szCs w:val="20"/>
          <w:color w:val="auto"/>
        </w:rPr>
      </w:pPr>
    </w:p>
    <w:p>
      <w:pPr>
        <w:ind w:left="2600" w:hanging="442"/>
        <w:spacing w:after="0" w:line="207" w:lineRule="exact"/>
        <w:tabs>
          <w:tab w:leader="none" w:pos="26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 240.13d-1(b)(1)(ii)(K).</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172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404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4</w:t>
            </w:r>
          </w:p>
        </w:tc>
      </w:tr>
      <w:tr>
        <w:trPr>
          <w:trHeight w:val="407"/>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16"/>
        </w:trPr>
        <w:tc>
          <w:tcPr>
            <w:tcW w:w="17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w:t>
            </w:r>
          </w:p>
        </w:tc>
      </w:tr>
      <w:tr>
        <w:trPr>
          <w:trHeight w:val="234"/>
        </w:trPr>
        <w:tc>
          <w:tcPr>
            <w:tcW w:w="1720" w:type="dxa"/>
            <w:vAlign w:val="bottom"/>
          </w:tcPr>
          <w:p>
            <w:pPr>
              <w:spacing w:after="0"/>
              <w:rPr>
                <w:sz w:val="20"/>
                <w:szCs w:val="20"/>
                <w:color w:val="auto"/>
              </w:rPr>
            </w:pP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identified in Item 1.</w:t>
            </w:r>
          </w:p>
        </w:tc>
      </w:tr>
      <w:tr>
        <w:trPr>
          <w:trHeight w:val="432"/>
        </w:trPr>
        <w:tc>
          <w:tcPr>
            <w:tcW w:w="1720" w:type="dxa"/>
            <w:vAlign w:val="bottom"/>
          </w:tcPr>
          <w:p>
            <w:pPr>
              <w:spacing w:after="0"/>
              <w:rPr>
                <w:sz w:val="24"/>
                <w:szCs w:val="24"/>
                <w:color w:val="auto"/>
              </w:rPr>
            </w:pPr>
          </w:p>
        </w:tc>
        <w:tc>
          <w:tcPr>
            <w:tcW w:w="9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   Amount beneficially owned: 593,189</w:t>
            </w:r>
          </w:p>
        </w:tc>
      </w:tr>
      <w:tr>
        <w:trPr>
          <w:trHeight w:val="432"/>
        </w:trPr>
        <w:tc>
          <w:tcPr>
            <w:tcW w:w="1720" w:type="dxa"/>
            <w:vAlign w:val="bottom"/>
          </w:tcPr>
          <w:p>
            <w:pPr>
              <w:spacing w:after="0"/>
              <w:rPr>
                <w:sz w:val="24"/>
                <w:szCs w:val="24"/>
                <w:color w:val="auto"/>
              </w:rPr>
            </w:pPr>
          </w:p>
        </w:tc>
        <w:tc>
          <w:tcPr>
            <w:tcW w:w="9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   Percent of class: 0.8%</w:t>
            </w:r>
          </w:p>
        </w:tc>
      </w:tr>
      <w:tr>
        <w:trPr>
          <w:trHeight w:val="432"/>
        </w:trPr>
        <w:tc>
          <w:tcPr>
            <w:tcW w:w="1720" w:type="dxa"/>
            <w:vAlign w:val="bottom"/>
          </w:tcPr>
          <w:p>
            <w:pPr>
              <w:spacing w:after="0"/>
              <w:rPr>
                <w:sz w:val="24"/>
                <w:szCs w:val="24"/>
                <w:color w:val="auto"/>
              </w:rPr>
            </w:pPr>
          </w:p>
        </w:tc>
        <w:tc>
          <w:tcPr>
            <w:tcW w:w="9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   Number of shares as to which the person has:</w:t>
            </w:r>
          </w:p>
        </w:tc>
      </w:tr>
      <w:tr>
        <w:trPr>
          <w:trHeight w:val="432"/>
        </w:trPr>
        <w:tc>
          <w:tcPr>
            <w:tcW w:w="1720" w:type="dxa"/>
            <w:vAlign w:val="bottom"/>
          </w:tcPr>
          <w:p>
            <w:pPr>
              <w:spacing w:after="0"/>
              <w:rPr>
                <w:sz w:val="24"/>
                <w:szCs w:val="24"/>
                <w:color w:val="auto"/>
              </w:rPr>
            </w:pPr>
          </w:p>
        </w:tc>
        <w:tc>
          <w:tcPr>
            <w:tcW w:w="95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(i)   Sole power to vote or to direct the vote: 544,010</w:t>
            </w:r>
          </w:p>
        </w:tc>
      </w:tr>
      <w:tr>
        <w:trPr>
          <w:trHeight w:val="432"/>
        </w:trPr>
        <w:tc>
          <w:tcPr>
            <w:tcW w:w="1720" w:type="dxa"/>
            <w:vAlign w:val="bottom"/>
          </w:tcPr>
          <w:p>
            <w:pPr>
              <w:spacing w:after="0"/>
              <w:rPr>
                <w:sz w:val="24"/>
                <w:szCs w:val="24"/>
                <w:color w:val="auto"/>
              </w:rPr>
            </w:pPr>
          </w:p>
        </w:tc>
        <w:tc>
          <w:tcPr>
            <w:tcW w:w="9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(ii)   Shared power to vote or to direct the vote: 0</w:t>
            </w:r>
          </w:p>
        </w:tc>
      </w:tr>
      <w:tr>
        <w:trPr>
          <w:trHeight w:val="432"/>
        </w:trPr>
        <w:tc>
          <w:tcPr>
            <w:tcW w:w="1720" w:type="dxa"/>
            <w:vAlign w:val="bottom"/>
          </w:tcPr>
          <w:p>
            <w:pPr>
              <w:spacing w:after="0"/>
              <w:rPr>
                <w:sz w:val="24"/>
                <w:szCs w:val="24"/>
                <w:color w:val="auto"/>
              </w:rPr>
            </w:pPr>
          </w:p>
        </w:tc>
        <w:tc>
          <w:tcPr>
            <w:tcW w:w="95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 593,189</w:t>
            </w:r>
          </w:p>
        </w:tc>
      </w:tr>
      <w:tr>
        <w:trPr>
          <w:trHeight w:val="432"/>
        </w:trPr>
        <w:tc>
          <w:tcPr>
            <w:tcW w:w="1720" w:type="dxa"/>
            <w:vAlign w:val="bottom"/>
          </w:tcPr>
          <w:p>
            <w:pPr>
              <w:spacing w:after="0"/>
              <w:rPr>
                <w:sz w:val="24"/>
                <w:szCs w:val="24"/>
                <w:color w:val="auto"/>
              </w:rPr>
            </w:pPr>
          </w:p>
        </w:tc>
        <w:tc>
          <w:tcPr>
            <w:tcW w:w="95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 0</w:t>
            </w: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180"/>
        </w:trPr>
        <w:tc>
          <w:tcPr>
            <w:tcW w:w="1720" w:type="dxa"/>
            <w:vAlign w:val="bottom"/>
          </w:tcPr>
          <w:p>
            <w:pPr>
              <w:spacing w:after="0"/>
              <w:rPr>
                <w:sz w:val="15"/>
                <w:szCs w:val="15"/>
                <w:color w:val="auto"/>
              </w:rPr>
            </w:pPr>
          </w:p>
        </w:tc>
        <w:tc>
          <w:tcPr>
            <w:tcW w:w="9520" w:type="dxa"/>
            <w:vAlign w:val="bottom"/>
            <w:gridSpan w:val="2"/>
          </w:tcPr>
          <w:p>
            <w:pPr>
              <w:ind w:left="200"/>
              <w:spacing w:after="0" w:line="181" w:lineRule="exact"/>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w:t>
            </w:r>
          </w:p>
        </w:tc>
      </w:tr>
      <w:tr>
        <w:trPr>
          <w:trHeight w:val="303"/>
        </w:trPr>
        <w:tc>
          <w:tcPr>
            <w:tcW w:w="1720" w:type="dxa"/>
            <w:vAlign w:val="bottom"/>
          </w:tcPr>
          <w:p>
            <w:pPr>
              <w:spacing w:after="0"/>
              <w:rPr>
                <w:sz w:val="24"/>
                <w:szCs w:val="24"/>
                <w:color w:val="auto"/>
              </w:rPr>
            </w:pPr>
          </w:p>
        </w:tc>
        <w:tc>
          <w:tcPr>
            <w:tcW w:w="9520" w:type="dxa"/>
            <w:vAlign w:val="bottom"/>
            <w:gridSpan w:val="2"/>
          </w:tcPr>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owner of more than 5 percent of the class of securities, check the following. </w:t>
            </w:r>
            <w:r>
              <w:rPr>
                <w:rFonts w:ascii="MS PGothic" w:cs="MS PGothic" w:eastAsia="MS PGothic" w:hAnsi="MS PGothic"/>
                <w:sz w:val="18"/>
                <w:szCs w:val="18"/>
                <w:color w:val="auto"/>
              </w:rPr>
              <w:t>☒</w:t>
            </w:r>
          </w:p>
        </w:tc>
      </w:tr>
      <w:tr>
        <w:trPr>
          <w:trHeight w:val="381"/>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234"/>
        </w:trPr>
        <w:tc>
          <w:tcPr>
            <w:tcW w:w="1720" w:type="dxa"/>
            <w:vAlign w:val="bottom"/>
          </w:tcPr>
          <w:p>
            <w:pPr>
              <w:spacing w:after="0"/>
              <w:rPr>
                <w:sz w:val="20"/>
                <w:szCs w:val="20"/>
                <w:color w:val="auto"/>
              </w:rPr>
            </w:pP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w:t>
            </w:r>
          </w:p>
        </w:tc>
      </w:tr>
      <w:tr>
        <w:trPr>
          <w:trHeight w:val="410"/>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w:t>
            </w:r>
          </w:p>
        </w:tc>
      </w:tr>
      <w:tr>
        <w:trPr>
          <w:trHeight w:val="220"/>
        </w:trPr>
        <w:tc>
          <w:tcPr>
            <w:tcW w:w="1720" w:type="dxa"/>
            <w:vAlign w:val="bottom"/>
          </w:tcPr>
          <w:p>
            <w:pPr>
              <w:spacing w:after="0"/>
              <w:rPr>
                <w:sz w:val="19"/>
                <w:szCs w:val="19"/>
                <w:color w:val="auto"/>
              </w:rPr>
            </w:pP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Holding Company:</w:t>
            </w:r>
          </w:p>
        </w:tc>
      </w:tr>
      <w:tr>
        <w:trPr>
          <w:trHeight w:val="234"/>
        </w:trPr>
        <w:tc>
          <w:tcPr>
            <w:tcW w:w="1720" w:type="dxa"/>
            <w:vAlign w:val="bottom"/>
          </w:tcPr>
          <w:p>
            <w:pPr>
              <w:spacing w:after="0"/>
              <w:rPr>
                <w:sz w:val="20"/>
                <w:szCs w:val="20"/>
                <w:color w:val="auto"/>
              </w:rPr>
            </w:pP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w:t>
            </w: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234"/>
        </w:trPr>
        <w:tc>
          <w:tcPr>
            <w:tcW w:w="1720" w:type="dxa"/>
            <w:vAlign w:val="bottom"/>
          </w:tcPr>
          <w:p>
            <w:pPr>
              <w:spacing w:after="0"/>
              <w:rPr>
                <w:sz w:val="20"/>
                <w:szCs w:val="20"/>
                <w:color w:val="auto"/>
              </w:rPr>
            </w:pP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w:t>
            </w: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234"/>
        </w:trPr>
        <w:tc>
          <w:tcPr>
            <w:tcW w:w="1720" w:type="dxa"/>
            <w:vAlign w:val="bottom"/>
          </w:tcPr>
          <w:p>
            <w:pPr>
              <w:spacing w:after="0"/>
              <w:rPr>
                <w:sz w:val="20"/>
                <w:szCs w:val="20"/>
                <w:color w:val="auto"/>
              </w:rPr>
            </w:pP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w:t>
            </w: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Certifications:</w:t>
            </w:r>
          </w:p>
        </w:tc>
      </w:tr>
      <w:tr>
        <w:trPr>
          <w:trHeight w:val="216"/>
        </w:trPr>
        <w:tc>
          <w:tcPr>
            <w:tcW w:w="17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w:t>
            </w:r>
          </w:p>
        </w:tc>
      </w:tr>
      <w:tr>
        <w:trPr>
          <w:trHeight w:val="216"/>
        </w:trPr>
        <w:tc>
          <w:tcPr>
            <w:tcW w:w="17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held in the ordinary course of business and were not acquired and are not held for the purpose of or with the effect of changing or</w:t>
            </w:r>
          </w:p>
        </w:tc>
      </w:tr>
      <w:tr>
        <w:trPr>
          <w:trHeight w:val="216"/>
        </w:trPr>
        <w:tc>
          <w:tcPr>
            <w:tcW w:w="17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influencing the control of the issuer of the securities and were not acquired and are not held in connection with or as a participant</w:t>
            </w:r>
          </w:p>
        </w:tc>
      </w:tr>
      <w:tr>
        <w:trPr>
          <w:trHeight w:val="234"/>
        </w:trPr>
        <w:tc>
          <w:tcPr>
            <w:tcW w:w="1720" w:type="dxa"/>
            <w:vAlign w:val="bottom"/>
          </w:tcPr>
          <w:p>
            <w:pPr>
              <w:spacing w:after="0"/>
              <w:rPr>
                <w:sz w:val="20"/>
                <w:szCs w:val="20"/>
                <w:color w:val="auto"/>
              </w:rPr>
            </w:pPr>
          </w:p>
        </w:tc>
        <w:tc>
          <w:tcPr>
            <w:tcW w:w="9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 any transaction having that purpose or effect.</w:t>
            </w:r>
          </w:p>
        </w:tc>
      </w:tr>
      <w:tr>
        <w:trPr>
          <w:trHeight w:val="675"/>
        </w:trPr>
        <w:tc>
          <w:tcPr>
            <w:tcW w:w="17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7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5</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September 9, 2024</w:t>
            </w:r>
          </w:p>
        </w:tc>
      </w:tr>
      <w:tr>
        <w:trPr>
          <w:trHeight w:val="42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Stephanie Braming</w:t>
            </w:r>
          </w:p>
        </w:tc>
      </w:tr>
      <w:tr>
        <w:trPr>
          <w:trHeight w:val="40"/>
        </w:trPr>
        <w:tc>
          <w:tcPr>
            <w:tcW w:w="1000" w:type="dxa"/>
            <w:vAlign w:val="bottom"/>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r>
      <w:tr>
        <w:trPr>
          <w:trHeight w:val="42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Stephanie Braming</w:t>
            </w:r>
          </w:p>
        </w:tc>
      </w:tr>
      <w:tr>
        <w:trPr>
          <w:trHeight w:val="40"/>
        </w:trPr>
        <w:tc>
          <w:tcPr>
            <w:tcW w:w="1000" w:type="dxa"/>
            <w:vAlign w:val="bottom"/>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r>
      <w:tr>
        <w:trPr>
          <w:trHeight w:val="42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Partner, Global Head of Investment Management</w:t>
            </w:r>
          </w:p>
        </w:tc>
      </w:tr>
      <w:tr>
        <w:trPr>
          <w:trHeight w:val="40"/>
        </w:trPr>
        <w:tc>
          <w:tcPr>
            <w:tcW w:w="1000" w:type="dxa"/>
            <w:vAlign w:val="bottom"/>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9"/>
    </w:lvl>
  </w:abstractNum>
  <w:abstractNum w:abstractNumId="3">
    <w:nsid w:val="625558EC"/>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2024-09-09T10:10:20Z</dcterms:created>
  <dcterms:modified xsi:type="dcterms:W3CDTF">2024-09-09T10:10:20Z</dcterms:modified>
</cp:coreProperties>
</file>