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96"/>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80" w:type="dxa"/>
            <w:vAlign w:val="bottom"/>
          </w:tcPr>
          <w:p>
            <w:pPr>
              <w:jc w:val="center"/>
              <w:ind w:right="2698"/>
              <w:spacing w:after="0"/>
              <w:rPr>
                <w:sz w:val="20"/>
                <w:szCs w:val="20"/>
                <w:color w:val="auto"/>
              </w:rPr>
            </w:pPr>
            <w:r>
              <w:rPr>
                <w:rFonts w:ascii="Arial" w:cs="Arial" w:eastAsia="Arial" w:hAnsi="Arial"/>
                <w:sz w:val="16"/>
                <w:szCs w:val="16"/>
                <w:color w:val="auto"/>
                <w:w w:val="98"/>
              </w:rPr>
              <w:t>S</w:t>
            </w:r>
            <w:r>
              <w:rPr>
                <w:rFonts w:ascii="Arial" w:cs="Arial" w:eastAsia="Arial" w:hAnsi="Arial"/>
                <w:sz w:val="11"/>
                <w:szCs w:val="11"/>
                <w:color w:val="auto"/>
                <w:w w:val="98"/>
              </w:rPr>
              <w:t>IMPSON</w:t>
            </w:r>
            <w:r>
              <w:rPr>
                <w:rFonts w:ascii="Arial" w:cs="Arial" w:eastAsia="Arial" w:hAnsi="Arial"/>
                <w:sz w:val="16"/>
                <w:szCs w:val="16"/>
                <w:color w:val="auto"/>
                <w:w w:val="98"/>
              </w:rPr>
              <w:t xml:space="preserve"> T</w:t>
            </w:r>
            <w:r>
              <w:rPr>
                <w:rFonts w:ascii="Arial" w:cs="Arial" w:eastAsia="Arial" w:hAnsi="Arial"/>
                <w:sz w:val="11"/>
                <w:szCs w:val="11"/>
                <w:color w:val="auto"/>
                <w:w w:val="98"/>
              </w:rPr>
              <w:t>HACHER</w:t>
            </w:r>
            <w:r>
              <w:rPr>
                <w:rFonts w:ascii="Arial" w:cs="Arial" w:eastAsia="Arial" w:hAnsi="Arial"/>
                <w:sz w:val="16"/>
                <w:szCs w:val="16"/>
                <w:color w:val="auto"/>
                <w:w w:val="98"/>
              </w:rPr>
              <w:t xml:space="preserve"> &amp; B</w:t>
            </w:r>
            <w:r>
              <w:rPr>
                <w:rFonts w:ascii="Arial" w:cs="Arial" w:eastAsia="Arial" w:hAnsi="Arial"/>
                <w:sz w:val="11"/>
                <w:szCs w:val="11"/>
                <w:color w:val="auto"/>
                <w:w w:val="98"/>
              </w:rPr>
              <w:t>ARTLETT LLP</w:t>
            </w:r>
          </w:p>
        </w:tc>
      </w:tr>
      <w:tr>
        <w:trPr>
          <w:trHeight w:val="196"/>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80" w:type="dxa"/>
            <w:vAlign w:val="bottom"/>
          </w:tcPr>
          <w:p>
            <w:pPr>
              <w:jc w:val="center"/>
              <w:ind w:right="2718"/>
              <w:spacing w:after="0"/>
              <w:rPr>
                <w:sz w:val="20"/>
                <w:szCs w:val="20"/>
                <w:color w:val="auto"/>
              </w:rPr>
            </w:pPr>
            <w:r>
              <w:rPr>
                <w:rFonts w:ascii="Arial" w:cs="Arial" w:eastAsia="Arial" w:hAnsi="Arial"/>
                <w:sz w:val="16"/>
                <w:szCs w:val="16"/>
                <w:color w:val="auto"/>
                <w:w w:val="98"/>
              </w:rPr>
              <w:t>425 L</w:t>
            </w:r>
            <w:r>
              <w:rPr>
                <w:rFonts w:ascii="Arial" w:cs="Arial" w:eastAsia="Arial" w:hAnsi="Arial"/>
                <w:sz w:val="11"/>
                <w:szCs w:val="11"/>
                <w:color w:val="auto"/>
                <w:w w:val="98"/>
              </w:rPr>
              <w:t>EXINGTON</w:t>
            </w:r>
            <w:r>
              <w:rPr>
                <w:rFonts w:ascii="Arial" w:cs="Arial" w:eastAsia="Arial" w:hAnsi="Arial"/>
                <w:sz w:val="16"/>
                <w:szCs w:val="16"/>
                <w:color w:val="auto"/>
                <w:w w:val="98"/>
              </w:rPr>
              <w:t xml:space="preserve"> A</w:t>
            </w:r>
            <w:r>
              <w:rPr>
                <w:rFonts w:ascii="Arial" w:cs="Arial" w:eastAsia="Arial" w:hAnsi="Arial"/>
                <w:sz w:val="11"/>
                <w:szCs w:val="11"/>
                <w:color w:val="auto"/>
                <w:w w:val="98"/>
              </w:rPr>
              <w:t>VENUE</w:t>
            </w:r>
          </w:p>
        </w:tc>
      </w:tr>
      <w:tr>
        <w:trPr>
          <w:trHeight w:val="196"/>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80" w:type="dxa"/>
            <w:vAlign w:val="bottom"/>
          </w:tcPr>
          <w:p>
            <w:pPr>
              <w:jc w:val="center"/>
              <w:ind w:right="2718"/>
              <w:spacing w:after="0"/>
              <w:rPr>
                <w:sz w:val="20"/>
                <w:szCs w:val="20"/>
                <w:color w:val="auto"/>
              </w:rPr>
            </w:pPr>
            <w:r>
              <w:rPr>
                <w:rFonts w:ascii="Arial" w:cs="Arial" w:eastAsia="Arial" w:hAnsi="Arial"/>
                <w:sz w:val="16"/>
                <w:szCs w:val="16"/>
                <w:color w:val="auto"/>
                <w:w w:val="97"/>
              </w:rPr>
              <w:t>N</w:t>
            </w:r>
            <w:r>
              <w:rPr>
                <w:rFonts w:ascii="Arial" w:cs="Arial" w:eastAsia="Arial" w:hAnsi="Arial"/>
                <w:sz w:val="11"/>
                <w:szCs w:val="11"/>
                <w:color w:val="auto"/>
                <w:w w:val="97"/>
              </w:rPr>
              <w:t>EW</w:t>
            </w:r>
            <w:r>
              <w:rPr>
                <w:rFonts w:ascii="Arial" w:cs="Arial" w:eastAsia="Arial" w:hAnsi="Arial"/>
                <w:sz w:val="16"/>
                <w:szCs w:val="16"/>
                <w:color w:val="auto"/>
                <w:w w:val="97"/>
              </w:rPr>
              <w:t xml:space="preserve"> Y</w:t>
            </w:r>
            <w:r>
              <w:rPr>
                <w:rFonts w:ascii="Arial" w:cs="Arial" w:eastAsia="Arial" w:hAnsi="Arial"/>
                <w:sz w:val="11"/>
                <w:szCs w:val="11"/>
                <w:color w:val="auto"/>
                <w:w w:val="97"/>
              </w:rPr>
              <w:t>ORK</w:t>
            </w:r>
            <w:r>
              <w:rPr>
                <w:rFonts w:ascii="Arial" w:cs="Arial" w:eastAsia="Arial" w:hAnsi="Arial"/>
                <w:sz w:val="16"/>
                <w:szCs w:val="16"/>
                <w:color w:val="auto"/>
                <w:w w:val="97"/>
              </w:rPr>
              <w:t>, NY 10017-3954</w:t>
            </w:r>
          </w:p>
        </w:tc>
      </w:tr>
      <w:tr>
        <w:trPr>
          <w:trHeight w:val="196"/>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2"/>
          </w:tcPr>
          <w:p>
            <w:pPr>
              <w:jc w:val="center"/>
              <w:ind w:right="1278"/>
              <w:spacing w:after="0"/>
              <w:rPr>
                <w:sz w:val="20"/>
                <w:szCs w:val="20"/>
                <w:color w:val="auto"/>
              </w:rPr>
            </w:pPr>
            <w:r>
              <w:rPr>
                <w:rFonts w:ascii="Arial" w:cs="Arial" w:eastAsia="Arial" w:hAnsi="Arial"/>
                <w:sz w:val="16"/>
                <w:szCs w:val="16"/>
                <w:color w:val="auto"/>
                <w:w w:val="93"/>
              </w:rPr>
              <w:t>(212) 455-2000</w:t>
            </w:r>
          </w:p>
        </w:tc>
      </w:tr>
      <w:tr>
        <w:trPr>
          <w:trHeight w:val="208"/>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480" w:type="dxa"/>
            <w:vAlign w:val="bottom"/>
          </w:tcPr>
          <w:p>
            <w:pPr>
              <w:jc w:val="center"/>
              <w:ind w:right="2718"/>
              <w:spacing w:after="0"/>
              <w:rPr>
                <w:sz w:val="20"/>
                <w:szCs w:val="20"/>
                <w:color w:val="auto"/>
              </w:rPr>
            </w:pPr>
            <w:r>
              <w:rPr>
                <w:rFonts w:ascii="Arial" w:cs="Arial" w:eastAsia="Arial" w:hAnsi="Arial"/>
                <w:sz w:val="16"/>
                <w:szCs w:val="16"/>
                <w:color w:val="auto"/>
                <w:w w:val="95"/>
              </w:rPr>
              <w:t>F</w:t>
            </w:r>
            <w:r>
              <w:rPr>
                <w:rFonts w:ascii="Arial" w:cs="Arial" w:eastAsia="Arial" w:hAnsi="Arial"/>
                <w:sz w:val="11"/>
                <w:szCs w:val="11"/>
                <w:color w:val="auto"/>
                <w:w w:val="95"/>
              </w:rPr>
              <w:t>ACSIMILE</w:t>
            </w:r>
            <w:r>
              <w:rPr>
                <w:rFonts w:ascii="Arial" w:cs="Arial" w:eastAsia="Arial" w:hAnsi="Arial"/>
                <w:sz w:val="16"/>
                <w:szCs w:val="16"/>
                <w:color w:val="auto"/>
                <w:w w:val="95"/>
              </w:rPr>
              <w:t xml:space="preserve"> (212) 455-2502</w:t>
            </w:r>
          </w:p>
        </w:tc>
      </w:tr>
      <w:tr>
        <w:trPr>
          <w:trHeight w:val="406"/>
        </w:trPr>
        <w:tc>
          <w:tcPr>
            <w:tcW w:w="1360" w:type="dxa"/>
            <w:vAlign w:val="bottom"/>
            <w:gridSpan w:val="2"/>
          </w:tcPr>
          <w:p>
            <w:pPr>
              <w:spacing w:after="0"/>
              <w:rPr>
                <w:sz w:val="20"/>
                <w:szCs w:val="20"/>
                <w:color w:val="auto"/>
              </w:rPr>
            </w:pPr>
            <w:r>
              <w:rPr>
                <w:rFonts w:ascii="Arial" w:cs="Arial" w:eastAsia="Arial" w:hAnsi="Arial"/>
                <w:sz w:val="16"/>
                <w:szCs w:val="16"/>
                <w:color w:val="auto"/>
              </w:rPr>
              <w:t>D</w:t>
            </w:r>
            <w:r>
              <w:rPr>
                <w:rFonts w:ascii="Arial" w:cs="Arial" w:eastAsia="Arial" w:hAnsi="Arial"/>
                <w:sz w:val="11"/>
                <w:szCs w:val="11"/>
                <w:color w:val="auto"/>
              </w:rPr>
              <w:t>IRECT</w:t>
            </w:r>
            <w:r>
              <w:rPr>
                <w:rFonts w:ascii="Arial" w:cs="Arial" w:eastAsia="Arial" w:hAnsi="Arial"/>
                <w:sz w:val="16"/>
                <w:szCs w:val="16"/>
                <w:color w:val="auto"/>
              </w:rPr>
              <w:t xml:space="preserve"> D</w:t>
            </w:r>
            <w:r>
              <w:rPr>
                <w:rFonts w:ascii="Arial" w:cs="Arial" w:eastAsia="Arial" w:hAnsi="Arial"/>
                <w:sz w:val="11"/>
                <w:szCs w:val="11"/>
                <w:color w:val="auto"/>
              </w:rPr>
              <w:t>IAL</w:t>
            </w:r>
            <w:r>
              <w:rPr>
                <w:rFonts w:ascii="Arial" w:cs="Arial" w:eastAsia="Arial" w:hAnsi="Arial"/>
                <w:sz w:val="16"/>
                <w:szCs w:val="16"/>
                <w:color w:val="auto"/>
              </w:rPr>
              <w:t xml:space="preserve"> N</w:t>
            </w:r>
            <w:r>
              <w:rPr>
                <w:rFonts w:ascii="Arial" w:cs="Arial" w:eastAsia="Arial" w:hAnsi="Arial"/>
                <w:sz w:val="11"/>
                <w:szCs w:val="11"/>
                <w:color w:val="auto"/>
              </w:rPr>
              <w:t>UMBER</w:t>
            </w:r>
          </w:p>
        </w:tc>
        <w:tc>
          <w:tcPr>
            <w:tcW w:w="1420" w:type="dxa"/>
            <w:vAlign w:val="bottom"/>
          </w:tcPr>
          <w:p>
            <w:pPr>
              <w:spacing w:after="0"/>
              <w:rPr>
                <w:sz w:val="24"/>
                <w:szCs w:val="24"/>
                <w:color w:val="auto"/>
              </w:rPr>
            </w:pPr>
          </w:p>
        </w:tc>
        <w:tc>
          <w:tcPr>
            <w:tcW w:w="8480" w:type="dxa"/>
            <w:vAlign w:val="bottom"/>
          </w:tcPr>
          <w:p>
            <w:pPr>
              <w:jc w:val="right"/>
              <w:spacing w:after="0"/>
              <w:rPr>
                <w:sz w:val="20"/>
                <w:szCs w:val="20"/>
                <w:color w:val="auto"/>
              </w:rPr>
            </w:pPr>
            <w:r>
              <w:rPr>
                <w:rFonts w:ascii="Arial" w:cs="Arial" w:eastAsia="Arial" w:hAnsi="Arial"/>
                <w:sz w:val="16"/>
                <w:szCs w:val="16"/>
                <w:color w:val="auto"/>
              </w:rPr>
              <w:t>E-M</w:t>
            </w:r>
            <w:r>
              <w:rPr>
                <w:rFonts w:ascii="Arial" w:cs="Arial" w:eastAsia="Arial" w:hAnsi="Arial"/>
                <w:sz w:val="11"/>
                <w:szCs w:val="11"/>
                <w:color w:val="auto"/>
              </w:rPr>
              <w:t>AIL</w:t>
            </w:r>
            <w:r>
              <w:rPr>
                <w:rFonts w:ascii="Arial" w:cs="Arial" w:eastAsia="Arial" w:hAnsi="Arial"/>
                <w:sz w:val="16"/>
                <w:szCs w:val="16"/>
                <w:color w:val="auto"/>
              </w:rPr>
              <w:t xml:space="preserve"> A</w:t>
            </w:r>
            <w:r>
              <w:rPr>
                <w:rFonts w:ascii="Arial" w:cs="Arial" w:eastAsia="Arial" w:hAnsi="Arial"/>
                <w:sz w:val="11"/>
                <w:szCs w:val="11"/>
                <w:color w:val="auto"/>
              </w:rPr>
              <w:t>DDRESS</w:t>
            </w:r>
          </w:p>
        </w:tc>
      </w:tr>
      <w:tr>
        <w:trPr>
          <w:trHeight w:val="208"/>
        </w:trPr>
        <w:tc>
          <w:tcPr>
            <w:tcW w:w="1360" w:type="dxa"/>
            <w:vAlign w:val="bottom"/>
            <w:gridSpan w:val="2"/>
          </w:tcPr>
          <w:p>
            <w:pPr>
              <w:spacing w:after="0"/>
              <w:rPr>
                <w:sz w:val="20"/>
                <w:szCs w:val="20"/>
                <w:color w:val="auto"/>
              </w:rPr>
            </w:pPr>
            <w:r>
              <w:rPr>
                <w:rFonts w:ascii="Arial" w:cs="Arial" w:eastAsia="Arial" w:hAnsi="Arial"/>
                <w:sz w:val="16"/>
                <w:szCs w:val="16"/>
                <w:color w:val="auto"/>
              </w:rPr>
              <w:t>(212) 455-2948</w:t>
            </w:r>
          </w:p>
        </w:tc>
        <w:tc>
          <w:tcPr>
            <w:tcW w:w="1420" w:type="dxa"/>
            <w:vAlign w:val="bottom"/>
          </w:tcPr>
          <w:p>
            <w:pPr>
              <w:spacing w:after="0"/>
              <w:rPr>
                <w:sz w:val="18"/>
                <w:szCs w:val="18"/>
                <w:color w:val="auto"/>
              </w:rPr>
            </w:pPr>
          </w:p>
        </w:tc>
        <w:tc>
          <w:tcPr>
            <w:tcW w:w="8480" w:type="dxa"/>
            <w:vAlign w:val="bottom"/>
          </w:tcPr>
          <w:p>
            <w:pPr>
              <w:jc w:val="right"/>
              <w:spacing w:after="0"/>
              <w:rPr>
                <w:sz w:val="20"/>
                <w:szCs w:val="20"/>
                <w:color w:val="auto"/>
              </w:rPr>
            </w:pPr>
            <w:r>
              <w:rPr>
                <w:rFonts w:ascii="Arial" w:cs="Arial" w:eastAsia="Arial" w:hAnsi="Arial"/>
                <w:sz w:val="16"/>
                <w:szCs w:val="16"/>
                <w:color w:val="auto"/>
              </w:rPr>
              <w:t>JKAUFMAN@STBLAW.COM</w:t>
            </w:r>
          </w:p>
        </w:tc>
      </w:tr>
      <w:tr>
        <w:trPr>
          <w:trHeight w:val="417"/>
        </w:trPr>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480" w:type="dxa"/>
            <w:vAlign w:val="bottom"/>
          </w:tcPr>
          <w:p>
            <w:pPr>
              <w:jc w:val="right"/>
              <w:spacing w:after="0"/>
              <w:rPr>
                <w:sz w:val="20"/>
                <w:szCs w:val="20"/>
                <w:color w:val="auto"/>
              </w:rPr>
            </w:pPr>
            <w:r>
              <w:rPr>
                <w:rFonts w:ascii="Arial" w:cs="Arial" w:eastAsia="Arial" w:hAnsi="Arial"/>
                <w:sz w:val="16"/>
                <w:szCs w:val="16"/>
                <w:color w:val="auto"/>
              </w:rPr>
              <w:t>September 29, 2017</w:t>
            </w:r>
          </w:p>
        </w:tc>
      </w:tr>
      <w:tr>
        <w:trPr>
          <w:trHeight w:val="381"/>
        </w:trPr>
        <w:tc>
          <w:tcPr>
            <w:tcW w:w="1360" w:type="dxa"/>
            <w:vAlign w:val="bottom"/>
            <w:gridSpan w:val="2"/>
          </w:tcPr>
          <w:p>
            <w:pPr>
              <w:spacing w:after="0"/>
              <w:rPr>
                <w:sz w:val="20"/>
                <w:szCs w:val="20"/>
                <w:color w:val="auto"/>
              </w:rPr>
            </w:pPr>
            <w:r>
              <w:rPr>
                <w:rFonts w:ascii="Arial" w:cs="Arial" w:eastAsia="Arial" w:hAnsi="Arial"/>
                <w:sz w:val="16"/>
                <w:szCs w:val="16"/>
                <w:color w:val="auto"/>
              </w:rPr>
              <w:t>VIA EDGAR</w:t>
            </w:r>
          </w:p>
        </w:tc>
        <w:tc>
          <w:tcPr>
            <w:tcW w:w="1420" w:type="dxa"/>
            <w:vAlign w:val="bottom"/>
          </w:tcPr>
          <w:p>
            <w:pPr>
              <w:spacing w:after="0"/>
              <w:rPr>
                <w:sz w:val="24"/>
                <w:szCs w:val="24"/>
                <w:color w:val="auto"/>
              </w:rPr>
            </w:pPr>
          </w:p>
        </w:tc>
        <w:tc>
          <w:tcPr>
            <w:tcW w:w="8480" w:type="dxa"/>
            <w:vAlign w:val="bottom"/>
          </w:tcPr>
          <w:p>
            <w:pPr>
              <w:spacing w:after="0"/>
              <w:rPr>
                <w:sz w:val="24"/>
                <w:szCs w:val="24"/>
                <w:color w:val="auto"/>
              </w:rPr>
            </w:pPr>
          </w:p>
        </w:tc>
      </w:tr>
      <w:tr>
        <w:trPr>
          <w:trHeight w:val="422"/>
        </w:trPr>
        <w:tc>
          <w:tcPr>
            <w:tcW w:w="900" w:type="dxa"/>
            <w:vAlign w:val="bottom"/>
            <w:tcBorders>
              <w:top w:val="single" w:sz="8" w:color="auto"/>
            </w:tcBorders>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6"/>
                <w:szCs w:val="16"/>
                <w:color w:val="auto"/>
              </w:rPr>
              <w:t>Re:</w:t>
            </w:r>
          </w:p>
        </w:tc>
        <w:tc>
          <w:tcPr>
            <w:tcW w:w="9900" w:type="dxa"/>
            <w:vAlign w:val="bottom"/>
            <w:gridSpan w:val="2"/>
          </w:tcPr>
          <w:p>
            <w:pPr>
              <w:spacing w:after="0"/>
              <w:rPr>
                <w:sz w:val="20"/>
                <w:szCs w:val="20"/>
                <w:color w:val="auto"/>
              </w:rPr>
            </w:pPr>
            <w:r>
              <w:rPr>
                <w:rFonts w:ascii="Arial" w:cs="Arial" w:eastAsia="Arial" w:hAnsi="Arial"/>
                <w:sz w:val="16"/>
                <w:szCs w:val="16"/>
                <w:color w:val="auto"/>
              </w:rPr>
              <w:t>National Vision Holdings, Inc.</w:t>
            </w:r>
          </w:p>
        </w:tc>
      </w:tr>
      <w:tr>
        <w:trPr>
          <w:trHeight w:val="196"/>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2"/>
          </w:tcPr>
          <w:p>
            <w:pPr>
              <w:spacing w:after="0"/>
              <w:rPr>
                <w:sz w:val="20"/>
                <w:szCs w:val="20"/>
                <w:color w:val="auto"/>
              </w:rPr>
            </w:pPr>
            <w:r>
              <w:rPr>
                <w:rFonts w:ascii="Arial" w:cs="Arial" w:eastAsia="Arial" w:hAnsi="Arial"/>
                <w:sz w:val="16"/>
                <w:szCs w:val="16"/>
                <w:color w:val="auto"/>
              </w:rPr>
              <w:t>Amendment No. 2 to Draft Registration Statement on Form S-1</w:t>
            </w:r>
          </w:p>
        </w:tc>
      </w:tr>
      <w:tr>
        <w:trPr>
          <w:trHeight w:val="196"/>
        </w:trPr>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900" w:type="dxa"/>
            <w:vAlign w:val="bottom"/>
            <w:gridSpan w:val="2"/>
          </w:tcPr>
          <w:p>
            <w:pPr>
              <w:spacing w:after="0"/>
              <w:rPr>
                <w:sz w:val="20"/>
                <w:szCs w:val="20"/>
                <w:color w:val="auto"/>
              </w:rPr>
            </w:pPr>
            <w:r>
              <w:rPr>
                <w:rFonts w:ascii="Arial" w:cs="Arial" w:eastAsia="Arial" w:hAnsi="Arial"/>
                <w:sz w:val="16"/>
                <w:szCs w:val="16"/>
                <w:color w:val="auto"/>
              </w:rPr>
              <w:t>Submitted on August 28, 2017</w:t>
            </w:r>
          </w:p>
        </w:tc>
      </w:tr>
      <w:tr>
        <w:trPr>
          <w:trHeight w:val="172"/>
        </w:trPr>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900" w:type="dxa"/>
            <w:vAlign w:val="bottom"/>
            <w:gridSpan w:val="2"/>
          </w:tcPr>
          <w:p>
            <w:pPr>
              <w:spacing w:after="0" w:line="172" w:lineRule="exact"/>
              <w:rPr>
                <w:sz w:val="20"/>
                <w:szCs w:val="20"/>
                <w:color w:val="auto"/>
              </w:rPr>
            </w:pPr>
            <w:r>
              <w:rPr>
                <w:rFonts w:ascii="Arial" w:cs="Arial" w:eastAsia="Arial" w:hAnsi="Arial"/>
                <w:sz w:val="16"/>
                <w:szCs w:val="16"/>
                <w:color w:val="auto"/>
              </w:rPr>
              <w:t>CIK No. 0001710155</w:t>
            </w:r>
          </w:p>
        </w:tc>
      </w:tr>
      <w:tr>
        <w:trPr>
          <w:trHeight w:val="20"/>
        </w:trPr>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bl>
    <w:p>
      <w:pPr>
        <w:spacing w:after="0" w:line="233" w:lineRule="exact"/>
        <w:rPr>
          <w:sz w:val="24"/>
          <w:szCs w:val="24"/>
          <w:color w:val="auto"/>
        </w:rPr>
      </w:pPr>
    </w:p>
    <w:p>
      <w:pPr>
        <w:spacing w:after="0"/>
        <w:rPr>
          <w:sz w:val="20"/>
          <w:szCs w:val="20"/>
          <w:color w:val="auto"/>
        </w:rPr>
      </w:pPr>
      <w:r>
        <w:rPr>
          <w:rFonts w:ascii="Arial" w:cs="Arial" w:eastAsia="Arial" w:hAnsi="Arial"/>
          <w:sz w:val="16"/>
          <w:szCs w:val="16"/>
          <w:color w:val="auto"/>
        </w:rPr>
        <w:t>Amanda Ravitz</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Division of Corporation Finance</w:t>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100 F Street, N.E.</w:t>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Washington, D.C. 20549</w:t>
      </w:r>
    </w:p>
    <w:p>
      <w:pPr>
        <w:spacing w:after="0" w:line="222" w:lineRule="exact"/>
        <w:rPr>
          <w:sz w:val="24"/>
          <w:szCs w:val="24"/>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33" w:lineRule="exact"/>
        <w:rPr>
          <w:sz w:val="24"/>
          <w:szCs w:val="24"/>
          <w:color w:val="auto"/>
        </w:rPr>
      </w:pPr>
    </w:p>
    <w:p>
      <w:pPr>
        <w:ind w:right="180" w:firstLine="589"/>
        <w:spacing w:after="0" w:line="266" w:lineRule="auto"/>
        <w:rPr>
          <w:sz w:val="20"/>
          <w:szCs w:val="20"/>
          <w:color w:val="auto"/>
        </w:rPr>
      </w:pPr>
      <w:r>
        <w:rPr>
          <w:rFonts w:ascii="Arial" w:cs="Arial" w:eastAsia="Arial" w:hAnsi="Arial"/>
          <w:sz w:val="16"/>
          <w:szCs w:val="16"/>
          <w:color w:val="auto"/>
        </w:rPr>
        <w:t>On behalf of National Vision Holdings, Inc. (the “Company”), we hereby file with the staff (the “Staff”) of the Division of Corporation Finance of the Securities and Exchange Commission (the “Commission”) a Registration Statement on Form S-1 (the “Registration Statement”). The Company has revised the above-referenced Draft Registration Statement in response to the Staff’s comment letter, dated September 20, 2017 (the “Comment Letter”), and to otherwise update the Company’s disclosure.</w:t>
      </w:r>
    </w:p>
    <w:p>
      <w:pPr>
        <w:spacing w:after="0" w:line="190" w:lineRule="exact"/>
        <w:rPr>
          <w:sz w:val="24"/>
          <w:szCs w:val="24"/>
          <w:color w:val="auto"/>
        </w:rPr>
      </w:pPr>
    </w:p>
    <w:p>
      <w:pPr>
        <w:ind w:right="20" w:firstLine="589"/>
        <w:spacing w:after="0" w:line="266" w:lineRule="auto"/>
        <w:rPr>
          <w:sz w:val="20"/>
          <w:szCs w:val="20"/>
          <w:color w:val="auto"/>
        </w:rPr>
      </w:pPr>
      <w:r>
        <w:rPr>
          <w:rFonts w:ascii="Arial" w:cs="Arial" w:eastAsia="Arial" w:hAnsi="Arial"/>
          <w:sz w:val="16"/>
          <w:szCs w:val="16"/>
          <w:color w:val="auto"/>
        </w:rPr>
        <w:t>In addition, we are providing the following responses to the Staff’s Comment Letter. To assist your review, we have retyped the text of the Staff’s comments in italics below. Page references in our responses correspond to the pages of the Registration Statement. Unless otherwise defined below, terms defined in the Registration Statement and used below shall have the meanings given to them in the Registration Statement. The responses and information described below are based upon information provided to us by the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90170</wp:posOffset>
            </wp:positionV>
            <wp:extent cx="714502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446" w:right="319" w:bottom="1440" w:gutter="0" w:footer="0" w:header="0"/>
        </w:sectPr>
      </w:pPr>
    </w:p>
    <w:bookmarkStart w:id="1" w:name="page2"/>
    <w:bookmarkEnd w:id="1"/>
    <w:p>
      <w:pPr>
        <w:spacing w:after="0"/>
        <w:tabs>
          <w:tab w:leader="none" w:pos="9920" w:val="left"/>
        </w:tabs>
        <w:rPr>
          <w:sz w:val="20"/>
          <w:szCs w:val="20"/>
          <w:color w:val="auto"/>
        </w:rPr>
      </w:pPr>
      <w:r>
        <w:rPr>
          <w:rFonts w:ascii="Arial" w:cs="Arial" w:eastAsia="Arial" w:hAnsi="Arial"/>
          <w:sz w:val="16"/>
          <w:szCs w:val="16"/>
          <w:color w:val="auto"/>
        </w:rPr>
        <w:t>Securities and Exchange Commission</w:t>
      </w:r>
      <w:r>
        <w:rPr>
          <w:sz w:val="20"/>
          <w:szCs w:val="20"/>
          <w:color w:val="auto"/>
        </w:rPr>
        <w:tab/>
      </w:r>
      <w:r>
        <w:rPr>
          <w:rFonts w:ascii="Arial" w:cs="Arial" w:eastAsia="Arial" w:hAnsi="Arial"/>
          <w:sz w:val="14"/>
          <w:szCs w:val="14"/>
          <w:color w:val="auto"/>
        </w:rPr>
        <w:t>September 29, 2017</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General</w:t>
      </w:r>
    </w:p>
    <w:p>
      <w:pPr>
        <w:spacing w:after="0" w:line="233" w:lineRule="exact"/>
        <w:rPr>
          <w:sz w:val="20"/>
          <w:szCs w:val="20"/>
          <w:color w:val="auto"/>
        </w:rPr>
      </w:pPr>
    </w:p>
    <w:p>
      <w:pPr>
        <w:ind w:left="1180" w:right="240" w:hanging="593"/>
        <w:spacing w:after="0" w:line="287" w:lineRule="auto"/>
        <w:tabs>
          <w:tab w:leader="none" w:pos="118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If you do not believe that the material cited from Haynes and Company and The Vision Council is “expertised” material as contemplated by Rule 436, please tell us why you have obtained consents from these entities.</w:t>
      </w:r>
    </w:p>
    <w:p>
      <w:pPr>
        <w:spacing w:after="0" w:line="173" w:lineRule="exact"/>
        <w:rPr>
          <w:rFonts w:ascii="Arial" w:cs="Arial" w:eastAsia="Arial" w:hAnsi="Arial"/>
          <w:sz w:val="16"/>
          <w:szCs w:val="16"/>
          <w:i w:val="1"/>
          <w:iCs w:val="1"/>
          <w:color w:val="auto"/>
        </w:rPr>
      </w:pPr>
    </w:p>
    <w:p>
      <w:pPr>
        <w:ind w:left="1180" w:right="20"/>
        <w:spacing w:after="0" w:line="261" w:lineRule="auto"/>
        <w:rPr>
          <w:rFonts w:ascii="Arial" w:cs="Arial" w:eastAsia="Arial" w:hAnsi="Arial"/>
          <w:sz w:val="16"/>
          <w:szCs w:val="16"/>
          <w:i w:val="1"/>
          <w:iCs w:val="1"/>
          <w:color w:val="auto"/>
        </w:rPr>
      </w:pPr>
      <w:r>
        <w:rPr>
          <w:rFonts w:ascii="Arial" w:cs="Arial" w:eastAsia="Arial" w:hAnsi="Arial"/>
          <w:sz w:val="16"/>
          <w:szCs w:val="16"/>
          <w:color w:val="auto"/>
        </w:rPr>
        <w:t>The Company advises the Staff that, as a business relationship matter, it obtained permission from each of Haynes and Company and The Vision Council for use of their respective data in the Registration Statement, as that data is not publicly available. The Company supplementally provided to the Staff copies of these permissions under separate cover on August 28, 2017. The Company respectfully submits to the Staff that the permissions obtained by the Company from such entities were not intended to constitute “consents” pursuant to Rule 436 of the Securities Act and that obtaining such permissions is unrelated to a determination as to whether a consent is required to be obtained and filed under Rule 436. For the reasons previously discussed, the Company maintains that Haynes and Company and The Vision Council are not “experts” for which consents would be required to be filed pursuant to Rule 436.</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Use of Proceeds, page 45</w:t>
      </w:r>
    </w:p>
    <w:p>
      <w:pPr>
        <w:spacing w:after="0" w:line="233" w:lineRule="exact"/>
        <w:rPr>
          <w:sz w:val="20"/>
          <w:szCs w:val="20"/>
          <w:color w:val="auto"/>
        </w:rPr>
      </w:pPr>
    </w:p>
    <w:p>
      <w:pPr>
        <w:ind w:left="1180" w:right="40" w:hanging="593"/>
        <w:spacing w:after="0" w:line="287" w:lineRule="auto"/>
        <w:tabs>
          <w:tab w:leader="none" w:pos="118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response to prior comment 20. Expand the disclosure in the fourth paragraph on page 45 to state, if material, the portion of the outstanding principal balance held by investment funds or accounts managed or advised by the global credit business of KKR &amp; Co.</w:t>
      </w:r>
    </w:p>
    <w:p>
      <w:pPr>
        <w:spacing w:after="0" w:line="173" w:lineRule="exact"/>
        <w:rPr>
          <w:sz w:val="20"/>
          <w:szCs w:val="20"/>
          <w:color w:val="auto"/>
        </w:rPr>
      </w:pPr>
    </w:p>
    <w:p>
      <w:pPr>
        <w:ind w:left="1180" w:right="160"/>
        <w:spacing w:after="0" w:line="271" w:lineRule="auto"/>
        <w:rPr>
          <w:sz w:val="20"/>
          <w:szCs w:val="20"/>
          <w:color w:val="auto"/>
        </w:rPr>
      </w:pPr>
      <w:r>
        <w:rPr>
          <w:rFonts w:ascii="Arial" w:cs="Arial" w:eastAsia="Arial" w:hAnsi="Arial"/>
          <w:sz w:val="16"/>
          <w:szCs w:val="16"/>
          <w:color w:val="auto"/>
        </w:rPr>
        <w:t>The Company advises the Staff that the portion of the outstanding principal balance of its first lien term loans held by investment funds or accounts managed or advised by the global credit business of KKR &amp; Co. is not material. As of June 30, 2017, less than 1% of the outstanding principal balance of the Company’s first lien term loans was held by such entities.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 to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 15. Segment Reporting, page F-35</w:t>
      </w:r>
    </w:p>
    <w:p>
      <w:pPr>
        <w:spacing w:after="0" w:line="233" w:lineRule="exact"/>
        <w:rPr>
          <w:sz w:val="20"/>
          <w:szCs w:val="20"/>
          <w:color w:val="auto"/>
        </w:rPr>
      </w:pPr>
    </w:p>
    <w:p>
      <w:pPr>
        <w:ind w:left="1180" w:right="100" w:hanging="593"/>
        <w:spacing w:after="0" w:line="287" w:lineRule="auto"/>
        <w:tabs>
          <w:tab w:leader="none" w:pos="118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response to comment 35 that you have concluded your eyeglasses and contacts are finished prescription eyewear and are similar products. Please address the following:</w:t>
      </w:r>
    </w:p>
    <w:p>
      <w:pPr>
        <w:spacing w:after="0" w:line="173" w:lineRule="exact"/>
        <w:rPr>
          <w:rFonts w:ascii="Arial" w:cs="Arial" w:eastAsia="Arial" w:hAnsi="Arial"/>
          <w:sz w:val="16"/>
          <w:szCs w:val="16"/>
          <w:i w:val="1"/>
          <w:iCs w:val="1"/>
          <w:color w:val="auto"/>
        </w:rPr>
      </w:pPr>
    </w:p>
    <w:p>
      <w:pPr>
        <w:ind w:left="1480" w:hanging="304"/>
        <w:spacing w:after="0"/>
        <w:tabs>
          <w:tab w:leader="none" w:pos="1480"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Tell us whether eyeglasses and contacts have similar gross margins and if they have similar trends in revenue.</w:t>
      </w:r>
    </w:p>
    <w:p>
      <w:pPr>
        <w:spacing w:after="0" w:line="23" w:lineRule="exact"/>
        <w:rPr>
          <w:rFonts w:ascii="Arial" w:cs="Arial" w:eastAsia="Arial" w:hAnsi="Arial"/>
          <w:sz w:val="16"/>
          <w:szCs w:val="16"/>
          <w:color w:val="auto"/>
        </w:rPr>
      </w:pPr>
    </w:p>
    <w:p>
      <w:pPr>
        <w:ind w:left="1480" w:hanging="304"/>
        <w:spacing w:after="0"/>
        <w:tabs>
          <w:tab w:leader="none" w:pos="1480"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Tell us if your CODM reviews disaggregated revenue and gross margins for eyeglasses and contacts.</w:t>
      </w:r>
    </w:p>
    <w:p>
      <w:pPr>
        <w:spacing w:after="0" w:line="12" w:lineRule="exact"/>
        <w:rPr>
          <w:rFonts w:ascii="Arial" w:cs="Arial" w:eastAsia="Arial" w:hAnsi="Arial"/>
          <w:sz w:val="16"/>
          <w:szCs w:val="16"/>
          <w:color w:val="auto"/>
        </w:rPr>
      </w:pPr>
    </w:p>
    <w:p>
      <w:pPr>
        <w:ind w:left="1480" w:hanging="304"/>
        <w:spacing w:after="0"/>
        <w:tabs>
          <w:tab w:leader="none" w:pos="1480" w:val="left"/>
        </w:tabs>
        <w:numPr>
          <w:ilvl w:val="1"/>
          <w:numId w:val="3"/>
        </w:numPr>
        <w:rPr>
          <w:rFonts w:ascii="Arial" w:cs="Arial" w:eastAsia="Arial" w:hAnsi="Arial"/>
          <w:sz w:val="16"/>
          <w:szCs w:val="16"/>
          <w:color w:val="auto"/>
        </w:rPr>
      </w:pPr>
      <w:r>
        <w:rPr>
          <w:rFonts w:ascii="Arial" w:cs="Arial" w:eastAsia="Arial" w:hAnsi="Arial"/>
          <w:sz w:val="16"/>
          <w:szCs w:val="16"/>
          <w:i w:val="1"/>
          <w:iCs w:val="1"/>
          <w:color w:val="auto"/>
        </w:rPr>
        <w:t>Explain whether eyeglasses and contacts have different inventory obsolescence risks considering that contacts have expiration dates.</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502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2" w:name="page3"/>
    <w:bookmarkEnd w:id="2"/>
    <w:p>
      <w:pPr>
        <w:spacing w:after="0"/>
        <w:tabs>
          <w:tab w:leader="none" w:pos="9920" w:val="left"/>
        </w:tabs>
        <w:rPr>
          <w:sz w:val="20"/>
          <w:szCs w:val="20"/>
          <w:color w:val="auto"/>
        </w:rPr>
      </w:pPr>
      <w:r>
        <w:rPr>
          <w:rFonts w:ascii="Arial" w:cs="Arial" w:eastAsia="Arial" w:hAnsi="Arial"/>
          <w:sz w:val="16"/>
          <w:szCs w:val="16"/>
          <w:color w:val="auto"/>
        </w:rPr>
        <w:t>Securities and Exchange Commission</w:t>
      </w:r>
      <w:r>
        <w:rPr>
          <w:sz w:val="20"/>
          <w:szCs w:val="20"/>
          <w:color w:val="auto"/>
        </w:rPr>
        <w:tab/>
      </w:r>
      <w:r>
        <w:rPr>
          <w:rFonts w:ascii="Arial" w:cs="Arial" w:eastAsia="Arial" w:hAnsi="Arial"/>
          <w:sz w:val="14"/>
          <w:szCs w:val="14"/>
          <w:color w:val="auto"/>
        </w:rPr>
        <w:t>September 29, 2017</w:t>
      </w:r>
    </w:p>
    <w:p>
      <w:pPr>
        <w:spacing w:after="0" w:line="200" w:lineRule="exact"/>
        <w:rPr>
          <w:sz w:val="20"/>
          <w:szCs w:val="20"/>
          <w:color w:val="auto"/>
        </w:rPr>
      </w:pPr>
    </w:p>
    <w:p>
      <w:pPr>
        <w:spacing w:after="0" w:line="254" w:lineRule="exact"/>
        <w:rPr>
          <w:sz w:val="20"/>
          <w:szCs w:val="20"/>
          <w:color w:val="auto"/>
        </w:rPr>
      </w:pPr>
    </w:p>
    <w:p>
      <w:pPr>
        <w:ind w:left="1480" w:hanging="304"/>
        <w:spacing w:after="0"/>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Describe the differences between the manufacturing of finished prescription eyeglasses and the prescription contact lenses that you sell.</w:t>
      </w:r>
    </w:p>
    <w:p>
      <w:pPr>
        <w:spacing w:after="0" w:line="23" w:lineRule="exact"/>
        <w:rPr>
          <w:rFonts w:ascii="Arial" w:cs="Arial" w:eastAsia="Arial" w:hAnsi="Arial"/>
          <w:sz w:val="16"/>
          <w:szCs w:val="16"/>
          <w:color w:val="auto"/>
        </w:rPr>
      </w:pPr>
    </w:p>
    <w:p>
      <w:pPr>
        <w:ind w:left="1480" w:hanging="304"/>
        <w:spacing w:after="0"/>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Describe the differences in marketing between eyeglasses and contacts.</w:t>
      </w:r>
    </w:p>
    <w:p>
      <w:pPr>
        <w:spacing w:after="0" w:line="222" w:lineRule="exact"/>
        <w:rPr>
          <w:sz w:val="20"/>
          <w:szCs w:val="20"/>
          <w:color w:val="auto"/>
        </w:rPr>
      </w:pPr>
    </w:p>
    <w:p>
      <w:pPr>
        <w:ind w:left="1180"/>
        <w:spacing w:after="0"/>
        <w:rPr>
          <w:sz w:val="20"/>
          <w:szCs w:val="20"/>
          <w:color w:val="auto"/>
        </w:rPr>
      </w:pPr>
      <w:r>
        <w:rPr>
          <w:rFonts w:ascii="Arial" w:cs="Arial" w:eastAsia="Arial" w:hAnsi="Arial"/>
          <w:sz w:val="16"/>
          <w:szCs w:val="16"/>
          <w:i w:val="1"/>
          <w:iCs w:val="1"/>
          <w:color w:val="auto"/>
        </w:rPr>
        <w:t>Alternatively, please revise the filing to provide the disclosures described in ASC 280-10-50-40 and Item 101(c)(1)(i) of Regulation S-K.</w:t>
      </w:r>
    </w:p>
    <w:p>
      <w:pPr>
        <w:spacing w:after="0" w:line="233" w:lineRule="exact"/>
        <w:rPr>
          <w:sz w:val="20"/>
          <w:szCs w:val="20"/>
          <w:color w:val="auto"/>
        </w:rPr>
      </w:pPr>
    </w:p>
    <w:p>
      <w:pPr>
        <w:ind w:left="1180" w:right="480"/>
        <w:spacing w:after="0" w:line="271" w:lineRule="auto"/>
        <w:rPr>
          <w:sz w:val="20"/>
          <w:szCs w:val="20"/>
          <w:color w:val="auto"/>
        </w:rPr>
      </w:pPr>
      <w:r>
        <w:rPr>
          <w:rFonts w:ascii="Arial" w:cs="Arial" w:eastAsia="Arial" w:hAnsi="Arial"/>
          <w:sz w:val="16"/>
          <w:szCs w:val="16"/>
          <w:color w:val="auto"/>
        </w:rPr>
        <w:t>In response to the Staff’s comment, the Company has revised its disclosure to separately present product revenues for eyeglasses and sunglasses, contacts, and accessories and other on page F-36 of the Registration Statement to provide the disclosures described in ASC 280-10-50-40 and Item 101(c)(1)(i) of Regulation S-K.</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 4. Stock Incentive Plan, page F-45</w:t>
      </w:r>
    </w:p>
    <w:p>
      <w:pPr>
        <w:spacing w:after="0" w:line="233" w:lineRule="exact"/>
        <w:rPr>
          <w:sz w:val="20"/>
          <w:szCs w:val="20"/>
          <w:color w:val="auto"/>
        </w:rPr>
      </w:pPr>
    </w:p>
    <w:p>
      <w:pPr>
        <w:ind w:left="1180" w:right="600" w:hanging="593"/>
        <w:spacing w:after="0" w:line="287" w:lineRule="auto"/>
        <w:tabs>
          <w:tab w:leader="none" w:pos="118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that you issued 875,000 stock options during the six months ended July 1, 2017. Please tell us how you determined the fair value of your common stock underlying the equity instruments issued.</w:t>
      </w:r>
    </w:p>
    <w:p>
      <w:pPr>
        <w:spacing w:after="0" w:line="173" w:lineRule="exact"/>
        <w:rPr>
          <w:rFonts w:ascii="Arial" w:cs="Arial" w:eastAsia="Arial" w:hAnsi="Arial"/>
          <w:sz w:val="16"/>
          <w:szCs w:val="16"/>
          <w:i w:val="1"/>
          <w:iCs w:val="1"/>
          <w:color w:val="auto"/>
        </w:rPr>
      </w:pPr>
    </w:p>
    <w:p>
      <w:pPr>
        <w:ind w:left="1180" w:right="40"/>
        <w:spacing w:after="0" w:line="271" w:lineRule="auto"/>
        <w:rPr>
          <w:rFonts w:ascii="Arial" w:cs="Arial" w:eastAsia="Arial" w:hAnsi="Arial"/>
          <w:sz w:val="16"/>
          <w:szCs w:val="16"/>
          <w:i w:val="1"/>
          <w:iCs w:val="1"/>
          <w:color w:val="auto"/>
        </w:rPr>
      </w:pPr>
      <w:r>
        <w:rPr>
          <w:rFonts w:ascii="Arial" w:cs="Arial" w:eastAsia="Arial" w:hAnsi="Arial"/>
          <w:sz w:val="16"/>
          <w:szCs w:val="16"/>
          <w:color w:val="auto"/>
        </w:rPr>
        <w:t>The Company made four stock option grants during the six months ended July 1, 2017 as summarized in the table below. The Company advises the Staff that the fair value of the common stock underlying the options issued at each grant date was in each case determined by the Company’s Board of Directors based upon a semi-annual valuation provided by an independent third-party valuation firm.</w:t>
      </w:r>
    </w:p>
    <w:p>
      <w:pPr>
        <w:spacing w:after="0" w:line="186" w:lineRule="exact"/>
        <w:rPr>
          <w:rFonts w:ascii="Arial" w:cs="Arial" w:eastAsia="Arial" w:hAnsi="Arial"/>
          <w:sz w:val="16"/>
          <w:szCs w:val="16"/>
          <w:i w:val="1"/>
          <w:iCs w:val="1"/>
          <w:color w:val="auto"/>
        </w:rPr>
      </w:pPr>
    </w:p>
    <w:p>
      <w:pPr>
        <w:ind w:left="1180" w:right="80"/>
        <w:spacing w:after="0" w:line="259" w:lineRule="auto"/>
        <w:rPr>
          <w:rFonts w:ascii="Arial" w:cs="Arial" w:eastAsia="Arial" w:hAnsi="Arial"/>
          <w:sz w:val="16"/>
          <w:szCs w:val="16"/>
          <w:i w:val="1"/>
          <w:iCs w:val="1"/>
          <w:color w:val="auto"/>
        </w:rPr>
      </w:pPr>
      <w:r>
        <w:rPr>
          <w:rFonts w:ascii="Arial" w:cs="Arial" w:eastAsia="Arial" w:hAnsi="Arial"/>
          <w:sz w:val="16"/>
          <w:szCs w:val="16"/>
          <w:color w:val="auto"/>
        </w:rPr>
        <w:t>The valuation process performed by the third-party valuation firm takes into account both the income and market approach to valuation. The income approach projects enterprise value ranges based on the net present value of projected cash flows, which are provided by the Company’s management, while the market approach estimates enterprise value ranges based on trailing and projected EBITDA and revenue multiples for five comparable companies. The Company’s enterprise value ranges are based on an average of the two approaches. Debt is subtracted and cash is added to the enterprise value to calculate equity value ranges. The fair value ranges are based on the equity value ranges less a marketability discount (10% for the low end and 0% for the high end of the range). The third-party valuation firm presents the Company with both the fair value range and its overall conclusion on the fair value of equity per share, which is the midpoint of the fair value range. In setting the fair value for each grant, the Company’s Board of Directors also takes into consideration whether any material developments have occurred subsequent to the valuation process that may result in the grant date fair value being different from the midpoint of the fair value range contained in the most recent third-party valuation. For each of the grants summarized in the table below, the fair value approved by the Board was equal to the midpoint of the fair value range provided by the third-party valuation firm.</w:t>
      </w:r>
    </w:p>
    <w:p>
      <w:pPr>
        <w:spacing w:after="0" w:line="19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The stock options issued by the Company during the six months ended July 1, 2017 are summarized below:</w:t>
      </w:r>
    </w:p>
    <w:p>
      <w:pPr>
        <w:spacing w:after="0" w:line="229" w:lineRule="exact"/>
        <w:rPr>
          <w:sz w:val="20"/>
          <w:szCs w:val="20"/>
          <w:color w:val="auto"/>
        </w:rPr>
      </w:pPr>
    </w:p>
    <w:tbl>
      <w:tblPr>
        <w:tblLayout w:type="fixed"/>
        <w:tblInd w:w="1160" w:type="dxa"/>
        <w:tblCellMar>
          <w:top w:w="0" w:type="dxa"/>
          <w:left w:w="0" w:type="dxa"/>
          <w:bottom w:w="0" w:type="dxa"/>
          <w:right w:w="0" w:type="dxa"/>
        </w:tblCellMar>
      </w:tblPr>
      <w:tr>
        <w:trPr>
          <w:trHeight w:val="200"/>
        </w:trPr>
        <w:tc>
          <w:tcPr>
            <w:tcW w:w="1280" w:type="dxa"/>
            <w:vAlign w:val="bottom"/>
          </w:tcPr>
          <w:p>
            <w:pPr>
              <w:jc w:val="center"/>
              <w:ind w:right="158"/>
              <w:spacing w:after="0"/>
              <w:rPr>
                <w:sz w:val="20"/>
                <w:szCs w:val="20"/>
                <w:color w:val="auto"/>
              </w:rPr>
            </w:pPr>
            <w:r>
              <w:rPr>
                <w:rFonts w:ascii="Arial" w:cs="Arial" w:eastAsia="Arial" w:hAnsi="Arial"/>
                <w:sz w:val="16"/>
                <w:szCs w:val="16"/>
                <w:b w:val="1"/>
                <w:bCs w:val="1"/>
                <w:color w:val="auto"/>
                <w:w w:val="97"/>
              </w:rPr>
              <w:t>Grant Date</w:t>
            </w:r>
          </w:p>
        </w:tc>
        <w:tc>
          <w:tcPr>
            <w:tcW w:w="1560" w:type="dxa"/>
            <w:vAlign w:val="bottom"/>
            <w:gridSpan w:val="3"/>
          </w:tcPr>
          <w:p>
            <w:pPr>
              <w:ind w:left="260"/>
              <w:spacing w:after="0"/>
              <w:rPr>
                <w:sz w:val="20"/>
                <w:szCs w:val="20"/>
                <w:color w:val="auto"/>
              </w:rPr>
            </w:pPr>
            <w:r>
              <w:rPr>
                <w:rFonts w:ascii="Arial" w:cs="Arial" w:eastAsia="Arial" w:hAnsi="Arial"/>
                <w:sz w:val="16"/>
                <w:szCs w:val="16"/>
                <w:b w:val="1"/>
                <w:bCs w:val="1"/>
                <w:color w:val="auto"/>
              </w:rPr>
              <w:t>Options Issued</w:t>
            </w:r>
          </w:p>
        </w:tc>
        <w:tc>
          <w:tcPr>
            <w:tcW w:w="1400" w:type="dxa"/>
            <w:vAlign w:val="bottom"/>
          </w:tcPr>
          <w:p>
            <w:pPr>
              <w:ind w:left="260"/>
              <w:spacing w:after="0"/>
              <w:rPr>
                <w:sz w:val="20"/>
                <w:szCs w:val="20"/>
                <w:color w:val="auto"/>
              </w:rPr>
            </w:pPr>
            <w:r>
              <w:rPr>
                <w:rFonts w:ascii="Arial" w:cs="Arial" w:eastAsia="Arial" w:hAnsi="Arial"/>
                <w:sz w:val="16"/>
                <w:szCs w:val="16"/>
                <w:b w:val="1"/>
                <w:bCs w:val="1"/>
                <w:color w:val="auto"/>
              </w:rPr>
              <w:t>Option Price</w:t>
            </w:r>
          </w:p>
        </w:tc>
        <w:tc>
          <w:tcPr>
            <w:tcW w:w="1380" w:type="dxa"/>
            <w:vAlign w:val="bottom"/>
          </w:tcPr>
          <w:p>
            <w:pPr>
              <w:jc w:val="center"/>
              <w:ind w:left="138"/>
              <w:spacing w:after="0"/>
              <w:rPr>
                <w:sz w:val="20"/>
                <w:szCs w:val="20"/>
                <w:color w:val="auto"/>
              </w:rPr>
            </w:pPr>
            <w:r>
              <w:rPr>
                <w:rFonts w:ascii="Arial" w:cs="Arial" w:eastAsia="Arial" w:hAnsi="Arial"/>
                <w:sz w:val="16"/>
                <w:szCs w:val="16"/>
                <w:b w:val="1"/>
                <w:bCs w:val="1"/>
                <w:color w:val="auto"/>
                <w:w w:val="93"/>
              </w:rPr>
              <w:t>Valuation Date</w:t>
            </w:r>
          </w:p>
        </w:tc>
      </w:tr>
      <w:tr>
        <w:trPr>
          <w:trHeight w:val="208"/>
        </w:trPr>
        <w:tc>
          <w:tcPr>
            <w:tcW w:w="1280" w:type="dxa"/>
            <w:vAlign w:val="bottom"/>
          </w:tcPr>
          <w:p>
            <w:pPr>
              <w:jc w:val="center"/>
              <w:ind w:right="158"/>
              <w:spacing w:after="0"/>
              <w:rPr>
                <w:sz w:val="20"/>
                <w:szCs w:val="20"/>
                <w:color w:val="auto"/>
              </w:rPr>
            </w:pPr>
            <w:r>
              <w:rPr>
                <w:rFonts w:ascii="Arial" w:cs="Arial" w:eastAsia="Arial" w:hAnsi="Arial"/>
                <w:sz w:val="16"/>
                <w:szCs w:val="16"/>
                <w:color w:val="auto"/>
                <w:w w:val="93"/>
              </w:rPr>
              <w:t>March 20, 2017</w:t>
            </w:r>
          </w:p>
        </w:tc>
        <w:tc>
          <w:tcPr>
            <w:tcW w:w="1100" w:type="dxa"/>
            <w:vAlign w:val="bottom"/>
            <w:gridSpan w:val="2"/>
          </w:tcPr>
          <w:p>
            <w:pPr>
              <w:ind w:left="580"/>
              <w:spacing w:after="0"/>
              <w:rPr>
                <w:sz w:val="20"/>
                <w:szCs w:val="20"/>
                <w:color w:val="auto"/>
              </w:rPr>
            </w:pPr>
            <w:r>
              <w:rPr>
                <w:rFonts w:ascii="Arial" w:cs="Arial" w:eastAsia="Arial" w:hAnsi="Arial"/>
                <w:sz w:val="16"/>
                <w:szCs w:val="16"/>
                <w:color w:val="auto"/>
                <w:w w:val="86"/>
              </w:rPr>
              <w:t>125,000</w:t>
            </w:r>
          </w:p>
        </w:tc>
        <w:tc>
          <w:tcPr>
            <w:tcW w:w="460" w:type="dxa"/>
            <w:vAlign w:val="bottom"/>
          </w:tcPr>
          <w:p>
            <w:pPr>
              <w:spacing w:after="0"/>
              <w:rPr>
                <w:sz w:val="18"/>
                <w:szCs w:val="18"/>
                <w:color w:val="auto"/>
              </w:rPr>
            </w:pPr>
          </w:p>
        </w:tc>
        <w:tc>
          <w:tcPr>
            <w:tcW w:w="1400" w:type="dxa"/>
            <w:vAlign w:val="bottom"/>
          </w:tcPr>
          <w:p>
            <w:pPr>
              <w:ind w:left="480"/>
              <w:spacing w:after="0"/>
              <w:rPr>
                <w:sz w:val="20"/>
                <w:szCs w:val="20"/>
                <w:color w:val="auto"/>
              </w:rPr>
            </w:pPr>
            <w:r>
              <w:rPr>
                <w:rFonts w:ascii="Arial" w:cs="Arial" w:eastAsia="Arial" w:hAnsi="Arial"/>
                <w:sz w:val="16"/>
                <w:szCs w:val="16"/>
                <w:color w:val="auto"/>
              </w:rPr>
              <w:t>$6.06*</w:t>
            </w:r>
          </w:p>
        </w:tc>
        <w:tc>
          <w:tcPr>
            <w:tcW w:w="1380" w:type="dxa"/>
            <w:vAlign w:val="bottom"/>
          </w:tcPr>
          <w:p>
            <w:pPr>
              <w:jc w:val="center"/>
              <w:ind w:left="158"/>
              <w:spacing w:after="0"/>
              <w:rPr>
                <w:sz w:val="20"/>
                <w:szCs w:val="20"/>
                <w:color w:val="auto"/>
              </w:rPr>
            </w:pPr>
            <w:r>
              <w:rPr>
                <w:rFonts w:ascii="Arial" w:cs="Arial" w:eastAsia="Arial" w:hAnsi="Arial"/>
                <w:sz w:val="16"/>
                <w:szCs w:val="16"/>
                <w:color w:val="auto"/>
                <w:w w:val="92"/>
              </w:rPr>
              <w:t>October 20, 2016</w:t>
            </w:r>
          </w:p>
        </w:tc>
      </w:tr>
      <w:tr>
        <w:trPr>
          <w:trHeight w:val="393"/>
        </w:trPr>
        <w:tc>
          <w:tcPr>
            <w:tcW w:w="1280" w:type="dxa"/>
            <w:vAlign w:val="bottom"/>
          </w:tcPr>
          <w:p>
            <w:pPr>
              <w:jc w:val="center"/>
              <w:ind w:right="158"/>
              <w:spacing w:after="0"/>
              <w:rPr>
                <w:sz w:val="20"/>
                <w:szCs w:val="20"/>
                <w:color w:val="auto"/>
              </w:rPr>
            </w:pPr>
            <w:r>
              <w:rPr>
                <w:rFonts w:ascii="Arial" w:cs="Arial" w:eastAsia="Arial" w:hAnsi="Arial"/>
                <w:sz w:val="16"/>
                <w:szCs w:val="16"/>
                <w:color w:val="auto"/>
                <w:w w:val="97"/>
              </w:rPr>
              <w:t>April 13, 2017</w:t>
            </w:r>
          </w:p>
        </w:tc>
        <w:tc>
          <w:tcPr>
            <w:tcW w:w="1560" w:type="dxa"/>
            <w:vAlign w:val="bottom"/>
            <w:gridSpan w:val="3"/>
          </w:tcPr>
          <w:p>
            <w:pPr>
              <w:ind w:left="580"/>
              <w:spacing w:after="0"/>
              <w:rPr>
                <w:sz w:val="20"/>
                <w:szCs w:val="20"/>
                <w:color w:val="auto"/>
              </w:rPr>
            </w:pPr>
            <w:r>
              <w:rPr>
                <w:rFonts w:ascii="Arial" w:cs="Arial" w:eastAsia="Arial" w:hAnsi="Arial"/>
                <w:sz w:val="16"/>
                <w:szCs w:val="16"/>
                <w:color w:val="auto"/>
              </w:rPr>
              <w:t>100,000</w:t>
            </w:r>
          </w:p>
        </w:tc>
        <w:tc>
          <w:tcPr>
            <w:tcW w:w="1400" w:type="dxa"/>
            <w:vAlign w:val="bottom"/>
          </w:tcPr>
          <w:p>
            <w:pPr>
              <w:ind w:left="480"/>
              <w:spacing w:after="0"/>
              <w:rPr>
                <w:sz w:val="20"/>
                <w:szCs w:val="20"/>
                <w:color w:val="auto"/>
              </w:rPr>
            </w:pPr>
            <w:r>
              <w:rPr>
                <w:rFonts w:ascii="Arial" w:cs="Arial" w:eastAsia="Arial" w:hAnsi="Arial"/>
                <w:sz w:val="16"/>
                <w:szCs w:val="16"/>
                <w:color w:val="auto"/>
              </w:rPr>
              <w:t>$7.66</w:t>
            </w:r>
          </w:p>
        </w:tc>
        <w:tc>
          <w:tcPr>
            <w:tcW w:w="1380" w:type="dxa"/>
            <w:vAlign w:val="bottom"/>
          </w:tcPr>
          <w:p>
            <w:pPr>
              <w:jc w:val="center"/>
              <w:ind w:left="138"/>
              <w:spacing w:after="0"/>
              <w:rPr>
                <w:sz w:val="20"/>
                <w:szCs w:val="20"/>
                <w:color w:val="auto"/>
              </w:rPr>
            </w:pPr>
            <w:r>
              <w:rPr>
                <w:rFonts w:ascii="Arial" w:cs="Arial" w:eastAsia="Arial" w:hAnsi="Arial"/>
                <w:sz w:val="16"/>
                <w:szCs w:val="16"/>
                <w:color w:val="auto"/>
                <w:w w:val="97"/>
              </w:rPr>
              <w:t>April 7, 2017</w:t>
            </w:r>
          </w:p>
        </w:tc>
      </w:tr>
      <w:tr>
        <w:trPr>
          <w:trHeight w:val="393"/>
        </w:trPr>
        <w:tc>
          <w:tcPr>
            <w:tcW w:w="1280" w:type="dxa"/>
            <w:vAlign w:val="bottom"/>
          </w:tcPr>
          <w:p>
            <w:pPr>
              <w:jc w:val="center"/>
              <w:ind w:right="158"/>
              <w:spacing w:after="0"/>
              <w:rPr>
                <w:sz w:val="20"/>
                <w:szCs w:val="20"/>
                <w:color w:val="auto"/>
              </w:rPr>
            </w:pPr>
            <w:r>
              <w:rPr>
                <w:rFonts w:ascii="Arial" w:cs="Arial" w:eastAsia="Arial" w:hAnsi="Arial"/>
                <w:sz w:val="16"/>
                <w:szCs w:val="16"/>
                <w:color w:val="auto"/>
                <w:w w:val="94"/>
              </w:rPr>
              <w:t>May 16, 2017</w:t>
            </w:r>
          </w:p>
        </w:tc>
        <w:tc>
          <w:tcPr>
            <w:tcW w:w="1560" w:type="dxa"/>
            <w:vAlign w:val="bottom"/>
            <w:gridSpan w:val="3"/>
          </w:tcPr>
          <w:p>
            <w:pPr>
              <w:ind w:left="580"/>
              <w:spacing w:after="0"/>
              <w:rPr>
                <w:sz w:val="20"/>
                <w:szCs w:val="20"/>
                <w:color w:val="auto"/>
              </w:rPr>
            </w:pPr>
            <w:r>
              <w:rPr>
                <w:rFonts w:ascii="Arial" w:cs="Arial" w:eastAsia="Arial" w:hAnsi="Arial"/>
                <w:sz w:val="16"/>
                <w:szCs w:val="16"/>
                <w:color w:val="auto"/>
              </w:rPr>
              <w:t>200,000</w:t>
            </w:r>
          </w:p>
        </w:tc>
        <w:tc>
          <w:tcPr>
            <w:tcW w:w="1400" w:type="dxa"/>
            <w:vAlign w:val="bottom"/>
          </w:tcPr>
          <w:p>
            <w:pPr>
              <w:ind w:left="480"/>
              <w:spacing w:after="0"/>
              <w:rPr>
                <w:sz w:val="20"/>
                <w:szCs w:val="20"/>
                <w:color w:val="auto"/>
              </w:rPr>
            </w:pPr>
            <w:r>
              <w:rPr>
                <w:rFonts w:ascii="Arial" w:cs="Arial" w:eastAsia="Arial" w:hAnsi="Arial"/>
                <w:sz w:val="16"/>
                <w:szCs w:val="16"/>
                <w:color w:val="auto"/>
              </w:rPr>
              <w:t>$7.66</w:t>
            </w:r>
          </w:p>
        </w:tc>
        <w:tc>
          <w:tcPr>
            <w:tcW w:w="1380" w:type="dxa"/>
            <w:vAlign w:val="bottom"/>
          </w:tcPr>
          <w:p>
            <w:pPr>
              <w:jc w:val="center"/>
              <w:ind w:left="138"/>
              <w:spacing w:after="0"/>
              <w:rPr>
                <w:sz w:val="20"/>
                <w:szCs w:val="20"/>
                <w:color w:val="auto"/>
              </w:rPr>
            </w:pPr>
            <w:r>
              <w:rPr>
                <w:rFonts w:ascii="Arial" w:cs="Arial" w:eastAsia="Arial" w:hAnsi="Arial"/>
                <w:sz w:val="16"/>
                <w:szCs w:val="16"/>
                <w:color w:val="auto"/>
                <w:w w:val="97"/>
              </w:rPr>
              <w:t>April 7, 2017</w:t>
            </w:r>
          </w:p>
        </w:tc>
      </w:tr>
      <w:tr>
        <w:trPr>
          <w:trHeight w:val="411"/>
        </w:trPr>
        <w:tc>
          <w:tcPr>
            <w:tcW w:w="1280" w:type="dxa"/>
            <w:vAlign w:val="bottom"/>
          </w:tcPr>
          <w:p>
            <w:pPr>
              <w:jc w:val="center"/>
              <w:ind w:right="158"/>
              <w:spacing w:after="0"/>
              <w:rPr>
                <w:sz w:val="20"/>
                <w:szCs w:val="20"/>
                <w:color w:val="auto"/>
              </w:rPr>
            </w:pPr>
            <w:r>
              <w:rPr>
                <w:rFonts w:ascii="Arial" w:cs="Arial" w:eastAsia="Arial" w:hAnsi="Arial"/>
                <w:sz w:val="16"/>
                <w:szCs w:val="16"/>
                <w:color w:val="auto"/>
                <w:w w:val="90"/>
              </w:rPr>
              <w:t>June 5, 2017</w:t>
            </w:r>
          </w:p>
        </w:tc>
        <w:tc>
          <w:tcPr>
            <w:tcW w:w="520" w:type="dxa"/>
            <w:vAlign w:val="bottom"/>
          </w:tcPr>
          <w:p>
            <w:pPr>
              <w:spacing w:after="0"/>
              <w:rPr>
                <w:sz w:val="24"/>
                <w:szCs w:val="24"/>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w w:val="86"/>
              </w:rPr>
              <w:t>450,000</w:t>
            </w:r>
          </w:p>
        </w:tc>
        <w:tc>
          <w:tcPr>
            <w:tcW w:w="460" w:type="dxa"/>
            <w:vAlign w:val="bottom"/>
          </w:tcPr>
          <w:p>
            <w:pPr>
              <w:spacing w:after="0"/>
              <w:rPr>
                <w:sz w:val="24"/>
                <w:szCs w:val="24"/>
                <w:color w:val="auto"/>
              </w:rPr>
            </w:pPr>
          </w:p>
        </w:tc>
        <w:tc>
          <w:tcPr>
            <w:tcW w:w="1400" w:type="dxa"/>
            <w:vAlign w:val="bottom"/>
          </w:tcPr>
          <w:p>
            <w:pPr>
              <w:ind w:left="480"/>
              <w:spacing w:after="0"/>
              <w:rPr>
                <w:sz w:val="20"/>
                <w:szCs w:val="20"/>
                <w:color w:val="auto"/>
              </w:rPr>
            </w:pPr>
            <w:r>
              <w:rPr>
                <w:rFonts w:ascii="Arial" w:cs="Arial" w:eastAsia="Arial" w:hAnsi="Arial"/>
                <w:sz w:val="16"/>
                <w:szCs w:val="16"/>
                <w:color w:val="auto"/>
              </w:rPr>
              <w:t>$7.66</w:t>
            </w:r>
          </w:p>
        </w:tc>
        <w:tc>
          <w:tcPr>
            <w:tcW w:w="1380" w:type="dxa"/>
            <w:vAlign w:val="bottom"/>
          </w:tcPr>
          <w:p>
            <w:pPr>
              <w:jc w:val="center"/>
              <w:ind w:left="138"/>
              <w:spacing w:after="0"/>
              <w:rPr>
                <w:sz w:val="20"/>
                <w:szCs w:val="20"/>
                <w:color w:val="auto"/>
              </w:rPr>
            </w:pPr>
            <w:r>
              <w:rPr>
                <w:rFonts w:ascii="Arial" w:cs="Arial" w:eastAsia="Arial" w:hAnsi="Arial"/>
                <w:sz w:val="16"/>
                <w:szCs w:val="16"/>
                <w:color w:val="auto"/>
                <w:w w:val="97"/>
              </w:rPr>
              <w:t>April 7, 2017</w:t>
            </w:r>
          </w:p>
        </w:tc>
      </w:tr>
      <w:tr>
        <w:trPr>
          <w:trHeight w:val="379"/>
        </w:trPr>
        <w:tc>
          <w:tcPr>
            <w:tcW w:w="1280" w:type="dxa"/>
            <w:vAlign w:val="bottom"/>
          </w:tcPr>
          <w:p>
            <w:pPr>
              <w:jc w:val="center"/>
              <w:ind w:right="138"/>
              <w:spacing w:after="0"/>
              <w:rPr>
                <w:sz w:val="20"/>
                <w:szCs w:val="20"/>
                <w:color w:val="auto"/>
              </w:rPr>
            </w:pPr>
            <w:r>
              <w:rPr>
                <w:rFonts w:ascii="Arial" w:cs="Arial" w:eastAsia="Arial" w:hAnsi="Arial"/>
                <w:sz w:val="16"/>
                <w:szCs w:val="16"/>
                <w:color w:val="auto"/>
                <w:w w:val="95"/>
              </w:rPr>
              <w:t>Total</w:t>
            </w:r>
          </w:p>
        </w:tc>
        <w:tc>
          <w:tcPr>
            <w:tcW w:w="1560" w:type="dxa"/>
            <w:vAlign w:val="bottom"/>
            <w:gridSpan w:val="3"/>
          </w:tcPr>
          <w:p>
            <w:pPr>
              <w:ind w:left="580"/>
              <w:spacing w:after="0"/>
              <w:rPr>
                <w:sz w:val="20"/>
                <w:szCs w:val="20"/>
                <w:color w:val="auto"/>
              </w:rPr>
            </w:pPr>
            <w:r>
              <w:rPr>
                <w:rFonts w:ascii="Arial" w:cs="Arial" w:eastAsia="Arial" w:hAnsi="Arial"/>
                <w:sz w:val="16"/>
                <w:szCs w:val="16"/>
                <w:color w:val="auto"/>
              </w:rPr>
              <w:t>875,000</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09" w:lineRule="exact"/>
        <w:rPr>
          <w:sz w:val="20"/>
          <w:szCs w:val="20"/>
          <w:color w:val="auto"/>
        </w:rPr>
      </w:pPr>
    </w:p>
    <w:p>
      <w:pPr>
        <w:ind w:right="2040" w:firstLine="1176"/>
        <w:spacing w:after="0" w:line="528" w:lineRule="auto"/>
        <w:tabs>
          <w:tab w:leader="none" w:pos="1301"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Based on an October 20, 2016 fair value of $7.57, as adjusted by $1.51 for the Company’s dividend on February 2, 2017. </w:t>
      </w:r>
      <w:r>
        <w:rPr>
          <w:rFonts w:ascii="Arial" w:cs="Arial" w:eastAsia="Arial" w:hAnsi="Arial"/>
          <w:sz w:val="16"/>
          <w:szCs w:val="16"/>
          <w:u w:val="single" w:color="auto"/>
          <w:color w:val="auto"/>
        </w:rPr>
        <w:t>Exhibits and Financial Statement Schedules, page II-4</w:t>
      </w:r>
    </w:p>
    <w:p>
      <w:pPr>
        <w:ind w:left="1180" w:right="160" w:hanging="593"/>
        <w:spacing w:after="0" w:line="287" w:lineRule="auto"/>
        <w:tabs>
          <w:tab w:leader="none" w:pos="118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We note that you filed a request for confidential treatment for portions of exhibits to your draft registration statement. We will provide any comments on your request separately. The resolution of these comments may involve additional revisions to your disclosure.</w:t>
      </w:r>
    </w:p>
    <w:p>
      <w:pPr>
        <w:spacing w:after="0" w:line="173" w:lineRule="exact"/>
        <w:rPr>
          <w:rFonts w:ascii="Arial" w:cs="Arial" w:eastAsia="Arial" w:hAnsi="Arial"/>
          <w:sz w:val="16"/>
          <w:szCs w:val="16"/>
          <w:i w:val="1"/>
          <w:iCs w:val="1"/>
          <w:color w:val="auto"/>
        </w:rPr>
      </w:pPr>
    </w:p>
    <w:p>
      <w:pPr>
        <w:ind w:left="1180"/>
        <w:spacing w:after="0"/>
        <w:rPr>
          <w:rFonts w:ascii="Arial" w:cs="Arial" w:eastAsia="Arial" w:hAnsi="Arial"/>
          <w:sz w:val="16"/>
          <w:szCs w:val="16"/>
          <w:i w:val="1"/>
          <w:iCs w:val="1"/>
          <w:color w:val="auto"/>
        </w:rPr>
      </w:pPr>
      <w:r>
        <w:rPr>
          <w:rFonts w:ascii="Arial" w:cs="Arial" w:eastAsia="Arial" w:hAnsi="Arial"/>
          <w:sz w:val="15"/>
          <w:szCs w:val="15"/>
          <w:color w:val="auto"/>
        </w:rPr>
        <w:t>The Company acknowledges the Staff’s comment and will review and respond to any comments on its confidential treatment request when received.</w:t>
      </w:r>
    </w:p>
    <w:p>
      <w:pPr>
        <w:spacing w:after="0" w:line="245" w:lineRule="exact"/>
        <w:rPr>
          <w:sz w:val="20"/>
          <w:szCs w:val="20"/>
          <w:color w:val="auto"/>
        </w:rPr>
      </w:pPr>
    </w:p>
    <w:p>
      <w:pPr>
        <w:jc w:val="center"/>
        <w:ind w:right="20"/>
        <w:spacing w:after="0"/>
        <w:tabs>
          <w:tab w:leader="none" w:pos="220" w:val="left"/>
          <w:tab w:leader="none" w:pos="240" w:val="left"/>
          <w:tab w:leader="none" w:pos="220" w:val="left"/>
          <w:tab w:leader="none" w:pos="220" w:val="left"/>
          <w:tab w:leader="none" w:pos="240" w:val="left"/>
          <w:tab w:leader="none" w:pos="220" w:val="left"/>
          <w:tab w:leader="none" w:pos="220" w:val="left"/>
        </w:tabs>
        <w:rPr>
          <w:sz w:val="20"/>
          <w:szCs w:val="20"/>
          <w:color w:val="auto"/>
        </w:rPr>
      </w:pP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w:t>
        <w:tab/>
        <w:t>*</w:t>
        <w:tab/>
        <w:t>*</w:t>
      </w:r>
      <w:r>
        <w:rPr>
          <w:sz w:val="20"/>
          <w:szCs w:val="20"/>
          <w:color w:val="auto"/>
        </w:rPr>
        <w:tab/>
      </w:r>
      <w:r>
        <w:rPr>
          <w:rFonts w:ascii="Arial" w:cs="Arial" w:eastAsia="Arial" w:hAnsi="Arial"/>
          <w:sz w:val="16"/>
          <w:szCs w:val="16"/>
          <w:color w:val="auto"/>
        </w:rPr>
        <w:t>*</w:t>
        <w:tab/>
        <w:t>*</w:t>
        <w:tab/>
        <w:t>*</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wp:posOffset>
            </wp:positionV>
            <wp:extent cx="714502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p>
      <w:pPr>
        <w:sectPr>
          <w:pgSz w:w="11900" w:h="16838" w:orient="portrait"/>
          <w:cols w:equalWidth="0" w:num="1">
            <w:col w:w="11260"/>
          </w:cols>
          <w:pgMar w:left="320" w:top="127" w:right="319" w:bottom="1440" w:gutter="0" w:footer="0" w:header="0"/>
        </w:sectPr>
      </w:pPr>
    </w:p>
    <w:bookmarkStart w:id="3" w:name="page4"/>
    <w:bookmarkEnd w:id="3"/>
    <w:p>
      <w:pPr>
        <w:ind w:left="2"/>
        <w:spacing w:after="0"/>
        <w:tabs>
          <w:tab w:leader="none" w:pos="9921" w:val="left"/>
        </w:tabs>
        <w:rPr>
          <w:sz w:val="20"/>
          <w:szCs w:val="20"/>
          <w:color w:val="auto"/>
        </w:rPr>
      </w:pPr>
      <w:r>
        <w:rPr>
          <w:rFonts w:ascii="Arial" w:cs="Arial" w:eastAsia="Arial" w:hAnsi="Arial"/>
          <w:sz w:val="16"/>
          <w:szCs w:val="16"/>
          <w:color w:val="auto"/>
        </w:rPr>
        <w:t>Securities and Exchange Commission</w:t>
      </w:r>
      <w:r>
        <w:rPr>
          <w:sz w:val="20"/>
          <w:szCs w:val="20"/>
          <w:color w:val="auto"/>
        </w:rPr>
        <w:tab/>
      </w:r>
      <w:r>
        <w:rPr>
          <w:rFonts w:ascii="Arial" w:cs="Arial" w:eastAsia="Arial" w:hAnsi="Arial"/>
          <w:sz w:val="14"/>
          <w:szCs w:val="14"/>
          <w:color w:val="auto"/>
        </w:rPr>
        <w:t>September 29, 2017</w:t>
      </w:r>
    </w:p>
    <w:p>
      <w:pPr>
        <w:spacing w:after="0" w:line="200" w:lineRule="exact"/>
        <w:rPr>
          <w:sz w:val="20"/>
          <w:szCs w:val="20"/>
          <w:color w:val="auto"/>
        </w:rPr>
      </w:pPr>
    </w:p>
    <w:p>
      <w:pPr>
        <w:spacing w:after="0" w:line="254" w:lineRule="exact"/>
        <w:rPr>
          <w:sz w:val="20"/>
          <w:szCs w:val="20"/>
          <w:color w:val="auto"/>
        </w:rPr>
      </w:pPr>
    </w:p>
    <w:p>
      <w:pPr>
        <w:ind w:left="2" w:right="600" w:firstLine="589"/>
        <w:spacing w:after="0" w:line="263" w:lineRule="auto"/>
        <w:rPr>
          <w:sz w:val="20"/>
          <w:szCs w:val="20"/>
          <w:color w:val="auto"/>
        </w:rPr>
      </w:pPr>
      <w:r>
        <w:rPr>
          <w:rFonts w:ascii="Arial" w:cs="Arial" w:eastAsia="Arial" w:hAnsi="Arial"/>
          <w:sz w:val="16"/>
          <w:szCs w:val="16"/>
          <w:color w:val="auto"/>
        </w:rPr>
        <w:t>Please do not hesitate to call me at (212) 455-2948 with any questions or further comments regarding this filing or if you wish to discuss any of the above responses.</w:t>
      </w:r>
    </w:p>
    <w:p>
      <w:pPr>
        <w:spacing w:after="0" w:line="1" w:lineRule="exact"/>
        <w:rPr>
          <w:sz w:val="20"/>
          <w:szCs w:val="20"/>
          <w:color w:val="auto"/>
        </w:rPr>
      </w:pPr>
    </w:p>
    <w:p>
      <w:pPr>
        <w:ind w:left="4942"/>
        <w:spacing w:after="0"/>
        <w:rPr>
          <w:sz w:val="20"/>
          <w:szCs w:val="20"/>
          <w:color w:val="auto"/>
        </w:rPr>
      </w:pPr>
      <w:r>
        <w:rPr>
          <w:rFonts w:ascii="Arial" w:cs="Arial" w:eastAsia="Arial" w:hAnsi="Arial"/>
          <w:sz w:val="16"/>
          <w:szCs w:val="16"/>
          <w:color w:val="auto"/>
        </w:rPr>
        <w:t>Very truly yours,</w:t>
      </w:r>
    </w:p>
    <w:p>
      <w:pPr>
        <w:spacing w:after="0" w:line="197" w:lineRule="exact"/>
        <w:rPr>
          <w:sz w:val="20"/>
          <w:szCs w:val="20"/>
          <w:color w:val="auto"/>
        </w:rPr>
      </w:pPr>
    </w:p>
    <w:p>
      <w:pPr>
        <w:ind w:left="4942"/>
        <w:spacing w:after="0"/>
        <w:rPr>
          <w:sz w:val="20"/>
          <w:szCs w:val="20"/>
          <w:color w:val="auto"/>
        </w:rPr>
      </w:pPr>
      <w:r>
        <w:rPr>
          <w:rFonts w:ascii="Arial" w:cs="Arial" w:eastAsia="Arial" w:hAnsi="Arial"/>
          <w:sz w:val="16"/>
          <w:szCs w:val="16"/>
          <w:color w:val="auto"/>
        </w:rPr>
        <w:t>/s/ Joseph H. Kaufman</w:t>
      </w:r>
    </w:p>
    <w:p>
      <w:pPr>
        <w:spacing w:after="0" w:line="209" w:lineRule="exact"/>
        <w:rPr>
          <w:sz w:val="20"/>
          <w:szCs w:val="20"/>
          <w:color w:val="auto"/>
        </w:rPr>
      </w:pPr>
    </w:p>
    <w:p>
      <w:pPr>
        <w:ind w:left="4942"/>
        <w:spacing w:after="0"/>
        <w:rPr>
          <w:sz w:val="20"/>
          <w:szCs w:val="20"/>
          <w:color w:val="auto"/>
        </w:rPr>
      </w:pPr>
      <w:r>
        <w:rPr>
          <w:rFonts w:ascii="Arial" w:cs="Arial" w:eastAsia="Arial" w:hAnsi="Arial"/>
          <w:sz w:val="16"/>
          <w:szCs w:val="16"/>
          <w:color w:val="auto"/>
        </w:rPr>
        <w:t>Joseph H. Kaufman</w:t>
      </w:r>
    </w:p>
    <w:p>
      <w:pPr>
        <w:spacing w:after="0" w:line="24" w:lineRule="exact"/>
        <w:rPr>
          <w:sz w:val="20"/>
          <w:szCs w:val="20"/>
          <w:color w:val="auto"/>
        </w:rPr>
      </w:pPr>
    </w:p>
    <w:p>
      <w:pPr>
        <w:ind w:left="1422" w:right="7960" w:hanging="1422"/>
        <w:spacing w:after="0" w:line="256" w:lineRule="auto"/>
        <w:tabs>
          <w:tab w:leader="none" w:pos="821" w:val="left"/>
        </w:tabs>
        <w:numPr>
          <w:ilvl w:val="0"/>
          <w:numId w:val="7"/>
        </w:numPr>
        <w:rPr>
          <w:rFonts w:ascii="Arial" w:cs="Arial" w:eastAsia="Arial" w:hAnsi="Arial"/>
          <w:sz w:val="16"/>
          <w:szCs w:val="16"/>
          <w:color w:val="auto"/>
        </w:rPr>
      </w:pPr>
      <w:r>
        <w:rPr>
          <w:rFonts w:ascii="Arial" w:cs="Arial" w:eastAsia="Arial" w:hAnsi="Arial"/>
          <w:sz w:val="16"/>
          <w:szCs w:val="16"/>
          <w:color w:val="auto"/>
        </w:rPr>
        <w:t>Securities and Exchange Commission Tom Jones</w:t>
      </w:r>
    </w:p>
    <w:p>
      <w:pPr>
        <w:jc w:val="both"/>
        <w:ind w:left="1422" w:right="8980"/>
        <w:spacing w:after="0" w:line="306" w:lineRule="auto"/>
        <w:rPr>
          <w:rFonts w:ascii="Arial" w:cs="Arial" w:eastAsia="Arial" w:hAnsi="Arial"/>
          <w:sz w:val="16"/>
          <w:szCs w:val="16"/>
          <w:color w:val="auto"/>
        </w:rPr>
      </w:pPr>
      <w:r>
        <w:rPr>
          <w:rFonts w:ascii="Arial" w:cs="Arial" w:eastAsia="Arial" w:hAnsi="Arial"/>
          <w:sz w:val="15"/>
          <w:szCs w:val="15"/>
          <w:color w:val="auto"/>
        </w:rPr>
        <w:t>Tara Harkins Kevin Kuhar</w:t>
      </w:r>
    </w:p>
    <w:p>
      <w:pPr>
        <w:spacing w:after="0" w:line="138" w:lineRule="exact"/>
        <w:rPr>
          <w:sz w:val="20"/>
          <w:szCs w:val="20"/>
          <w:color w:val="auto"/>
        </w:rPr>
      </w:pPr>
    </w:p>
    <w:p>
      <w:pPr>
        <w:ind w:left="822"/>
        <w:spacing w:after="0"/>
        <w:rPr>
          <w:sz w:val="20"/>
          <w:szCs w:val="20"/>
          <w:color w:val="auto"/>
        </w:rPr>
      </w:pPr>
      <w:r>
        <w:rPr>
          <w:rFonts w:ascii="Arial" w:cs="Arial" w:eastAsia="Arial" w:hAnsi="Arial"/>
          <w:sz w:val="16"/>
          <w:szCs w:val="16"/>
          <w:color w:val="auto"/>
        </w:rPr>
        <w:t>National Vision Holdings, Inc.</w:t>
      </w:r>
    </w:p>
    <w:p>
      <w:pPr>
        <w:spacing w:after="0" w:line="24" w:lineRule="exact"/>
        <w:rPr>
          <w:sz w:val="20"/>
          <w:szCs w:val="20"/>
          <w:color w:val="auto"/>
        </w:rPr>
      </w:pPr>
    </w:p>
    <w:p>
      <w:pPr>
        <w:ind w:left="1422"/>
        <w:spacing w:after="0"/>
        <w:rPr>
          <w:sz w:val="20"/>
          <w:szCs w:val="20"/>
          <w:color w:val="auto"/>
        </w:rPr>
      </w:pPr>
      <w:r>
        <w:rPr>
          <w:rFonts w:ascii="Arial" w:cs="Arial" w:eastAsia="Arial" w:hAnsi="Arial"/>
          <w:sz w:val="16"/>
          <w:szCs w:val="16"/>
          <w:color w:val="auto"/>
        </w:rPr>
        <w:t>Mitchell Goodman</w:t>
      </w:r>
    </w:p>
    <w:p>
      <w:pPr>
        <w:spacing w:after="0" w:line="197" w:lineRule="exact"/>
        <w:rPr>
          <w:sz w:val="20"/>
          <w:szCs w:val="20"/>
          <w:color w:val="auto"/>
        </w:rPr>
      </w:pPr>
    </w:p>
    <w:p>
      <w:pPr>
        <w:ind w:left="822"/>
        <w:spacing w:after="0"/>
        <w:rPr>
          <w:sz w:val="20"/>
          <w:szCs w:val="20"/>
          <w:color w:val="auto"/>
        </w:rPr>
      </w:pPr>
      <w:r>
        <w:rPr>
          <w:rFonts w:ascii="Arial" w:cs="Arial" w:eastAsia="Arial" w:hAnsi="Arial"/>
          <w:sz w:val="16"/>
          <w:szCs w:val="16"/>
          <w:color w:val="auto"/>
        </w:rPr>
        <w:t>Latham &amp; Watkins LLP</w:t>
      </w:r>
    </w:p>
    <w:p>
      <w:pPr>
        <w:spacing w:after="0" w:line="24" w:lineRule="exact"/>
        <w:rPr>
          <w:sz w:val="20"/>
          <w:szCs w:val="20"/>
          <w:color w:val="auto"/>
        </w:rPr>
      </w:pPr>
    </w:p>
    <w:p>
      <w:pPr>
        <w:ind w:left="1422"/>
        <w:spacing w:after="0"/>
        <w:rPr>
          <w:sz w:val="20"/>
          <w:szCs w:val="20"/>
          <w:color w:val="auto"/>
        </w:rPr>
      </w:pPr>
      <w:r>
        <w:rPr>
          <w:rFonts w:ascii="Arial" w:cs="Arial" w:eastAsia="Arial" w:hAnsi="Arial"/>
          <w:sz w:val="16"/>
          <w:szCs w:val="16"/>
          <w:color w:val="auto"/>
        </w:rPr>
        <w:t>Marc Jaffe</w:t>
      </w:r>
    </w:p>
    <w:p>
      <w:pPr>
        <w:spacing w:after="0" w:line="12" w:lineRule="exact"/>
        <w:rPr>
          <w:sz w:val="20"/>
          <w:szCs w:val="20"/>
          <w:color w:val="auto"/>
        </w:rPr>
      </w:pPr>
    </w:p>
    <w:p>
      <w:pPr>
        <w:ind w:left="1422"/>
        <w:spacing w:after="0"/>
        <w:rPr>
          <w:sz w:val="20"/>
          <w:szCs w:val="20"/>
          <w:color w:val="auto"/>
        </w:rPr>
      </w:pPr>
      <w:r>
        <w:rPr>
          <w:rFonts w:ascii="Arial" w:cs="Arial" w:eastAsia="Arial" w:hAnsi="Arial"/>
          <w:sz w:val="16"/>
          <w:szCs w:val="16"/>
          <w:color w:val="auto"/>
        </w:rPr>
        <w:t>Ian Schuman</w:t>
      </w:r>
    </w:p>
    <w:p>
      <w:pPr>
        <w:spacing w:after="0" w:line="218" w:lineRule="exact"/>
        <w:rPr>
          <w:sz w:val="20"/>
          <w:szCs w:val="20"/>
          <w:color w:val="auto"/>
        </w:rPr>
      </w:pPr>
    </w:p>
    <w:p>
      <w:pPr>
        <w:jc w:val="center"/>
        <w:ind w:right="18"/>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14502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5020" cy="15875"/>
                    </a:xfrm>
                    <a:prstGeom prst="rect">
                      <a:avLst/>
                    </a:prstGeom>
                    <a:noFill/>
                  </pic:spPr>
                </pic:pic>
              </a:graphicData>
            </a:graphic>
          </wp:anchor>
        </w:drawing>
      </w:r>
    </w:p>
    <w:sectPr>
      <w:pgSz w:w="11900" w:h="16838" w:orient="portrait"/>
      <w:cols w:equalWidth="0" w:num="1">
        <w:col w:w="11262"/>
      </w:cols>
      <w:pgMar w:left="318" w:top="1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4"/>
    </w:lvl>
    <w:lvl w:ilvl="1">
      <w:lvlJc w:val="left"/>
      <w:lvlText w:val="*"/>
      <w:numFmt w:val="bullet"/>
      <w:start w:val="1"/>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2020-10-07T21:53:49Z</dcterms:created>
  <dcterms:modified xsi:type="dcterms:W3CDTF">2020-10-07T21:53:49Z</dcterms:modified>
</cp:coreProperties>
</file>