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3"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June 23, 2025 (June 18, 2025)</w:t>
      </w:r>
    </w:p>
    <w:p>
      <w:pPr>
        <w:spacing w:after="0" w:line="8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001-38257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124" w:lineRule="exact"/>
        <w:rPr>
          <w:sz w:val="24"/>
          <w:szCs w:val="24"/>
          <w:color w:val="auto"/>
        </w:rPr>
      </w:pPr>
    </w:p>
    <w:tbl>
      <w:tblPr>
        <w:tblLayout w:type="fixed"/>
        <w:tblInd w:w="2220" w:type="dxa"/>
        <w:tblCellMar>
          <w:top w:w="0" w:type="dxa"/>
          <w:left w:w="0" w:type="dxa"/>
          <w:bottom w:w="0" w:type="dxa"/>
          <w:right w:w="0" w:type="dxa"/>
        </w:tblCellMar>
      </w:tblPr>
      <w:tr>
        <w:trPr>
          <w:trHeight w:val="223"/>
        </w:trPr>
        <w:tc>
          <w:tcPr>
            <w:tcW w:w="3620" w:type="dxa"/>
            <w:vAlign w:val="bottom"/>
          </w:tcPr>
          <w:p>
            <w:pPr>
              <w:jc w:val="center"/>
              <w:ind w:right="1499"/>
              <w:spacing w:after="0"/>
              <w:rPr>
                <w:sz w:val="20"/>
                <w:szCs w:val="20"/>
                <w:color w:val="auto"/>
              </w:rPr>
            </w:pPr>
            <w:r>
              <w:rPr>
                <w:rFonts w:ascii="Arial" w:cs="Arial" w:eastAsia="Arial" w:hAnsi="Arial"/>
                <w:sz w:val="16"/>
                <w:szCs w:val="16"/>
                <w:b w:val="1"/>
                <w:bCs w:val="1"/>
                <w:color w:val="auto"/>
              </w:rPr>
              <w:t>Delaware</w:t>
            </w:r>
          </w:p>
        </w:tc>
        <w:tc>
          <w:tcPr>
            <w:tcW w:w="28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3620" w:type="dxa"/>
            <w:vAlign w:val="bottom"/>
          </w:tcPr>
          <w:p>
            <w:pPr>
              <w:jc w:val="center"/>
              <w:ind w:right="1519"/>
              <w:spacing w:after="0"/>
              <w:rPr>
                <w:sz w:val="20"/>
                <w:szCs w:val="20"/>
                <w:color w:val="auto"/>
              </w:rPr>
            </w:pPr>
            <w:r>
              <w:rPr>
                <w:rFonts w:ascii="Arial" w:cs="Arial" w:eastAsia="Arial" w:hAnsi="Arial"/>
                <w:sz w:val="16"/>
                <w:szCs w:val="16"/>
                <w:color w:val="auto"/>
              </w:rPr>
              <w:t>(State or other jurisdiction of</w:t>
            </w:r>
          </w:p>
        </w:tc>
        <w:tc>
          <w:tcPr>
            <w:tcW w:w="2860" w:type="dxa"/>
            <w:vAlign w:val="bottom"/>
          </w:tcPr>
          <w:p>
            <w:pPr>
              <w:jc w:val="center"/>
              <w:ind w:left="1499"/>
              <w:spacing w:after="0"/>
              <w:rPr>
                <w:sz w:val="20"/>
                <w:szCs w:val="20"/>
                <w:color w:val="auto"/>
              </w:rPr>
            </w:pPr>
            <w:r>
              <w:rPr>
                <w:rFonts w:ascii="Arial" w:cs="Arial" w:eastAsia="Arial" w:hAnsi="Arial"/>
                <w:sz w:val="16"/>
                <w:szCs w:val="16"/>
                <w:color w:val="auto"/>
                <w:w w:val="99"/>
              </w:rPr>
              <w:t>(IRS Employer</w:t>
            </w:r>
          </w:p>
        </w:tc>
      </w:tr>
      <w:tr>
        <w:trPr>
          <w:trHeight w:val="215"/>
        </w:trPr>
        <w:tc>
          <w:tcPr>
            <w:tcW w:w="3620" w:type="dxa"/>
            <w:vAlign w:val="bottom"/>
          </w:tcPr>
          <w:p>
            <w:pPr>
              <w:jc w:val="center"/>
              <w:ind w:right="1519"/>
              <w:spacing w:after="0"/>
              <w:rPr>
                <w:sz w:val="20"/>
                <w:szCs w:val="20"/>
                <w:color w:val="auto"/>
              </w:rPr>
            </w:pPr>
            <w:r>
              <w:rPr>
                <w:rFonts w:ascii="Arial" w:cs="Arial" w:eastAsia="Arial" w:hAnsi="Arial"/>
                <w:sz w:val="16"/>
                <w:szCs w:val="16"/>
                <w:color w:val="auto"/>
              </w:rPr>
              <w:t>incorporation)</w:t>
            </w:r>
          </w:p>
        </w:tc>
        <w:tc>
          <w:tcPr>
            <w:tcW w:w="2860" w:type="dxa"/>
            <w:vAlign w:val="bottom"/>
          </w:tcPr>
          <w:p>
            <w:pPr>
              <w:jc w:val="center"/>
              <w:ind w:left="1519"/>
              <w:spacing w:after="0"/>
              <w:rPr>
                <w:sz w:val="20"/>
                <w:szCs w:val="20"/>
                <w:color w:val="auto"/>
              </w:rPr>
            </w:pPr>
            <w:r>
              <w:rPr>
                <w:rFonts w:ascii="Arial" w:cs="Arial" w:eastAsia="Arial" w:hAnsi="Arial"/>
                <w:sz w:val="16"/>
                <w:szCs w:val="16"/>
                <w:color w:val="auto"/>
              </w:rPr>
              <w:t>Identification No.)</w:t>
            </w:r>
          </w:p>
        </w:tc>
      </w:tr>
      <w:tr>
        <w:trPr>
          <w:trHeight w:val="365"/>
        </w:trPr>
        <w:tc>
          <w:tcPr>
            <w:tcW w:w="3620" w:type="dxa"/>
            <w:vAlign w:val="bottom"/>
          </w:tcPr>
          <w:p>
            <w:pPr>
              <w:jc w:val="center"/>
              <w:ind w:right="1519"/>
              <w:spacing w:after="0"/>
              <w:rPr>
                <w:sz w:val="20"/>
                <w:szCs w:val="20"/>
                <w:color w:val="auto"/>
              </w:rPr>
            </w:pPr>
            <w:r>
              <w:rPr>
                <w:rFonts w:ascii="Arial" w:cs="Arial" w:eastAsia="Arial" w:hAnsi="Arial"/>
                <w:sz w:val="16"/>
                <w:szCs w:val="16"/>
                <w:b w:val="1"/>
                <w:bCs w:val="1"/>
                <w:color w:val="auto"/>
              </w:rPr>
              <w:t>2435 Commerce Ave.</w:t>
            </w:r>
          </w:p>
        </w:tc>
        <w:tc>
          <w:tcPr>
            <w:tcW w:w="2860" w:type="dxa"/>
            <w:vAlign w:val="bottom"/>
          </w:tcPr>
          <w:p>
            <w:pPr>
              <w:spacing w:after="0"/>
              <w:rPr>
                <w:sz w:val="24"/>
                <w:szCs w:val="24"/>
                <w:color w:val="auto"/>
              </w:rPr>
            </w:pPr>
          </w:p>
        </w:tc>
      </w:tr>
      <w:tr>
        <w:trPr>
          <w:trHeight w:val="216"/>
        </w:trPr>
        <w:tc>
          <w:tcPr>
            <w:tcW w:w="3620" w:type="dxa"/>
            <w:vAlign w:val="bottom"/>
          </w:tcPr>
          <w:p>
            <w:pPr>
              <w:jc w:val="center"/>
              <w:ind w:right="1519"/>
              <w:spacing w:after="0"/>
              <w:rPr>
                <w:sz w:val="20"/>
                <w:szCs w:val="20"/>
                <w:color w:val="auto"/>
              </w:rPr>
            </w:pPr>
            <w:r>
              <w:rPr>
                <w:rFonts w:ascii="Arial" w:cs="Arial" w:eastAsia="Arial" w:hAnsi="Arial"/>
                <w:sz w:val="16"/>
                <w:szCs w:val="16"/>
                <w:b w:val="1"/>
                <w:bCs w:val="1"/>
                <w:color w:val="auto"/>
              </w:rPr>
              <w:t>Building 2200</w:t>
            </w:r>
          </w:p>
        </w:tc>
        <w:tc>
          <w:tcPr>
            <w:tcW w:w="2860" w:type="dxa"/>
            <w:vAlign w:val="bottom"/>
          </w:tcPr>
          <w:p>
            <w:pPr>
              <w:jc w:val="right"/>
              <w:ind w:right="339"/>
              <w:spacing w:after="0"/>
              <w:rPr>
                <w:sz w:val="20"/>
                <w:szCs w:val="20"/>
                <w:color w:val="auto"/>
              </w:rPr>
            </w:pPr>
            <w:r>
              <w:rPr>
                <w:rFonts w:ascii="Arial" w:cs="Arial" w:eastAsia="Arial" w:hAnsi="Arial"/>
                <w:sz w:val="16"/>
                <w:szCs w:val="16"/>
                <w:b w:val="1"/>
                <w:bCs w:val="1"/>
                <w:color w:val="auto"/>
              </w:rPr>
              <w:t>30096</w:t>
            </w:r>
          </w:p>
        </w:tc>
      </w:tr>
      <w:tr>
        <w:trPr>
          <w:trHeight w:val="223"/>
        </w:trPr>
        <w:tc>
          <w:tcPr>
            <w:tcW w:w="3620" w:type="dxa"/>
            <w:vAlign w:val="bottom"/>
          </w:tcPr>
          <w:p>
            <w:pPr>
              <w:jc w:val="center"/>
              <w:ind w:right="1479"/>
              <w:spacing w:after="0"/>
              <w:rPr>
                <w:sz w:val="20"/>
                <w:szCs w:val="20"/>
                <w:color w:val="auto"/>
              </w:rPr>
            </w:pPr>
            <w:r>
              <w:rPr>
                <w:rFonts w:ascii="Arial" w:cs="Arial" w:eastAsia="Arial" w:hAnsi="Arial"/>
                <w:sz w:val="16"/>
                <w:szCs w:val="16"/>
                <w:b w:val="1"/>
                <w:bCs w:val="1"/>
                <w:color w:val="auto"/>
              </w:rPr>
              <w:t>Duluth, Georgia</w:t>
            </w:r>
          </w:p>
        </w:tc>
        <w:tc>
          <w:tcPr>
            <w:tcW w:w="2860" w:type="dxa"/>
            <w:vAlign w:val="bottom"/>
          </w:tcPr>
          <w:p>
            <w:pPr>
              <w:jc w:val="center"/>
              <w:ind w:left="1499"/>
              <w:spacing w:after="0"/>
              <w:rPr>
                <w:sz w:val="20"/>
                <w:szCs w:val="20"/>
                <w:color w:val="auto"/>
              </w:rPr>
            </w:pPr>
            <w:r>
              <w:rPr>
                <w:rFonts w:ascii="Arial" w:cs="Arial" w:eastAsia="Arial" w:hAnsi="Arial"/>
                <w:sz w:val="16"/>
                <w:szCs w:val="16"/>
                <w:color w:val="auto"/>
              </w:rPr>
              <w:t>(Zip Code)</w:t>
            </w:r>
          </w:p>
        </w:tc>
      </w:tr>
    </w:tbl>
    <w:p>
      <w:pPr>
        <w:ind w:left="1840"/>
        <w:spacing w:after="0"/>
        <w:rPr>
          <w:sz w:val="20"/>
          <w:szCs w:val="20"/>
          <w:color w:val="auto"/>
        </w:rPr>
      </w:pPr>
      <w:r>
        <w:rPr>
          <w:rFonts w:ascii="Arial" w:cs="Arial" w:eastAsia="Arial" w:hAnsi="Arial"/>
          <w:sz w:val="16"/>
          <w:szCs w:val="16"/>
          <w:color w:val="auto"/>
        </w:rPr>
        <w:t>(Address of principal executive offices)</w:t>
      </w:r>
    </w:p>
    <w:p>
      <w:pPr>
        <w:spacing w:after="0" w:line="7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97" w:lineRule="exact"/>
        <w:rPr>
          <w:sz w:val="24"/>
          <w:szCs w:val="24"/>
          <w:color w:val="auto"/>
        </w:rPr>
      </w:pPr>
    </w:p>
    <w:p>
      <w:pPr>
        <w:ind w:right="80"/>
        <w:spacing w:after="0" w:line="28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0"/>
        </w:trPr>
        <w:tc>
          <w:tcPr>
            <w:tcW w:w="466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Title of each class</w:t>
            </w:r>
          </w:p>
        </w:tc>
        <w:tc>
          <w:tcPr>
            <w:tcW w:w="2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2"/>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61"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1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On June 18, 2025, National Vision Holdings, Inc. (“National Vision” or the “Company”) held its 2025 annual meeting of stockholders (the “Annual Meeting”). The matters submitted to stockholders at the Annual Meeting and the voting results are as follows: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4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Stockholders elected eight director nominees to hold office for terms expiring at the 2026 annual meeting of stockholders and until his or her successor is duly elected and qualified.</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700" w:type="dxa"/>
            <w:vAlign w:val="bottom"/>
          </w:tcPr>
          <w:p>
            <w:pPr>
              <w:ind w:left="160"/>
              <w:spacing w:after="0"/>
              <w:rPr>
                <w:sz w:val="20"/>
                <w:szCs w:val="20"/>
                <w:color w:val="auto"/>
              </w:rPr>
            </w:pPr>
            <w:r>
              <w:rPr>
                <w:rFonts w:ascii="Arial" w:cs="Arial" w:eastAsia="Arial" w:hAnsi="Arial"/>
                <w:sz w:val="18"/>
                <w:szCs w:val="18"/>
                <w:b w:val="1"/>
                <w:bCs w:val="1"/>
                <w:color w:val="auto"/>
              </w:rPr>
              <w:t>Nominee</w:t>
            </w:r>
          </w:p>
        </w:tc>
        <w:tc>
          <w:tcPr>
            <w:tcW w:w="74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For</w:t>
            </w:r>
          </w:p>
        </w:tc>
        <w:tc>
          <w:tcPr>
            <w:tcW w:w="40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Against</w:t>
            </w:r>
          </w:p>
        </w:tc>
        <w:tc>
          <w:tcPr>
            <w:tcW w:w="1700" w:type="dxa"/>
            <w:vAlign w:val="bottom"/>
            <w:gridSpan w:val="4"/>
          </w:tcPr>
          <w:p>
            <w:pPr>
              <w:ind w:left="280"/>
              <w:spacing w:after="0"/>
              <w:rPr>
                <w:sz w:val="20"/>
                <w:szCs w:val="20"/>
                <w:color w:val="auto"/>
              </w:rPr>
            </w:pPr>
            <w:r>
              <w:rPr>
                <w:rFonts w:ascii="Arial" w:cs="Arial" w:eastAsia="Arial" w:hAnsi="Arial"/>
                <w:sz w:val="18"/>
                <w:szCs w:val="18"/>
                <w:b w:val="1"/>
                <w:bCs w:val="1"/>
                <w:color w:val="auto"/>
              </w:rPr>
              <w:t>Abstained</w:t>
            </w:r>
          </w:p>
        </w:tc>
        <w:tc>
          <w:tcPr>
            <w:tcW w:w="24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Broker Non-Votes</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00" w:type="dxa"/>
            <w:vAlign w:val="bottom"/>
          </w:tcPr>
          <w:p>
            <w:pPr>
              <w:spacing w:after="0"/>
              <w:rPr>
                <w:sz w:val="20"/>
                <w:szCs w:val="20"/>
                <w:color w:val="auto"/>
              </w:rPr>
            </w:pPr>
            <w:r>
              <w:rPr>
                <w:rFonts w:ascii="Arial" w:cs="Arial" w:eastAsia="Arial" w:hAnsi="Arial"/>
                <w:sz w:val="18"/>
                <w:szCs w:val="18"/>
                <w:color w:val="auto"/>
              </w:rPr>
              <w:t>Jose Armario</w:t>
            </w:r>
          </w:p>
        </w:tc>
        <w:tc>
          <w:tcPr>
            <w:tcW w:w="176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67,146,040</w:t>
            </w:r>
          </w:p>
        </w:tc>
        <w:tc>
          <w:tcPr>
            <w:tcW w:w="320" w:type="dxa"/>
            <w:vAlign w:val="bottom"/>
          </w:tcPr>
          <w:p>
            <w:pPr>
              <w:spacing w:after="0"/>
              <w:rPr>
                <w:sz w:val="24"/>
                <w:szCs w:val="24"/>
                <w:color w:val="auto"/>
              </w:rPr>
            </w:pP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98"/>
              </w:rPr>
              <w:t>414,711</w:t>
            </w:r>
          </w:p>
        </w:tc>
        <w:tc>
          <w:tcPr>
            <w:tcW w:w="300" w:type="dxa"/>
            <w:vAlign w:val="bottom"/>
          </w:tcPr>
          <w:p>
            <w:pPr>
              <w:spacing w:after="0"/>
              <w:rPr>
                <w:sz w:val="24"/>
                <w:szCs w:val="24"/>
                <w:color w:val="auto"/>
              </w:rPr>
            </w:pPr>
          </w:p>
        </w:tc>
        <w:tc>
          <w:tcPr>
            <w:tcW w:w="1160" w:type="dxa"/>
            <w:vAlign w:val="bottom"/>
            <w:gridSpan w:val="2"/>
          </w:tcPr>
          <w:p>
            <w:pPr>
              <w:jc w:val="center"/>
              <w:ind w:left="190"/>
              <w:spacing w:after="0"/>
              <w:rPr>
                <w:sz w:val="20"/>
                <w:szCs w:val="20"/>
                <w:color w:val="auto"/>
              </w:rPr>
            </w:pPr>
            <w:r>
              <w:rPr>
                <w:rFonts w:ascii="Arial" w:cs="Arial" w:eastAsia="Arial" w:hAnsi="Arial"/>
                <w:sz w:val="18"/>
                <w:szCs w:val="18"/>
                <w:color w:val="auto"/>
                <w:w w:val="98"/>
              </w:rPr>
              <w:t>190,473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00" w:type="dxa"/>
            <w:vAlign w:val="bottom"/>
            <w:vMerge w:val="restart"/>
          </w:tcPr>
          <w:p>
            <w:pPr>
              <w:spacing w:after="0"/>
              <w:rPr>
                <w:sz w:val="20"/>
                <w:szCs w:val="20"/>
                <w:color w:val="auto"/>
              </w:rPr>
            </w:pPr>
            <w:r>
              <w:rPr>
                <w:rFonts w:ascii="Arial" w:cs="Arial" w:eastAsia="Arial" w:hAnsi="Arial"/>
                <w:sz w:val="18"/>
                <w:szCs w:val="18"/>
                <w:color w:val="auto"/>
              </w:rPr>
              <w:t>L. Reade Fahs</w:t>
            </w: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vMerge w:val="continue"/>
          </w:tcPr>
          <w:p>
            <w:pPr>
              <w:spacing w:after="0"/>
              <w:rPr>
                <w:sz w:val="21"/>
                <w:szCs w:val="21"/>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67,387,156</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348,713</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15,355</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Virginia A. Hepner</w:t>
            </w: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67,124,055</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8"/>
              </w:rPr>
              <w:t>611,418</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15,751</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Susan Somersille Johnson</w:t>
            </w: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67,111,281</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620,638</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19,305</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Naomi Kelman</w:t>
            </w: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66,893,291</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841,305</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16,628</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James M. McGrann</w:t>
            </w: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67,619,137</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8"/>
              </w:rPr>
              <w:t>114,053</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18,034</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Michael J. Nicholson</w:t>
            </w: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67,702,934</w:t>
            </w:r>
          </w:p>
        </w:tc>
        <w:tc>
          <w:tcPr>
            <w:tcW w:w="320" w:type="dxa"/>
            <w:vAlign w:val="bottom"/>
          </w:tcPr>
          <w:p>
            <w:pPr>
              <w:spacing w:after="0"/>
              <w:rPr>
                <w:sz w:val="21"/>
                <w:szCs w:val="21"/>
                <w:color w:val="auto"/>
              </w:rPr>
            </w:pPr>
          </w:p>
        </w:tc>
        <w:tc>
          <w:tcPr>
            <w:tcW w:w="106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30,348</w:t>
            </w:r>
          </w:p>
        </w:tc>
        <w:tc>
          <w:tcPr>
            <w:tcW w:w="4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17,942</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Susan O’Farrell</w:t>
            </w: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67,385,683</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349,768</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15,773</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D. Randolph Peeler</w:t>
            </w: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66,651,015</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1,084,451</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15,758</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Caitlin Zulla</w:t>
            </w: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67,613,018</w:t>
            </w: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120,279</w:t>
            </w:r>
          </w:p>
        </w:tc>
        <w:tc>
          <w:tcPr>
            <w:tcW w:w="300" w:type="dxa"/>
            <w:vAlign w:val="bottom"/>
          </w:tcPr>
          <w:p>
            <w:pPr>
              <w:spacing w:after="0"/>
              <w:rPr>
                <w:sz w:val="21"/>
                <w:szCs w:val="21"/>
                <w:color w:val="auto"/>
              </w:rPr>
            </w:pPr>
          </w:p>
        </w:tc>
        <w:tc>
          <w:tcPr>
            <w:tcW w:w="116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rPr>
              <w:t>17,927</w:t>
            </w:r>
          </w:p>
        </w:tc>
        <w:tc>
          <w:tcPr>
            <w:tcW w:w="2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Borders>
              <w:bottom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4,927,739</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Advisory Vote on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approved, on a non-binding advisory basis, the compensation paid to the Company’s named executive officers.</w:t>
      </w:r>
    </w:p>
    <w:p>
      <w:pPr>
        <w:spacing w:after="0" w:line="185" w:lineRule="exact"/>
        <w:rPr>
          <w:sz w:val="20"/>
          <w:szCs w:val="20"/>
          <w:color w:val="auto"/>
        </w:rPr>
      </w:pPr>
    </w:p>
    <w:tbl>
      <w:tblPr>
        <w:tblLayout w:type="fixed"/>
        <w:tblInd w:w="25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64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rPr>
              <w:t>Abstained</w:t>
            </w:r>
          </w:p>
        </w:tc>
        <w:tc>
          <w:tcPr>
            <w:tcW w:w="184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Broker Non-Votes</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95"/>
        </w:trPr>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w w:val="97"/>
              </w:rPr>
              <w:t>65,650,189</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2,041,525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59,510</w:t>
            </w:r>
          </w:p>
        </w:tc>
        <w:tc>
          <w:tcPr>
            <w:tcW w:w="320" w:type="dxa"/>
            <w:vAlign w:val="bottom"/>
          </w:tcPr>
          <w:p>
            <w:pPr>
              <w:spacing w:after="0"/>
              <w:rPr>
                <w:sz w:val="24"/>
                <w:szCs w:val="24"/>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4,927,739</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Ratification of the Appointment of the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 ratified the appointment of Deloitte &amp; Touche LLP as our independent registered public accounting firm for fiscal 2025.</w:t>
      </w:r>
    </w:p>
    <w:p>
      <w:pPr>
        <w:spacing w:after="0" w:line="194" w:lineRule="exact"/>
        <w:rPr>
          <w:sz w:val="20"/>
          <w:szCs w:val="20"/>
          <w:color w:val="auto"/>
        </w:rPr>
      </w:pPr>
    </w:p>
    <w:p>
      <w:pPr>
        <w:ind w:left="3960"/>
        <w:spacing w:after="0"/>
        <w:tabs>
          <w:tab w:leader="none" w:pos="5260" w:val="left"/>
          <w:tab w:leader="none" w:pos="6680" w:val="left"/>
        </w:tabs>
        <w:rPr>
          <w:sz w:val="20"/>
          <w:szCs w:val="20"/>
          <w:color w:val="auto"/>
        </w:rPr>
      </w:pPr>
      <w:r>
        <w:rPr>
          <w:rFonts w:ascii="Arial" w:cs="Arial" w:eastAsia="Arial" w:hAnsi="Arial"/>
          <w:sz w:val="18"/>
          <w:szCs w:val="18"/>
          <w:b w:val="1"/>
          <w:bCs w:val="1"/>
          <w:u w:val="single" w:color="auto"/>
          <w:color w:val="auto"/>
        </w:rPr>
        <w:t>For</w:t>
      </w:r>
      <w:r>
        <w:rPr>
          <w:sz w:val="20"/>
          <w:szCs w:val="20"/>
          <w:color w:val="auto"/>
        </w:rPr>
        <w:tab/>
      </w:r>
      <w:r>
        <w:rPr>
          <w:rFonts w:ascii="Arial" w:cs="Arial" w:eastAsia="Arial" w:hAnsi="Arial"/>
          <w:sz w:val="18"/>
          <w:szCs w:val="18"/>
          <w:b w:val="1"/>
          <w:bCs w:val="1"/>
          <w:u w:val="single" w:color="auto"/>
          <w:color w:val="auto"/>
        </w:rPr>
        <w:t>Against</w:t>
      </w:r>
      <w:r>
        <w:rPr>
          <w:sz w:val="20"/>
          <w:szCs w:val="20"/>
          <w:color w:val="auto"/>
        </w:rPr>
        <w:tab/>
      </w:r>
      <w:r>
        <w:rPr>
          <w:rFonts w:ascii="Arial" w:cs="Arial" w:eastAsia="Arial" w:hAnsi="Arial"/>
          <w:sz w:val="17"/>
          <w:szCs w:val="17"/>
          <w:b w:val="1"/>
          <w:bCs w:val="1"/>
          <w:u w:val="single" w:color="auto"/>
          <w:color w:val="auto"/>
        </w:rPr>
        <w:t>Abstained</w:t>
      </w:r>
    </w:p>
    <w:p>
      <w:pPr>
        <w:spacing w:after="0" w:line="63" w:lineRule="exact"/>
        <w:rPr>
          <w:sz w:val="20"/>
          <w:szCs w:val="20"/>
          <w:color w:val="auto"/>
        </w:rPr>
      </w:pPr>
    </w:p>
    <w:p>
      <w:pPr>
        <w:ind w:left="3660"/>
        <w:spacing w:after="0"/>
        <w:tabs>
          <w:tab w:leader="none" w:pos="5260" w:val="left"/>
          <w:tab w:leader="none" w:pos="6840" w:val="left"/>
        </w:tabs>
        <w:rPr>
          <w:sz w:val="20"/>
          <w:szCs w:val="20"/>
          <w:color w:val="auto"/>
        </w:rPr>
      </w:pPr>
      <w:r>
        <w:rPr>
          <w:rFonts w:ascii="Arial" w:cs="Arial" w:eastAsia="Arial" w:hAnsi="Arial"/>
          <w:sz w:val="18"/>
          <w:szCs w:val="18"/>
          <w:color w:val="auto"/>
        </w:rPr>
        <w:t>71,647,333</w:t>
      </w:r>
      <w:r>
        <w:rPr>
          <w:sz w:val="20"/>
          <w:szCs w:val="20"/>
          <w:color w:val="auto"/>
        </w:rPr>
        <w:tab/>
      </w:r>
      <w:r>
        <w:rPr>
          <w:rFonts w:ascii="Arial" w:cs="Arial" w:eastAsia="Arial" w:hAnsi="Arial"/>
          <w:sz w:val="18"/>
          <w:szCs w:val="18"/>
          <w:color w:val="auto"/>
        </w:rPr>
        <w:t>976,880</w:t>
      </w:r>
      <w:r>
        <w:rPr>
          <w:sz w:val="20"/>
          <w:szCs w:val="20"/>
          <w:color w:val="auto"/>
        </w:rPr>
        <w:tab/>
      </w:r>
      <w:r>
        <w:rPr>
          <w:rFonts w:ascii="Arial" w:cs="Arial" w:eastAsia="Arial" w:hAnsi="Arial"/>
          <w:sz w:val="17"/>
          <w:szCs w:val="17"/>
          <w:color w:val="auto"/>
        </w:rPr>
        <w:t>54,750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64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Description</w:t>
            </w:r>
          </w:p>
        </w:tc>
        <w:tc>
          <w:tcPr>
            <w:tcW w:w="8800" w:type="dxa"/>
            <w:vAlign w:val="bottom"/>
          </w:tcPr>
          <w:p>
            <w:pPr>
              <w:spacing w:after="0"/>
              <w:rPr>
                <w:sz w:val="18"/>
                <w:szCs w:val="18"/>
                <w:color w:val="auto"/>
              </w:rPr>
            </w:pPr>
          </w:p>
        </w:tc>
      </w:tr>
      <w:tr>
        <w:trPr>
          <w:trHeight w:val="281"/>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00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2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87"/>
        </w:trPr>
        <w:tc>
          <w:tcPr>
            <w:tcW w:w="2860" w:type="dxa"/>
            <w:vAlign w:val="bottom"/>
          </w:tcPr>
          <w:p>
            <w:pPr>
              <w:spacing w:after="0"/>
              <w:rPr>
                <w:sz w:val="20"/>
                <w:szCs w:val="20"/>
                <w:color w:val="auto"/>
              </w:rPr>
            </w:pPr>
            <w:r>
              <w:rPr>
                <w:rFonts w:ascii="Arial" w:cs="Arial" w:eastAsia="Arial" w:hAnsi="Arial"/>
                <w:sz w:val="18"/>
                <w:szCs w:val="18"/>
                <w:color w:val="auto"/>
              </w:rPr>
              <w:t>Date: June 23, 2025</w:t>
            </w:r>
          </w:p>
        </w:tc>
        <w:tc>
          <w:tcPr>
            <w:tcW w:w="2560" w:type="dxa"/>
            <w:vAlign w:val="bottom"/>
          </w:tcPr>
          <w:p>
            <w:pPr>
              <w:ind w:left="12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18"/>
        </w:trPr>
        <w:tc>
          <w:tcPr>
            <w:tcW w:w="2860" w:type="dxa"/>
            <w:vAlign w:val="bottom"/>
          </w:tcPr>
          <w:p>
            <w:pPr>
              <w:spacing w:after="0"/>
              <w:rPr>
                <w:sz w:val="18"/>
                <w:szCs w:val="18"/>
                <w:color w:val="auto"/>
              </w:rPr>
            </w:pPr>
          </w:p>
        </w:tc>
        <w:tc>
          <w:tcPr>
            <w:tcW w:w="2560" w:type="dxa"/>
            <w:vAlign w:val="bottom"/>
          </w:tcPr>
          <w:p>
            <w:pPr>
              <w:ind w:left="1220"/>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9"/>
        </w:trPr>
        <w:tc>
          <w:tcPr>
            <w:tcW w:w="2860" w:type="dxa"/>
            <w:vAlign w:val="bottom"/>
          </w:tcPr>
          <w:p>
            <w:pPr>
              <w:spacing w:after="0"/>
              <w:rPr>
                <w:sz w:val="20"/>
                <w:szCs w:val="20"/>
                <w:color w:val="auto"/>
              </w:rPr>
            </w:pPr>
          </w:p>
        </w:tc>
        <w:tc>
          <w:tcPr>
            <w:tcW w:w="2560" w:type="dxa"/>
            <w:vAlign w:val="bottom"/>
          </w:tcPr>
          <w:p>
            <w:pPr>
              <w:ind w:left="1220"/>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Chief Legal &amp; Strategy Officer, Corporate Secretary</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2025-06-23T16:18:24Z</dcterms:created>
  <dcterms:modified xsi:type="dcterms:W3CDTF">2025-06-23T16:18:24Z</dcterms:modified>
</cp:coreProperties>
</file>