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15, 2018</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219075</wp:posOffset>
            </wp:positionV>
            <wp:extent cx="7289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228600</wp:posOffset>
            </wp:positionV>
            <wp:extent cx="728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Vision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227965</wp:posOffset>
            </wp:positionV>
            <wp:extent cx="7289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40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3851</w:t>
            </w:r>
          </w:p>
        </w:tc>
        <w:tc>
          <w:tcPr>
            <w:tcW w:w="3300" w:type="dxa"/>
            <w:vAlign w:val="bottom"/>
          </w:tcPr>
          <w:p>
            <w:pPr>
              <w:spacing w:after="0"/>
              <w:rPr>
                <w:sz w:val="18"/>
                <w:szCs w:val="18"/>
                <w:color w:val="auto"/>
              </w:rPr>
            </w:pPr>
          </w:p>
        </w:tc>
      </w:tr>
      <w:tr>
        <w:trPr>
          <w:trHeight w:val="216"/>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2"/>
              </w:rPr>
              <w:t>(Primary Standard Industrial Classification Code</w:t>
            </w:r>
          </w:p>
        </w:tc>
        <w:tc>
          <w:tcPr>
            <w:tcW w:w="3300" w:type="dxa"/>
            <w:vAlign w:val="bottom"/>
          </w:tcPr>
          <w:p>
            <w:pPr>
              <w:jc w:val="right"/>
              <w:ind w:right="1030"/>
              <w:spacing w:after="0"/>
              <w:rPr>
                <w:sz w:val="20"/>
                <w:szCs w:val="20"/>
                <w:color w:val="auto"/>
              </w:rPr>
            </w:pPr>
            <w:r>
              <w:rPr>
                <w:rFonts w:ascii="Arial" w:cs="Arial" w:eastAsia="Arial" w:hAnsi="Arial"/>
                <w:sz w:val="18"/>
                <w:szCs w:val="18"/>
                <w:b w:val="1"/>
                <w:bCs w:val="1"/>
                <w:color w:val="auto"/>
              </w:rPr>
              <w:t>46-4841717</w:t>
            </w:r>
          </w:p>
        </w:tc>
      </w:tr>
      <w:tr>
        <w:trPr>
          <w:trHeight w:val="234"/>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organization)</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3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(I.R.S. Employer 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222885</wp:posOffset>
            </wp:positionV>
            <wp:extent cx="7289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770-822-3600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228600</wp:posOffset>
            </wp:positionV>
            <wp:extent cx="7289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Mitchell Goodman,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2435 Commerce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770-822-4208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228600</wp:posOffset>
            </wp:positionV>
            <wp:extent cx="7289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16"/>
        </w:trPr>
        <w:tc>
          <w:tcPr>
            <w:tcW w:w="312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Joseph H. Kaufman, Esq.</w:t>
            </w:r>
          </w:p>
        </w:tc>
        <w:tc>
          <w:tcPr>
            <w:tcW w:w="5140" w:type="dxa"/>
            <w:vAlign w:val="bottom"/>
          </w:tcPr>
          <w:p>
            <w:pPr>
              <w:jc w:val="center"/>
              <w:ind w:left="2531"/>
              <w:spacing w:after="0"/>
              <w:rPr>
                <w:sz w:val="20"/>
                <w:szCs w:val="20"/>
                <w:color w:val="auto"/>
              </w:rPr>
            </w:pPr>
            <w:r>
              <w:rPr>
                <w:rFonts w:ascii="Arial" w:cs="Arial" w:eastAsia="Arial" w:hAnsi="Arial"/>
                <w:sz w:val="18"/>
                <w:szCs w:val="18"/>
                <w:b w:val="1"/>
                <w:bCs w:val="1"/>
                <w:color w:val="auto"/>
                <w:w w:val="92"/>
              </w:rPr>
              <w:t>Marc D. Jaffe, Esq.</w:t>
            </w:r>
          </w:p>
        </w:tc>
      </w:tr>
      <w:tr>
        <w:trPr>
          <w:trHeight w:val="216"/>
        </w:trPr>
        <w:tc>
          <w:tcPr>
            <w:tcW w:w="3120" w:type="dxa"/>
            <w:vAlign w:val="bottom"/>
          </w:tcPr>
          <w:p>
            <w:pPr>
              <w:jc w:val="center"/>
              <w:ind w:right="450"/>
              <w:spacing w:after="0"/>
              <w:rPr>
                <w:sz w:val="20"/>
                <w:szCs w:val="20"/>
                <w:color w:val="auto"/>
              </w:rPr>
            </w:pPr>
            <w:r>
              <w:rPr>
                <w:rFonts w:ascii="Arial" w:cs="Arial" w:eastAsia="Arial" w:hAnsi="Arial"/>
                <w:sz w:val="18"/>
                <w:szCs w:val="18"/>
                <w:b w:val="1"/>
                <w:bCs w:val="1"/>
                <w:color w:val="auto"/>
                <w:w w:val="93"/>
              </w:rPr>
              <w:t>Simpson Thacher &amp; Bartlett LLP</w:t>
            </w:r>
          </w:p>
        </w:tc>
        <w:tc>
          <w:tcPr>
            <w:tcW w:w="5140" w:type="dxa"/>
            <w:vAlign w:val="bottom"/>
          </w:tcPr>
          <w:p>
            <w:pPr>
              <w:jc w:val="center"/>
              <w:ind w:left="2531"/>
              <w:spacing w:after="0"/>
              <w:rPr>
                <w:sz w:val="20"/>
                <w:szCs w:val="20"/>
                <w:color w:val="auto"/>
              </w:rPr>
            </w:pPr>
            <w:r>
              <w:rPr>
                <w:rFonts w:ascii="Arial" w:cs="Arial" w:eastAsia="Arial" w:hAnsi="Arial"/>
                <w:sz w:val="18"/>
                <w:szCs w:val="18"/>
                <w:b w:val="1"/>
                <w:bCs w:val="1"/>
                <w:color w:val="auto"/>
                <w:w w:val="91"/>
              </w:rPr>
              <w:t>Ian D. Schuman, Esq.</w:t>
            </w:r>
          </w:p>
        </w:tc>
      </w:tr>
      <w:tr>
        <w:trPr>
          <w:trHeight w:val="206"/>
        </w:trPr>
        <w:tc>
          <w:tcPr>
            <w:tcW w:w="3120" w:type="dxa"/>
            <w:vAlign w:val="bottom"/>
          </w:tcPr>
          <w:p>
            <w:pPr>
              <w:jc w:val="center"/>
              <w:ind w:right="450"/>
              <w:spacing w:after="0"/>
              <w:rPr>
                <w:sz w:val="20"/>
                <w:szCs w:val="20"/>
                <w:color w:val="auto"/>
              </w:rPr>
            </w:pPr>
            <w:r>
              <w:rPr>
                <w:rFonts w:ascii="Arial" w:cs="Arial" w:eastAsia="Arial" w:hAnsi="Arial"/>
                <w:sz w:val="18"/>
                <w:szCs w:val="18"/>
                <w:b w:val="1"/>
                <w:bCs w:val="1"/>
                <w:color w:val="auto"/>
                <w:w w:val="88"/>
              </w:rPr>
              <w:t>425 Lexington Avenue</w:t>
            </w:r>
          </w:p>
        </w:tc>
        <w:tc>
          <w:tcPr>
            <w:tcW w:w="5140" w:type="dxa"/>
            <w:vAlign w:val="bottom"/>
          </w:tcPr>
          <w:p>
            <w:pPr>
              <w:jc w:val="center"/>
              <w:ind w:left="2531"/>
              <w:spacing w:after="0"/>
              <w:rPr>
                <w:sz w:val="20"/>
                <w:szCs w:val="20"/>
                <w:color w:val="auto"/>
              </w:rPr>
            </w:pPr>
            <w:r>
              <w:rPr>
                <w:rFonts w:ascii="Arial" w:cs="Arial" w:eastAsia="Arial" w:hAnsi="Arial"/>
                <w:sz w:val="18"/>
                <w:szCs w:val="18"/>
                <w:b w:val="1"/>
                <w:bCs w:val="1"/>
                <w:color w:val="auto"/>
                <w:w w:val="96"/>
              </w:rPr>
              <w:t>Latham &amp; Watkins LLP</w:t>
            </w:r>
          </w:p>
        </w:tc>
      </w:tr>
      <w:tr>
        <w:trPr>
          <w:trHeight w:val="226"/>
        </w:trPr>
        <w:tc>
          <w:tcPr>
            <w:tcW w:w="3120" w:type="dxa"/>
            <w:vAlign w:val="bottom"/>
          </w:tcPr>
          <w:p>
            <w:pPr>
              <w:jc w:val="center"/>
              <w:ind w:right="450"/>
              <w:spacing w:after="0"/>
              <w:rPr>
                <w:sz w:val="20"/>
                <w:szCs w:val="20"/>
                <w:color w:val="auto"/>
              </w:rPr>
            </w:pPr>
            <w:r>
              <w:rPr>
                <w:rFonts w:ascii="Arial" w:cs="Arial" w:eastAsia="Arial" w:hAnsi="Arial"/>
                <w:sz w:val="18"/>
                <w:szCs w:val="18"/>
                <w:b w:val="1"/>
                <w:bCs w:val="1"/>
                <w:color w:val="auto"/>
                <w:w w:val="92"/>
              </w:rPr>
              <w:t>New York, New York 10017-3954</w:t>
            </w:r>
          </w:p>
        </w:tc>
        <w:tc>
          <w:tcPr>
            <w:tcW w:w="5140" w:type="dxa"/>
            <w:vAlign w:val="bottom"/>
          </w:tcPr>
          <w:p>
            <w:pPr>
              <w:jc w:val="center"/>
              <w:ind w:left="2531"/>
              <w:spacing w:after="0" w:line="226" w:lineRule="exact"/>
              <w:rPr>
                <w:sz w:val="20"/>
                <w:szCs w:val="20"/>
                <w:color w:val="auto"/>
              </w:rPr>
            </w:pPr>
            <w:r>
              <w:rPr>
                <w:rFonts w:ascii="Arial" w:cs="Arial" w:eastAsia="Arial" w:hAnsi="Arial"/>
                <w:sz w:val="16"/>
                <w:szCs w:val="16"/>
                <w:b w:val="1"/>
                <w:bCs w:val="1"/>
                <w:color w:val="auto"/>
                <w:w w:val="96"/>
              </w:rPr>
              <w:t>885 3</w:t>
            </w:r>
            <w:r>
              <w:rPr>
                <w:rFonts w:ascii="Arial" w:cs="Arial" w:eastAsia="Arial" w:hAnsi="Arial"/>
                <w:sz w:val="26"/>
                <w:szCs w:val="26"/>
                <w:b w:val="1"/>
                <w:bCs w:val="1"/>
                <w:color w:val="auto"/>
                <w:w w:val="96"/>
                <w:vertAlign w:val="superscript"/>
              </w:rPr>
              <w:t>rd</w:t>
            </w:r>
            <w:r>
              <w:rPr>
                <w:rFonts w:ascii="Arial" w:cs="Arial" w:eastAsia="Arial" w:hAnsi="Arial"/>
                <w:sz w:val="16"/>
                <w:szCs w:val="16"/>
                <w:b w:val="1"/>
                <w:bCs w:val="1"/>
                <w:color w:val="auto"/>
                <w:w w:val="96"/>
              </w:rPr>
              <w:t xml:space="preserve"> Avenue</w:t>
            </w:r>
          </w:p>
        </w:tc>
      </w:tr>
      <w:tr>
        <w:trPr>
          <w:trHeight w:val="216"/>
        </w:trPr>
        <w:tc>
          <w:tcPr>
            <w:tcW w:w="3120" w:type="dxa"/>
            <w:vAlign w:val="bottom"/>
          </w:tcPr>
          <w:p>
            <w:pPr>
              <w:jc w:val="center"/>
              <w:ind w:right="450"/>
              <w:spacing w:after="0"/>
              <w:rPr>
                <w:sz w:val="20"/>
                <w:szCs w:val="20"/>
                <w:color w:val="auto"/>
              </w:rPr>
            </w:pPr>
            <w:r>
              <w:rPr>
                <w:rFonts w:ascii="Arial" w:cs="Arial" w:eastAsia="Arial" w:hAnsi="Arial"/>
                <w:sz w:val="18"/>
                <w:szCs w:val="18"/>
                <w:b w:val="1"/>
                <w:bCs w:val="1"/>
                <w:color w:val="auto"/>
                <w:w w:val="92"/>
              </w:rPr>
              <w:t>(212) 455-2000</w:t>
            </w:r>
          </w:p>
        </w:tc>
        <w:tc>
          <w:tcPr>
            <w:tcW w:w="5140" w:type="dxa"/>
            <w:vAlign w:val="bottom"/>
          </w:tcPr>
          <w:p>
            <w:pPr>
              <w:jc w:val="center"/>
              <w:ind w:left="2511"/>
              <w:spacing w:after="0"/>
              <w:rPr>
                <w:sz w:val="20"/>
                <w:szCs w:val="20"/>
                <w:color w:val="auto"/>
              </w:rPr>
            </w:pPr>
            <w:r>
              <w:rPr>
                <w:rFonts w:ascii="Arial" w:cs="Arial" w:eastAsia="Arial" w:hAnsi="Arial"/>
                <w:sz w:val="18"/>
                <w:szCs w:val="18"/>
                <w:b w:val="1"/>
                <w:bCs w:val="1"/>
                <w:color w:val="auto"/>
                <w:w w:val="92"/>
              </w:rPr>
              <w:t>New York, New York 10022-4834</w:t>
            </w:r>
          </w:p>
        </w:tc>
      </w:tr>
      <w:tr>
        <w:trPr>
          <w:trHeight w:val="234"/>
        </w:trPr>
        <w:tc>
          <w:tcPr>
            <w:tcW w:w="3120" w:type="dxa"/>
            <w:vAlign w:val="bottom"/>
          </w:tcPr>
          <w:p>
            <w:pPr>
              <w:spacing w:after="0"/>
              <w:rPr>
                <w:sz w:val="20"/>
                <w:szCs w:val="20"/>
                <w:color w:val="auto"/>
              </w:rPr>
            </w:pPr>
          </w:p>
        </w:tc>
        <w:tc>
          <w:tcPr>
            <w:tcW w:w="5140" w:type="dxa"/>
            <w:vAlign w:val="bottom"/>
          </w:tcPr>
          <w:p>
            <w:pPr>
              <w:jc w:val="center"/>
              <w:ind w:left="2531"/>
              <w:spacing w:after="0"/>
              <w:rPr>
                <w:sz w:val="20"/>
                <w:szCs w:val="20"/>
                <w:color w:val="auto"/>
              </w:rPr>
            </w:pPr>
            <w:r>
              <w:rPr>
                <w:rFonts w:ascii="Arial" w:cs="Arial" w:eastAsia="Arial" w:hAnsi="Arial"/>
                <w:sz w:val="18"/>
                <w:szCs w:val="18"/>
                <w:b w:val="1"/>
                <w:bCs w:val="1"/>
                <w:color w:val="auto"/>
                <w:w w:val="90"/>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222885</wp:posOffset>
            </wp:positionV>
            <wp:extent cx="7289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this Registration Statement is declared effective.</w:t>
      </w:r>
    </w:p>
    <w:p>
      <w:pPr>
        <w:spacing w:after="0" w:line="39" w:lineRule="exact"/>
        <w:rPr>
          <w:sz w:val="24"/>
          <w:szCs w:val="24"/>
          <w:color w:val="auto"/>
        </w:rPr>
      </w:pPr>
    </w:p>
    <w:p>
      <w:pPr>
        <w:ind w:right="40"/>
        <w:spacing w:after="0" w:line="21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220"/>
        <w:spacing w:after="0" w:line="216"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File No. 333-223602</w:t>
      </w:r>
    </w:p>
    <w:p>
      <w:pPr>
        <w:ind w:right="72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70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4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jc w:val="right"/>
              <w:ind w:right="187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9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jc w:val="right"/>
              <w:ind w:right="1110"/>
              <w:spacing w:after="0"/>
              <w:rPr>
                <w:sz w:val="20"/>
                <w:szCs w:val="20"/>
                <w:color w:val="auto"/>
              </w:rPr>
            </w:pPr>
            <w:r>
              <w:rPr>
                <w:rFonts w:ascii="Arial" w:cs="Arial" w:eastAsia="Arial" w:hAnsi="Arial"/>
                <w:sz w:val="18"/>
                <w:szCs w:val="18"/>
                <w:color w:val="auto"/>
                <w:w w:val="94"/>
              </w:rPr>
              <w:t>(Do not check if a smaller reporting company)  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2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0" w:type="dxa"/>
            <w:vAlign w:val="bottom"/>
          </w:tcPr>
          <w:p>
            <w:pPr>
              <w:jc w:val="right"/>
              <w:ind w:right="1110"/>
              <w:spacing w:after="0"/>
              <w:rPr>
                <w:sz w:val="20"/>
                <w:szCs w:val="20"/>
                <w:color w:val="auto"/>
              </w:rPr>
            </w:pPr>
            <w:r>
              <w:rPr>
                <w:rFonts w:ascii="Arial" w:cs="Arial" w:eastAsia="Arial" w:hAnsi="Arial"/>
                <w:sz w:val="18"/>
                <w:szCs w:val="18"/>
                <w:color w:val="auto"/>
              </w:rPr>
              <w:t>Emerging growth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193040</wp:posOffset>
            </wp:positionV>
            <wp:extent cx="7289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2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to be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20" w:type="dxa"/>
            <w:vAlign w:val="bottom"/>
          </w:tcPr>
          <w:p>
            <w:pPr>
              <w:spacing w:after="0"/>
              <w:rPr>
                <w:sz w:val="20"/>
                <w:szCs w:val="20"/>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Registered(1)(2)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Price(1)(3)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16"/>
        </w:trPr>
        <w:tc>
          <w:tcPr>
            <w:tcW w:w="2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2,300,000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$34.17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$78,591,000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$ 9,784.58</w:t>
            </w:r>
          </w:p>
        </w:tc>
      </w:tr>
      <w:tr>
        <w:trPr>
          <w:trHeight w:val="21"/>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shares of common stock subject to the underwriters’ option to purchase additional shares of common stock. See “Underwriting (Conflicts of Interest).”</w:t>
      </w:r>
    </w:p>
    <w:p>
      <w:pPr>
        <w:ind w:right="280" w:firstLine="8"/>
        <w:spacing w:after="0" w:line="293" w:lineRule="auto"/>
        <w:tabs>
          <w:tab w:leader="none" w:pos="75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462(b) under the Securities Act of 1933, as amended (the “Securities Act”), an additional amount of securities having a proposed maximum aggregate offering price of no more than 20% of the maximum aggregate offering price of the securities eligible to be sold under the related Registration Statement on Form S-1 (File No. 333-223602), originally declared effective on March 14, 2018, is hereby registered.</w:t>
      </w:r>
    </w:p>
    <w:p>
      <w:pPr>
        <w:spacing w:after="0" w:line="1" w:lineRule="exact"/>
        <w:rPr>
          <w:rFonts w:ascii="Arial" w:cs="Arial" w:eastAsia="Arial" w:hAnsi="Arial"/>
          <w:sz w:val="16"/>
          <w:szCs w:val="16"/>
          <w:color w:val="auto"/>
        </w:rPr>
      </w:pPr>
    </w:p>
    <w:p>
      <w:pPr>
        <w:ind w:left="760" w:hanging="752"/>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determining the amount of the registration fee in accordance with Rule 457(a) under the Securities Act.</w:t>
      </w:r>
    </w:p>
    <w:p>
      <w:pPr>
        <w:spacing w:after="0" w:line="260"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This Registration Statement shall become effective upon filing with the Securities and Exchange Commission in accordance with Rule 462(b)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EXPLANATORY NOTE AND INCORPORATION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INFORMATION BY REFERENCE</w:t>
      </w:r>
    </w:p>
    <w:p>
      <w:pPr>
        <w:spacing w:after="0" w:line="2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Registration Statement on Form S-1 is being filed with the Securities and Exchange Commission (the “Commission”) pursuant to Rule 462(b) under the Securities Act of 1933, as amended, by National Vision Holdings, Inc. (the “Registrant”). This registration statement relates to the Registrant’s prior registration statement on Form S-1 (Registration No. 333-223602), originally filed with the Commission on March 12, 2018 (together with its exhibits and the documents incorporated by reference therein, the “Prior Registration Statement”), which was declared effective by the Commission on March 14, 2018. The Prior Registration Statement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64"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8820" w:type="dxa"/>
            <w:vAlign w:val="bottom"/>
          </w:tcPr>
          <w:p>
            <w:pPr>
              <w:spacing w:after="0"/>
              <w:rPr>
                <w:sz w:val="18"/>
                <w:szCs w:val="18"/>
                <w:color w:val="auto"/>
              </w:rPr>
            </w:pPr>
          </w:p>
        </w:tc>
      </w:tr>
      <w:tr>
        <w:trPr>
          <w:trHeight w:val="234"/>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882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3">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20" w:type="dxa"/>
            <w:vAlign w:val="bottom"/>
          </w:tcPr>
          <w:p>
            <w:pPr>
              <w:spacing w:after="0"/>
              <w:rPr>
                <w:sz w:val="20"/>
                <w:szCs w:val="20"/>
                <w:color w:val="auto"/>
              </w:rPr>
            </w:pPr>
            <w:r>
              <w:rPr>
                <w:rFonts w:ascii="Arial" w:cs="Arial" w:eastAsia="Arial" w:hAnsi="Arial"/>
                <w:sz w:val="18"/>
                <w:szCs w:val="18"/>
                <w:color w:val="auto"/>
                <w:w w:val="92"/>
              </w:rPr>
              <w:t>Opinion of Simpson Thacher &amp; Bartlett LLP (incorporated by reference to Exhibit 5.1 to the Prior Registration Statement)</w:t>
            </w: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23">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Consent of Simpson Thacher &amp; Bartlett LLP (included in Exhibit 5.1)</w:t>
            </w:r>
          </w:p>
        </w:tc>
      </w:tr>
      <w:tr>
        <w:trPr>
          <w:trHeight w:val="412"/>
        </w:trPr>
        <w:tc>
          <w:tcPr>
            <w:tcW w:w="1160" w:type="dxa"/>
            <w:vAlign w:val="bottom"/>
            <w:gridSpan w:val="4"/>
          </w:tcPr>
          <w:p>
            <w:pPr>
              <w:spacing w:after="0"/>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2*</w:t>
            </w:r>
          </w:p>
        </w:tc>
        <w:tc>
          <w:tcPr>
            <w:tcW w:w="8820" w:type="dxa"/>
            <w:vAlign w:val="bottom"/>
          </w:tcPr>
          <w:p>
            <w:pPr>
              <w:spacing w:after="0"/>
              <w:rPr>
                <w:sz w:val="20"/>
                <w:szCs w:val="20"/>
                <w:color w:val="auto"/>
              </w:rPr>
            </w:pPr>
            <w:r>
              <w:rPr>
                <w:rFonts w:ascii="Arial" w:cs="Arial" w:eastAsia="Arial" w:hAnsi="Arial"/>
                <w:sz w:val="18"/>
                <w:szCs w:val="18"/>
                <w:color w:val="auto"/>
              </w:rPr>
              <w:t>Consent of Deloitte &amp; Touche LLP</w:t>
            </w:r>
          </w:p>
        </w:tc>
      </w:tr>
      <w:tr>
        <w:trPr>
          <w:trHeight w:val="412"/>
        </w:trPr>
        <w:tc>
          <w:tcPr>
            <w:tcW w:w="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r:id="rId24">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Power of Attorney (included on the signature page to the Prior Registration Statement)</w:t>
            </w:r>
          </w:p>
        </w:tc>
      </w:tr>
      <w:tr>
        <w:trPr>
          <w:trHeight w:val="122"/>
        </w:trPr>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820" w:type="dxa"/>
            <w:vAlign w:val="bottom"/>
          </w:tcPr>
          <w:p>
            <w:pPr>
              <w:spacing w:after="0"/>
              <w:rPr>
                <w:sz w:val="10"/>
                <w:szCs w:val="10"/>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07" w:right="1440"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Duluth, Georgia, on March 15, 2018.</w:t>
      </w:r>
    </w:p>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23495</wp:posOffset>
            </wp:positionV>
            <wp:extent cx="18268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Name:L. Reade Fahs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March 15, 2018.</w:t>
      </w:r>
    </w:p>
    <w:p>
      <w:pPr>
        <w:spacing w:after="0" w:line="193" w:lineRule="exact"/>
        <w:rPr>
          <w:sz w:val="20"/>
          <w:szCs w:val="20"/>
          <w:color w:val="auto"/>
        </w:rPr>
      </w:pPr>
    </w:p>
    <w:p>
      <w:pPr>
        <w:ind w:left="2500"/>
        <w:spacing w:after="0"/>
        <w:tabs>
          <w:tab w:leader="none" w:pos="82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364" w:right="559" w:bottom="1440" w:gutter="0" w:footer="0" w:header="0"/>
        </w:sectPr>
      </w:pPr>
    </w:p>
    <w:p>
      <w:pPr>
        <w:spacing w:after="0" w:line="2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L. Reade Fahs</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6277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Patrick R. Moore</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Chris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Chris Beasley</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Nathaniel H. Taylor</w:t>
      </w:r>
    </w:p>
    <w:p>
      <w:pPr>
        <w:spacing w:after="0" w:line="23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Felix Gernburd</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 Randolph Peeler</w:t>
      </w:r>
    </w:p>
    <w:p>
      <w:pPr>
        <w:spacing w:after="0" w:line="24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David M. Tehle</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Virginia A. Hepner</w:t>
      </w:r>
    </w:p>
    <w:p>
      <w:pPr>
        <w:spacing w:after="0" w:line="26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23495</wp:posOffset>
            </wp:positionV>
            <wp:extent cx="33274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 Reade Fahs, Attorney-in-Fact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Senior Vice President, Chief Financial Officer</w:t>
      </w:r>
    </w:p>
    <w:p>
      <w:pPr>
        <w:spacing w:after="0" w:line="46"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Senior Vice President, Accounting</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838200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6180" w:space="720"/>
            <w:col w:w="4200"/>
          </w:cols>
          <w:pgMar w:left="240" w:top="364" w:right="55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consent to the incorporation by reference in this Registration Statement on Form S-1, filed pursuant to Rule 462(b) of the Securities Act of 1933, as amended, of our report dated March 8, 2018, relating to the consolidated financial statements and financial statement schedule of National Vision Holdings, Inc. and subsidiaries appearing in the Annual Report on Form 10-K of National Vision Holdings, Inc. for the year ended December 30, 2017, and incorporated by reference in the Prospectus included in Registration Statement No. 333-223602 on Form S-1.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23" Type="http://schemas.openxmlformats.org/officeDocument/2006/relationships/hyperlink" Target="http://www.sec.gov/Archives/edgar/data/1710155/000114036118013076/s002077x3_ex5-1.htm" TargetMode="External"/><Relationship Id="rId24" Type="http://schemas.openxmlformats.org/officeDocument/2006/relationships/hyperlink" Target="http://www.sec.gov/Archives/edgar/data/1710155/000114036118013076/s002077x3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2019-12-08T16:10:18Z</dcterms:created>
  <dcterms:modified xsi:type="dcterms:W3CDTF">2019-12-08T16:10:18Z</dcterms:modified>
</cp:coreProperties>
</file>