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Earliest Event reported): January 16, 2025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National Vision Holdings, Inc.</w:t>
      </w:r>
    </w:p>
    <w:p>
      <w:pPr>
        <w:spacing w:after="0" w:line="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691" w:right="49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001-38257</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46-4841717</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2920"/>
          </w:cols>
          <w:pgMar w:left="320" w:top="691" w:right="499" w:bottom="1440" w:gutter="0" w:footer="0" w:header="0"/>
          <w:type w:val="continuous"/>
        </w:sectPr>
      </w:pPr>
    </w:p>
    <w:p>
      <w:pPr>
        <w:spacing w:after="0" w:line="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2435 Commerce Avenue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Bldg. 2200</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Duluth, Georgia 30096-4980</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(770) 822-3600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590" w:type="dxa"/>
        <w:tblCellMar>
          <w:top w:w="0" w:type="dxa"/>
          <w:left w:w="0" w:type="dxa"/>
          <w:bottom w:w="0" w:type="dxa"/>
          <w:right w:w="0" w:type="dxa"/>
        </w:tblCellMar>
      </w:tblPr>
      <w:tr>
        <w:trPr>
          <w:trHeight w:val="257"/>
        </w:trPr>
        <w:tc>
          <w:tcPr>
            <w:tcW w:w="37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7"/>
        </w:trPr>
        <w:tc>
          <w:tcPr>
            <w:tcW w:w="372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7"/>
        </w:trPr>
        <w:tc>
          <w:tcPr>
            <w:tcW w:w="3720" w:type="dxa"/>
            <w:vAlign w:val="bottom"/>
            <w:tcBorders>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6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EYE</w:t>
            </w:r>
          </w:p>
        </w:tc>
        <w:tc>
          <w:tcPr>
            <w:tcW w:w="372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Nasdaq</w:t>
            </w:r>
          </w:p>
        </w:tc>
      </w:tr>
      <w:tr>
        <w:trPr>
          <w:trHeight w:val="27"/>
        </w:trPr>
        <w:tc>
          <w:tcPr>
            <w:tcW w:w="372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691"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January 16, 2025, National Vision Holdings, Inc. (“</w:t>
      </w:r>
      <w:r>
        <w:rPr>
          <w:rFonts w:ascii="Times New Roman" w:cs="Times New Roman" w:eastAsia="Times New Roman" w:hAnsi="Times New Roman"/>
          <w:sz w:val="18"/>
          <w:szCs w:val="18"/>
          <w:u w:val="single" w:color="auto"/>
          <w:color w:val="auto"/>
        </w:rPr>
        <w:t>National Vision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announced in a press release preliminary results for fiscal 2024. A copy of the press release is furnished herewith as Exhibit 99.1 and incorporated by reference herein.</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unaudited financial results disclosed therein are preliminary based on the most current information available to management and are subject to change until completion of the Company’s financial closing procedures for the fourth quarter and full fiscal year 2024. As a result, the Company’s actual results may change as a result of such financial closing procedures, final adjustments, management's review of results, and other developments that may arise between now and the time its financial results for the fourth quarter and full fiscal year 2024 are finalized, and the Company’s results could vary from the preliminary results set forth above.</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is being furnished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shall not be deemed to be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January 16, 2025, the Company announced that Melissa Rasmussen, the Chief Financial Officer of National Vision, will be departing the Company to pursue another opportunity. The Company has initiated a search to fill the CFO role upon Ms. Rasmussen’s departure. The Company and Ms. Rasmussen are in negotiations concerning her transitional role as CFO and her departure date while the search for a replacement progresses. A copy of the press release announcing Ms. Rasmussen’s departure is furnished herewith as Exhibit 99.1 and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copy of the press release referenced in Item 2.02 and Item 5.02 above is furnished herewith and incorporated by reference herein. The information in this Current Report on Form 8-K under Item 2.02 and Item 7.01, including exhibits, is being furnished to the SEC and shall not be deemed to be “filed” for purposes of Section 18 of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4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6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National Vision Holdings, Inc. Press Release dated January 16, 2025.</w:t>
            </w:r>
          </w:p>
        </w:tc>
      </w:tr>
      <w:tr>
        <w:trPr>
          <w:trHeight w:val="20"/>
        </w:trPr>
        <w:tc>
          <w:tcPr>
            <w:tcW w:w="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0" w:type="dxa"/>
            <w:vAlign w:val="bottom"/>
            <w:gridSpan w:val="2"/>
            <w:shd w:val="clear" w:color="auto" w:fill="0000EE"/>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91"/>
        </w:trPr>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16, 2025</w:t>
            </w:r>
          </w:p>
        </w:tc>
        <w:tc>
          <w:tcPr>
            <w:tcW w:w="2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191"/>
        </w:trPr>
        <w:tc>
          <w:tcPr>
            <w:tcW w:w="3660" w:type="dxa"/>
            <w:vAlign w:val="bottom"/>
          </w:tcPr>
          <w:p>
            <w:pPr>
              <w:spacing w:after="0"/>
              <w:rPr>
                <w:sz w:val="16"/>
                <w:szCs w:val="16"/>
                <w:color w:val="auto"/>
              </w:rPr>
            </w:pPr>
          </w:p>
        </w:tc>
        <w:tc>
          <w:tcPr>
            <w:tcW w:w="26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Jared Brandman</w:t>
            </w:r>
          </w:p>
        </w:tc>
      </w:tr>
      <w:tr>
        <w:trPr>
          <w:trHeight w:val="234"/>
        </w:trPr>
        <w:tc>
          <w:tcPr>
            <w:tcW w:w="3660" w:type="dxa"/>
            <w:vAlign w:val="bottom"/>
          </w:tcPr>
          <w:p>
            <w:pPr>
              <w:spacing w:after="0"/>
              <w:rPr>
                <w:sz w:val="20"/>
                <w:szCs w:val="20"/>
                <w:color w:val="auto"/>
              </w:rPr>
            </w:pPr>
          </w:p>
        </w:tc>
        <w:tc>
          <w:tcPr>
            <w:tcW w:w="2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1107"/>
        </w:trPr>
        <w:tc>
          <w:tcPr>
            <w:tcW w:w="36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156845</wp:posOffset>
            </wp:positionV>
            <wp:extent cx="1105535" cy="857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055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National Vision Announces Leadership Changes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CFO to Depart Following Transition Period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Elevates and Expands Roles of Three Key Executives to Support Transformation Efforts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Announces Select Preliminary Fourth Quarter and Fiscal 2024 Financial Results</w:t>
      </w:r>
    </w:p>
    <w:p>
      <w:pPr>
        <w:spacing w:after="0" w:line="22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Duluth, Ga.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January 16, 2025 </w:t>
      </w:r>
      <w:r>
        <w:rPr>
          <w:rFonts w:ascii="Times New Roman" w:cs="Times New Roman" w:eastAsia="Times New Roman" w:hAnsi="Times New Roman"/>
          <w:sz w:val="18"/>
          <w:szCs w:val="18"/>
          <w:color w:val="auto"/>
        </w:rPr>
        <w:t>-- National Vision Holdings, Inc. (NASDAQ: EYE) (“National Vision” or the “Company”) today announced updates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leadership structure that include expanded responsibilities for three executive team members and that Melissa Rasmussen, Chief Financial Officer, will depart following a transition period.</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announced that the Chief Financial Officer, Melissa Rasmussen, will be departing the Company to pursue an opportunity in another industry. Ms. Rasmussen intends to continue in her role through the release of the Company’s fourth quarter and full fiscal year 2024 financial results which is expected to occur on February 26, 2025. The Company has commenced a search to identify her successor and, if necessary, intends to appoint an interim Chief Financial Officer prior to Ms. Rasmussen’s departure.</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behalf of our entire organization, I want to thank Melissa for her dedication and valuable contributions during her tenure at National Vision. Melissa played an instrumental role in helping us navigate through a rapidly evolving business landscape over the past few years, and more recently, as we have embarked on our transformation to position National Vision for its next chapter for growth. We wish her the very best in her future endeavors," said Reade Fahs, National Vision’s CEO.</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 am incredibly grateful for my time at National Vision and proud of the talented and experienced finance and accounting teams I have had the privilege to lead. The company is well-positioned to continue to execute on its strategic initiatives, and I look forward to ensuring a smooth transition for my successor," said Ms. Rasmussen.</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addition, to support the Company’s transformation, enhance the overall patient and customer experience and promote growth in strategic areas, the following changes have been made to the executive leadership team:</w:t>
      </w:r>
    </w:p>
    <w:p>
      <w:pPr>
        <w:spacing w:after="0" w:line="158" w:lineRule="exact"/>
        <w:rPr>
          <w:sz w:val="20"/>
          <w:szCs w:val="20"/>
          <w:color w:val="auto"/>
        </w:rPr>
      </w:pPr>
    </w:p>
    <w:p>
      <w:pPr>
        <w:ind w:left="660" w:right="260" w:hanging="328"/>
        <w:spacing w:after="0" w:line="26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Megan Molony</w:t>
      </w:r>
      <w:r>
        <w:rPr>
          <w:rFonts w:ascii="Times New Roman" w:cs="Times New Roman" w:eastAsia="Times New Roman" w:hAnsi="Times New Roman"/>
          <w:sz w:val="18"/>
          <w:szCs w:val="18"/>
          <w:color w:val="auto"/>
        </w:rPr>
        <w:t>, Chief Merchandising and Managed Care Officer, is assuming leadership of Manufacturing and Distribution. With this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uniting all Managed Vision Care functions, including strategy and revenue cycle management, under one umbrella.</w:t>
      </w:r>
    </w:p>
    <w:p>
      <w:pPr>
        <w:ind w:left="660" w:right="4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 Banner </w:t>
      </w:r>
      <w:r>
        <w:rPr>
          <w:rFonts w:ascii="Times New Roman" w:cs="Times New Roman" w:eastAsia="Times New Roman" w:hAnsi="Times New Roman"/>
          <w:sz w:val="18"/>
          <w:szCs w:val="18"/>
          <w:color w:val="auto"/>
        </w:rPr>
        <w:t>has been named President of America’s Best. In this new position, Mr. Banner’s significant retail leadership and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expertise will play a critical role in leading the transformation of the brand’s in-store experience. In this role, Mr. Banner will also oversee Store Design and Clinical Services.</w:t>
      </w:r>
    </w:p>
    <w:p>
      <w:pPr>
        <w:spacing w:after="0" w:line="1" w:lineRule="exact"/>
        <w:rPr>
          <w:rFonts w:ascii="Times New Roman" w:cs="Times New Roman" w:eastAsia="Times New Roman" w:hAnsi="Times New Roman"/>
          <w:sz w:val="18"/>
          <w:szCs w:val="18"/>
          <w:color w:val="auto"/>
        </w:rPr>
      </w:pPr>
    </w:p>
    <w:p>
      <w:pPr>
        <w:ind w:left="660" w:right="8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 Priti Patel </w:t>
      </w:r>
      <w:r>
        <w:rPr>
          <w:rFonts w:ascii="Times New Roman" w:cs="Times New Roman" w:eastAsia="Times New Roman" w:hAnsi="Times New Roman"/>
          <w:sz w:val="18"/>
          <w:szCs w:val="18"/>
          <w:color w:val="auto"/>
        </w:rPr>
        <w:t>has been named General Manager of Eyeglass World, Fred Meyer and Military. Ms. Patel brings a breadth of optical experience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role, providing these brands with a fresh leadership perspective. In this capacity, Ms. Patel will be primarily focused on strengthening the Eyeglass World brand.</w:t>
      </w:r>
    </w:p>
    <w:p>
      <w:pPr>
        <w:spacing w:after="0" w:line="1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the following leader’s roles have been expanded to align with the Company’s strategic initiatives: Joe VanDette has been named Chief Brand &amp; Marketing Officer, Jared Brandman has been named Chief Legal &amp; Strategy Officer, and Bill Clark, Chief People Officer will now assume expanded responsibilities in the areas of Transformation, Enterprise PMO, and Change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180"/>
        <w:spacing w:after="0" w:line="282" w:lineRule="auto"/>
        <w:rPr>
          <w:sz w:val="20"/>
          <w:szCs w:val="20"/>
          <w:color w:val="auto"/>
        </w:rPr>
      </w:pPr>
      <w:r>
        <w:rPr>
          <w:rFonts w:ascii="Times New Roman" w:cs="Times New Roman" w:eastAsia="Times New Roman" w:hAnsi="Times New Roman"/>
          <w:sz w:val="18"/>
          <w:szCs w:val="18"/>
          <w:color w:val="auto"/>
        </w:rPr>
        <w:t>Alex Wilkes, National Vision’s President, commented, “These leaders each bring extensive industry and retail experience that we plan to leverage further with their expanded roles focused on accelerating our transformation efforts and driving profitable growth in our core brands.”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 Preliminary Fourth Quarter and Fiscal 2024 Financial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today also announced select preliminary results for the fourth quarter and full year fiscal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Results for Fourth Quarter 2024</w:t>
      </w:r>
    </w:p>
    <w:p>
      <w:pPr>
        <w:spacing w:after="0" w:line="3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from continuing operations of approximately $437 million, an increase of 3.9% from the same quarter in fiscal year 2023</w:t>
      </w:r>
    </w:p>
    <w:p>
      <w:pPr>
        <w:spacing w:after="0" w:line="9" w:lineRule="exact"/>
        <w:rPr>
          <w:rFonts w:ascii="Times New Roman" w:cs="Times New Roman" w:eastAsia="Times New Roman" w:hAnsi="Times New Roman"/>
          <w:sz w:val="18"/>
          <w:szCs w:val="18"/>
          <w:color w:val="auto"/>
        </w:rPr>
      </w:pPr>
    </w:p>
    <w:p>
      <w:pPr>
        <w:ind w:left="660" w:right="420" w:hanging="328"/>
        <w:spacing w:after="0" w:line="182" w:lineRule="auto"/>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Comparable store sales growth of approximately 2.6% and Adjusted Comparable Store Sales Growth</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approximately 1.5% from the same quarter in fiscal year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Results for Fiscal Year 2024</w:t>
      </w:r>
    </w:p>
    <w:p>
      <w:pPr>
        <w:spacing w:after="0" w:line="3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from continuing operations of approximately $1,823 million, an increase of 3.8% from fiscal year 2023</w:t>
      </w:r>
    </w:p>
    <w:p>
      <w:pPr>
        <w:spacing w:after="0" w:line="9" w:lineRule="exact"/>
        <w:rPr>
          <w:rFonts w:ascii="Times New Roman" w:cs="Times New Roman" w:eastAsia="Times New Roman" w:hAnsi="Times New Roman"/>
          <w:sz w:val="18"/>
          <w:szCs w:val="18"/>
          <w:color w:val="auto"/>
        </w:rPr>
      </w:pPr>
    </w:p>
    <w:p>
      <w:pPr>
        <w:ind w:left="660" w:right="120" w:hanging="328"/>
        <w:spacing w:after="0" w:line="182" w:lineRule="auto"/>
        <w:tabs>
          <w:tab w:leader="none" w:pos="66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Comparable store sales growth of approximately 1.9% and Adjusted Comparable Store Sales Growth</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approximately 1.3% compared to fiscal year 2023</w:t>
      </w:r>
    </w:p>
    <w:p>
      <w:pPr>
        <w:spacing w:after="0" w:line="1" w:lineRule="exact"/>
        <w:rPr>
          <w:rFonts w:ascii="Times New Roman" w:cs="Times New Roman" w:eastAsia="Times New Roman" w:hAnsi="Times New Roman"/>
          <w:sz w:val="36"/>
          <w:szCs w:val="36"/>
          <w:color w:val="auto"/>
          <w:vertAlign w:val="superscript"/>
        </w:rPr>
      </w:pPr>
    </w:p>
    <w:p>
      <w:pPr>
        <w:ind w:left="660" w:right="40" w:hanging="328"/>
        <w:spacing w:after="0" w:line="182" w:lineRule="auto"/>
        <w:tabs>
          <w:tab w:leader="none" w:pos="66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Company now expects Adjusted Operating Income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from continuing operations to be slightly above the higher end of its previously provided guidance for fiscal 2024</w:t>
      </w:r>
    </w:p>
    <w:p>
      <w:pPr>
        <w:spacing w:after="0" w:line="19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pleased to have delivered fourth quarter adjusted comparable store sales growth that enables us to provide select preliminary full year results more in line with the higher end of our prior guidance ranges,” continued Fahs. “Our fourth quarter performance reflects initial benefits from transformation initiatives as well as the impact from the timing of unearned revenue. We look forward to sharing more on our results and the progress we are making on our transformation when we report fourth quarter earnings. We have a strong team with deep bench strength, and with key leaders taking on expanded leadership roles, I am confident that we will continue to execute and deliver on our commitment to position National Vision for long-term profitable growth."</w:t>
      </w:r>
    </w:p>
    <w:p>
      <w:pPr>
        <w:spacing w:after="0" w:line="18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unaudited financial results disclosed herein are preliminary based on the most current information available to management and are subject to change until completion of our financial closing procedures for the fourth quarter and full fiscal year 2024. As a result, our actual results may change as a result of such financial closing procedures, final adjustments, management's review of results, and other developments that may arise between now and the time our financial results for the fourth quarter and full fiscal year 2024 are finalized, and our results could vary from the preliminary results set forth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release financial results for the fourth quarter and full fiscal year 2024 on Wednesday, February 26,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Adjusted Comparable Store Sales Growth</w:t>
      </w:r>
      <w:r>
        <w:rPr>
          <w:rFonts w:ascii="Times New Roman" w:cs="Times New Roman" w:eastAsia="Times New Roman" w:hAnsi="Times New Roman"/>
          <w:sz w:val="18"/>
          <w:szCs w:val="18"/>
          <w:color w:val="auto"/>
        </w:rPr>
        <w:t>: We measure Adjusted Comparable Store Sales Growth as the increase or decrease in sales recorded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1645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right="100" w:firstLine="8"/>
        <w:spacing w:after="0" w:line="196" w:lineRule="auto"/>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This release includes certain Non-GAAP Financial Measures that are not recognized under generally accepted accounting principles (“GAAP”). Please see “Non-GAAP Financial Measures”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ind w:right="520"/>
        <w:spacing w:after="0" w:line="259" w:lineRule="auto"/>
        <w:rPr>
          <w:sz w:val="20"/>
          <w:szCs w:val="20"/>
          <w:color w:val="auto"/>
        </w:rPr>
      </w:pPr>
      <w:r>
        <w:rPr>
          <w:rFonts w:ascii="Times New Roman" w:cs="Times New Roman" w:eastAsia="Times New Roman" w:hAnsi="Times New Roman"/>
          <w:sz w:val="18"/>
          <w:szCs w:val="18"/>
          <w:b w:val="1"/>
          <w:bCs w:val="1"/>
          <w:color w:val="auto"/>
        </w:rPr>
        <w:t>Adjusted Operating Income</w:t>
      </w:r>
      <w:r>
        <w:rPr>
          <w:rFonts w:ascii="Times New Roman" w:cs="Times New Roman" w:eastAsia="Times New Roman" w:hAnsi="Times New Roman"/>
          <w:sz w:val="18"/>
          <w:szCs w:val="18"/>
          <w:color w:val="auto"/>
        </w:rPr>
        <w:t>: We define Adjusted Operating Income from continuing operations as net income (loss), minus income (loss)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discontinued operations, net of tax,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Enterprise Resource Planning (“ERP”) and Customer Relationship Management (“CRM”) implementation expenses and certain other expenses.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related to our current beliefs and expectations regarding the performance of our industry, the Company’s strategic direction, market position, prospects including remote medicine and optometrist recruiting and retention initiatives,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Forward-looking statements are not guarantees and are subject to various risks and uncertainties, which may cause actual results to differ materially from those implied in forward-looking statements. Such factors include, but are not limited to, completion of our financial closing procedures for the fourth quarter and full fiscal year 2024, the termination of our partnership with Walmart, including the transition period and other wind down activities, will have an impact on our business, revenues, profitability and cash flows, which impact could be material; market volatility, an overall decline in the health of the economy and other factors impacting consumer spending, including inflation, uncertainty in financial markets, recessionary conditions, escalated interest rates, the timing and issuance of tax refunds, governmental instability, war and natural disasters, may affect consumer purchases, which could reduce demand for our products and materially harm our sales, profitability and financial condition; failure to recruit and retain vision care professionals for in-store roles or to provide remote care offerings could adversely affect our business, financial condition and results of operations; the optical retail industry is highly competitive, and if we do not compete successfully, our business may be adversely impacted; if we fail to open and operate new stores (including as a result of store conversions) in a timely and cost-effective manner or fail to successfully enter new markets, our financial performance could be materially and adversely affected; if the performance of our Host brands declines or we are unable to maintain or extend our operating relationships with our Host partners, our business, profitability and cash flows may be adversely affected and we may be required to incur impairment charges; we are a low-cost provider and our business model relies on the low-cost of inputs and factors such as wage rate increases, inflation, cost increases, increases in the price of raw materials and energy prices could have a material adverse effect on our business, financial condition and results of operations; we require significant capital to fund our expanding business, including updating our Enterprise Resource Planning (“ERP”) and Customer Relationship Management (“CRM”), and other technological, systems and capabilities; our ability to successfully implement transformation initiatives (including store fleet optimization); our growth strategy could strain our existing resources and cause the performance of our existing stores to suffer; our success depends upon our marketing, advertising and promotional efforts and if we are unable to implement them successfully or efficiently, or if our competitors are more effective than we are, we may experience a material adverse effect on our business, financial condition and results of operations; we are subject to risks associated with leasing substantial amounts of space, including future increases in occupancy costs; 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adversely impact our business and profitability; if we fail to retain our existing senior management team or attract qualified new personnel such failure could have a material adverse effect on our business, financial condition and results of operations; our profitability and cash flows may be negatively affected if we are not successful in managing our inventory balances and inventory shrinkage; our operating results and inventory levels fluctuate on a seasonal basis; our e-commerce and omni-channel business faces distinct risks, and our failure to successfully manage those risks could have a negative impact on our profitability; we depend on our distribution centers and/or optical laboratories; we may incur losses arising from our investments in technological innovators in the optical retail industry, including artificial intelligence, which would negatively affect our financial results; environmental, social and governance (“ESG”) issues, including those related to climate change, could have a material adverse effect on our business, financial condition and results of operations; changing climate and weather patterns leading to severe weather and disasters may cause significant business interruptions and expenditures; future operational success depends on our ability to develop, maintain and extend relationships with managed vision care companies, vision insurance providers and other third-party payors; we face risks associated with vendors from whom our products are sourced and are dependent on a limited number of suppliers; 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 we rely on third-party coverage and reimbursement, including government programs, for an increasing portion of our revenues, the future reduction of which could adversely affect our results of operations; we are subject to extensive state, local and federal vision care and healthcare laws and regulations and failure to adhere to such laws and regulations would adversely affect our business; we are subject to managed vision care laws and regulations; we are subject to rapidly changing and increasingly stringent laws, regulations, contractual obligations, and industry standards relating to privacy, data security and data protection which could subject us to liabilities that adversely affect our business, operations and financial performance; we could be adversely affected by product liability, product recall or personal injury issues; failure to comply with laws, regulations and enforcement activities or changes in statutory, regulatory, accounting and other legal requirements could potentially impact our operating and financial results; adverse judgments or settlements resulting from legal proceedings relating to our business operations could materially adversely affect our business, financial condition and results of operations; we may not be able to adequately protect our intellectual property, which could harm the value of our brand and adversely affect our business; we have a significant amount of indebtedness which could adversely affect our business and financial position, including limiting our business flexibility and preventing us from meeting our debt obligations; a change in interest rates may adversely affect our business; our credit agreement contains restrictions that limit our flexibility in operating our business; conversion of the 2025 Notes could dilute the ownership interest of existing stockholders or may otherwise depress the price of our common stock;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657"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National Vision uses certain non-GAAP financial measures, including Adjusted EBITDA, which are designed to supplement, and not substitute, financial information presented in accordance with generally accepted accounting principles in the United States of America (“GAAP”) because management believes such measures are useful to investors. Additional information about these measures and a reconciliation to the nearest GAAP financial measures is detailed in National Vision’s press release regarding financial results for the third quarter of 2024, which is available at www.nationalvision.com/investors.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National Vision Holdings,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National Vision Holdings, Inc. (NASDAQ: EYE) is one of the largest optical retail companies in the United States with over 1,200 stores in 38 states and Puerto Rico. With a mission of helping people by making quality eye care and eyewear more affordable and accessible, the company operates four retail brands: America’s Best, Eyeglass World, and Vista Opticals inside select Fred Meyer stores and on select military bases, and an e-commerce website DiscountContacts.com, offering a variety of products and services for customers’ eye care needs. For more information, please visit www.nationalvision.com.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investor.relations@nationalvision.com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Tamara Gonzalez</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Churchill</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media@nationalvision.com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Racheal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81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Comparable Store Sales Growth to Total Comparable Store Sales Growth</w:t>
            </w: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9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 xml:space="preserve">Comparable store sales growth </w:t>
            </w:r>
            <w:r>
              <w:rPr>
                <w:rFonts w:ascii="Times New Roman" w:cs="Times New Roman" w:eastAsia="Times New Roman" w:hAnsi="Times New Roman"/>
                <w:sz w:val="29"/>
                <w:szCs w:val="29"/>
                <w:b w:val="1"/>
                <w:bCs w:val="1"/>
                <w:color w:val="auto"/>
                <w:vertAlign w:val="superscript"/>
              </w:rPr>
              <w:t>(a)</w:t>
            </w:r>
          </w:p>
        </w:tc>
        <w:tc>
          <w:tcPr>
            <w:tcW w:w="1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900" w:type="dxa"/>
            <w:vAlign w:val="bottom"/>
          </w:tcPr>
          <w:p>
            <w:pPr>
              <w:spacing w:after="0"/>
              <w:rPr>
                <w:sz w:val="16"/>
                <w:szCs w:val="16"/>
                <w:color w:val="auto"/>
              </w:rPr>
            </w:pPr>
          </w:p>
        </w:tc>
        <w:tc>
          <w:tcPr>
            <w:tcW w:w="1640" w:type="dxa"/>
            <w:vAlign w:val="bottom"/>
            <w:gridSpan w:val="2"/>
          </w:tcPr>
          <w:p>
            <w:pPr>
              <w:jc w:val="center"/>
              <w:ind w:right="440"/>
              <w:spacing w:after="0" w:line="191" w:lineRule="exact"/>
              <w:rPr>
                <w:sz w:val="20"/>
                <w:szCs w:val="20"/>
                <w:color w:val="auto"/>
              </w:rPr>
            </w:pPr>
            <w:r>
              <w:rPr>
                <w:rFonts w:ascii="Times New Roman" w:cs="Times New Roman" w:eastAsia="Times New Roman" w:hAnsi="Times New Roman"/>
                <w:sz w:val="18"/>
                <w:szCs w:val="18"/>
                <w:color w:val="auto"/>
                <w:w w:val="98"/>
              </w:rPr>
              <w:t>Three Months</w:t>
            </w:r>
          </w:p>
        </w:tc>
        <w:tc>
          <w:tcPr>
            <w:tcW w:w="1640" w:type="dxa"/>
            <w:vAlign w:val="bottom"/>
            <w:gridSpan w:val="2"/>
          </w:tcPr>
          <w:p>
            <w:pPr>
              <w:jc w:val="center"/>
              <w:ind w:right="420"/>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Ended</w:t>
            </w: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Ended</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December 28,</w:t>
            </w: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December 30,</w:t>
            </w: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Fiscal Year</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Fiscal Year</w:t>
            </w:r>
          </w:p>
        </w:tc>
        <w:tc>
          <w:tcPr>
            <w:tcW w:w="0" w:type="dxa"/>
            <w:vAlign w:val="bottom"/>
          </w:tcPr>
          <w:p>
            <w:pPr>
              <w:spacing w:after="0"/>
              <w:rPr>
                <w:sz w:val="1"/>
                <w:szCs w:val="1"/>
                <w:color w:val="auto"/>
              </w:rPr>
            </w:pPr>
          </w:p>
        </w:tc>
      </w:tr>
      <w:tr>
        <w:trPr>
          <w:trHeight w:val="234"/>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4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42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0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 Best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Eyeglass World</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Military</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Fred Meyer</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comparable store sales growth</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1"/>
        </w:trPr>
        <w:tc>
          <w:tcPr>
            <w:tcW w:w="49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Adjusted Comparable Store Sales Growth from continuing</w:t>
            </w:r>
          </w:p>
        </w:tc>
        <w:tc>
          <w:tcPr>
            <w:tcW w:w="1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90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 xml:space="preserve">operations </w:t>
            </w:r>
            <w:r>
              <w:rPr>
                <w:rFonts w:ascii="Times New Roman" w:cs="Times New Roman" w:eastAsia="Times New Roman" w:hAnsi="Times New Roman"/>
                <w:sz w:val="29"/>
                <w:szCs w:val="29"/>
                <w:color w:val="auto"/>
                <w:vertAlign w:val="superscript"/>
              </w:rPr>
              <w:t>(b)</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80" w:hanging="324"/>
        <w:spacing w:after="0" w:line="25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comparable store sales from continuing operations is calculated based on consolidated net revenue from continuing operations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16. “Segment Reporting” in our consolidated financial statements.</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Adjusted Comparable Store Sales Growth from continuing operations includes the effect of deferred and unearned revenue as if such revenues were earned at the point of sale, resulting in the following changes from total comparable store sales growth based on consolidated net revenue from continuing operations; with respect to the Company’s 2025 Outlook, Adjusted Comparable Store Sales Growth includes an estimated 0.5% decrease for the effect of deferred and unearned revenue as if such revenues were earned at the point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2025-01-16T15:21:38Z</dcterms:created>
  <dcterms:modified xsi:type="dcterms:W3CDTF">2025-01-16T15:21:38Z</dcterms:modified>
</cp:coreProperties>
</file>