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8" w:lineRule="exact"/>
        <w:rPr>
          <w:sz w:val="24"/>
          <w:szCs w:val="24"/>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4"/>
          <w:szCs w:val="24"/>
          <w:color w:val="auto"/>
        </w:rPr>
      </w:pPr>
    </w:p>
    <w:p>
      <w:pPr>
        <w:ind w:left="7667" w:right="280" w:hanging="6568"/>
        <w:spacing w:after="0" w:line="347" w:lineRule="auto"/>
        <w:rPr>
          <w:sz w:val="20"/>
          <w:szCs w:val="20"/>
          <w:color w:val="auto"/>
        </w:rPr>
      </w:pPr>
      <w:r>
        <w:rPr>
          <w:rFonts w:ascii="Arial" w:cs="Arial" w:eastAsia="Arial" w:hAnsi="Arial"/>
          <w:sz w:val="16"/>
          <w:szCs w:val="16"/>
          <w:b w:val="1"/>
          <w:bCs w:val="1"/>
          <w:color w:val="auto"/>
        </w:rPr>
        <w:t>As confidentially submitted with the Securities and Exchange Commission on February 28,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91"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UNITED STATES</w:t>
      </w:r>
    </w:p>
    <w:p>
      <w:pPr>
        <w:jc w:val="center"/>
        <w:ind w:right="-6"/>
        <w:spacing w:after="0" w:line="211" w:lineRule="auto"/>
        <w:rPr>
          <w:sz w:val="20"/>
          <w:szCs w:val="20"/>
          <w:color w:val="auto"/>
        </w:rPr>
      </w:pPr>
      <w:r>
        <w:rPr>
          <w:rFonts w:ascii="Arial" w:cs="Arial" w:eastAsia="Arial" w:hAnsi="Arial"/>
          <w:sz w:val="16"/>
          <w:szCs w:val="16"/>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CONFIDENTIAL DRAFT SUBMISSION</w:t>
      </w:r>
    </w:p>
    <w:p>
      <w:pPr>
        <w:jc w:val="center"/>
        <w:ind w:right="-6"/>
        <w:spacing w:after="0" w:line="211" w:lineRule="auto"/>
        <w:rPr>
          <w:sz w:val="20"/>
          <w:szCs w:val="20"/>
          <w:color w:val="auto"/>
        </w:rPr>
      </w:pPr>
      <w:r>
        <w:rPr>
          <w:rFonts w:ascii="Arial" w:cs="Arial" w:eastAsia="Arial" w:hAnsi="Arial"/>
          <w:sz w:val="16"/>
          <w:szCs w:val="16"/>
          <w:b w:val="1"/>
          <w:bCs w:val="1"/>
          <w:color w:val="auto"/>
        </w:rPr>
        <w:t>FORM S-1</w:t>
      </w:r>
    </w:p>
    <w:p>
      <w:pPr>
        <w:jc w:val="center"/>
        <w:ind w:right="-6"/>
        <w:spacing w:after="0" w:line="211" w:lineRule="auto"/>
        <w:rPr>
          <w:sz w:val="20"/>
          <w:szCs w:val="20"/>
          <w:color w:val="auto"/>
        </w:rPr>
      </w:pPr>
      <w:r>
        <w:rPr>
          <w:rFonts w:ascii="Arial" w:cs="Arial" w:eastAsia="Arial" w:hAnsi="Arial"/>
          <w:sz w:val="16"/>
          <w:szCs w:val="16"/>
          <w:b w:val="1"/>
          <w:bCs w:val="1"/>
          <w:color w:val="auto"/>
        </w:rPr>
        <w:t>REGISTRATION STATEMENT</w:t>
      </w:r>
    </w:p>
    <w:p>
      <w:pPr>
        <w:jc w:val="center"/>
        <w:ind w:right="-6"/>
        <w:spacing w:after="0" w:line="212" w:lineRule="auto"/>
        <w:rPr>
          <w:sz w:val="20"/>
          <w:szCs w:val="20"/>
          <w:color w:val="auto"/>
        </w:rPr>
      </w:pPr>
      <w:r>
        <w:rPr>
          <w:rFonts w:ascii="Arial" w:cs="Arial" w:eastAsia="Arial" w:hAnsi="Arial"/>
          <w:sz w:val="16"/>
          <w:szCs w:val="16"/>
          <w:b w:val="1"/>
          <w:bCs w:val="1"/>
          <w:color w:val="auto"/>
        </w:rPr>
        <w:t>UNDER</w:t>
      </w:r>
    </w:p>
    <w:p>
      <w:pPr>
        <w:jc w:val="center"/>
        <w:ind w:right="-6"/>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129540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jc w:val="center"/>
        <w:ind w:right="-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146685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467" w:type="dxa"/>
        <w:tblCellMar>
          <w:top w:w="0" w:type="dxa"/>
          <w:left w:w="0" w:type="dxa"/>
          <w:bottom w:w="0" w:type="dxa"/>
          <w:right w:w="0" w:type="dxa"/>
        </w:tblCellMar>
      </w:tblPr>
      <w:tr>
        <w:trPr>
          <w:trHeight w:val="210"/>
        </w:trPr>
        <w:tc>
          <w:tcPr>
            <w:tcW w:w="268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33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3851</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46-4841717</w:t>
            </w:r>
          </w:p>
        </w:tc>
      </w:tr>
      <w:tr>
        <w:trPr>
          <w:trHeight w:val="222"/>
        </w:trPr>
        <w:tc>
          <w:tcPr>
            <w:tcW w:w="2680" w:type="dxa"/>
            <w:vAlign w:val="bottom"/>
          </w:tcPr>
          <w:p>
            <w:pPr>
              <w:jc w:val="center"/>
              <w:ind w:right="579"/>
              <w:spacing w:after="0"/>
              <w:rPr>
                <w:sz w:val="20"/>
                <w:szCs w:val="20"/>
                <w:color w:val="auto"/>
              </w:rPr>
            </w:pPr>
            <w:r>
              <w:rPr>
                <w:rFonts w:ascii="Arial" w:cs="Arial" w:eastAsia="Arial" w:hAnsi="Arial"/>
                <w:sz w:val="16"/>
                <w:szCs w:val="16"/>
                <w:b w:val="1"/>
                <w:bCs w:val="1"/>
                <w:color w:val="auto"/>
                <w:w w:val="91"/>
              </w:rPr>
              <w:t>(State or other jurisdiction of</w:t>
            </w:r>
          </w:p>
        </w:tc>
        <w:tc>
          <w:tcPr>
            <w:tcW w:w="3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(Primary Standard Industrial</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incorporation or organization)</w:t>
            </w:r>
          </w:p>
        </w:tc>
        <w:tc>
          <w:tcPr>
            <w:tcW w:w="3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Classification Code Number)</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123825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2435 Commerce Avenue</w:t>
      </w:r>
    </w:p>
    <w:p>
      <w:pPr>
        <w:jc w:val="center"/>
        <w:ind w:right="-6"/>
        <w:spacing w:after="0" w:line="211" w:lineRule="auto"/>
        <w:rPr>
          <w:sz w:val="20"/>
          <w:szCs w:val="20"/>
          <w:color w:val="auto"/>
        </w:rPr>
      </w:pPr>
      <w:r>
        <w:rPr>
          <w:rFonts w:ascii="Arial" w:cs="Arial" w:eastAsia="Arial" w:hAnsi="Arial"/>
          <w:sz w:val="16"/>
          <w:szCs w:val="16"/>
          <w:b w:val="1"/>
          <w:bCs w:val="1"/>
          <w:color w:val="auto"/>
        </w:rPr>
        <w:t>Bldg. 2200</w:t>
      </w:r>
    </w:p>
    <w:p>
      <w:pPr>
        <w:jc w:val="center"/>
        <w:ind w:right="-6"/>
        <w:spacing w:after="0" w:line="211" w:lineRule="auto"/>
        <w:rPr>
          <w:sz w:val="20"/>
          <w:szCs w:val="20"/>
          <w:color w:val="auto"/>
        </w:rPr>
      </w:pPr>
      <w:r>
        <w:rPr>
          <w:rFonts w:ascii="Arial" w:cs="Arial" w:eastAsia="Arial" w:hAnsi="Arial"/>
          <w:sz w:val="16"/>
          <w:szCs w:val="16"/>
          <w:b w:val="1"/>
          <w:bCs w:val="1"/>
          <w:color w:val="auto"/>
        </w:rPr>
        <w:t>Duluth, Georgia 30096-4980</w:t>
      </w:r>
    </w:p>
    <w:p>
      <w:pPr>
        <w:jc w:val="center"/>
        <w:ind w:right="-6"/>
        <w:spacing w:after="0" w:line="212" w:lineRule="auto"/>
        <w:rPr>
          <w:sz w:val="20"/>
          <w:szCs w:val="20"/>
          <w:color w:val="auto"/>
        </w:rPr>
      </w:pPr>
      <w:r>
        <w:rPr>
          <w:rFonts w:ascii="Arial" w:cs="Arial" w:eastAsia="Arial" w:hAnsi="Arial"/>
          <w:sz w:val="16"/>
          <w:szCs w:val="16"/>
          <w:b w:val="1"/>
          <w:bCs w:val="1"/>
          <w:color w:val="auto"/>
        </w:rPr>
        <w:t>Telephone: 770-822-3600</w:t>
      </w:r>
    </w:p>
    <w:p>
      <w:pPr>
        <w:jc w:val="center"/>
        <w:ind w:right="-6"/>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69215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Mitchell Goodman, Esq.</w:t>
      </w:r>
    </w:p>
    <w:p>
      <w:pPr>
        <w:jc w:val="center"/>
        <w:ind w:right="-6"/>
        <w:spacing w:after="0" w:line="211" w:lineRule="auto"/>
        <w:rPr>
          <w:sz w:val="20"/>
          <w:szCs w:val="20"/>
          <w:color w:val="auto"/>
        </w:rPr>
      </w:pPr>
      <w:r>
        <w:rPr>
          <w:rFonts w:ascii="Arial" w:cs="Arial" w:eastAsia="Arial" w:hAnsi="Arial"/>
          <w:sz w:val="16"/>
          <w:szCs w:val="16"/>
          <w:b w:val="1"/>
          <w:bCs w:val="1"/>
          <w:color w:val="auto"/>
        </w:rPr>
        <w:t>Senior Vice President, General Counsel and Secretary</w:t>
      </w:r>
    </w:p>
    <w:p>
      <w:pPr>
        <w:jc w:val="center"/>
        <w:ind w:right="-6"/>
        <w:spacing w:after="0" w:line="211" w:lineRule="auto"/>
        <w:rPr>
          <w:sz w:val="20"/>
          <w:szCs w:val="20"/>
          <w:color w:val="auto"/>
        </w:rPr>
      </w:pPr>
      <w:r>
        <w:rPr>
          <w:rFonts w:ascii="Arial" w:cs="Arial" w:eastAsia="Arial" w:hAnsi="Arial"/>
          <w:sz w:val="16"/>
          <w:szCs w:val="16"/>
          <w:b w:val="1"/>
          <w:bCs w:val="1"/>
          <w:color w:val="auto"/>
        </w:rPr>
        <w:t>2435 Commerce Avenue</w:t>
      </w:r>
    </w:p>
    <w:p>
      <w:pPr>
        <w:jc w:val="center"/>
        <w:ind w:right="-6"/>
        <w:spacing w:after="0" w:line="212" w:lineRule="auto"/>
        <w:rPr>
          <w:sz w:val="20"/>
          <w:szCs w:val="20"/>
          <w:color w:val="auto"/>
        </w:rPr>
      </w:pPr>
      <w:r>
        <w:rPr>
          <w:rFonts w:ascii="Arial" w:cs="Arial" w:eastAsia="Arial" w:hAnsi="Arial"/>
          <w:sz w:val="16"/>
          <w:szCs w:val="16"/>
          <w:b w:val="1"/>
          <w:bCs w:val="1"/>
          <w:color w:val="auto"/>
        </w:rPr>
        <w:t>Bldg. 2200</w:t>
      </w:r>
    </w:p>
    <w:p>
      <w:pPr>
        <w:jc w:val="center"/>
        <w:ind w:right="-6"/>
        <w:spacing w:after="0" w:line="211" w:lineRule="auto"/>
        <w:rPr>
          <w:sz w:val="20"/>
          <w:szCs w:val="20"/>
          <w:color w:val="auto"/>
        </w:rPr>
      </w:pPr>
      <w:r>
        <w:rPr>
          <w:rFonts w:ascii="Arial" w:cs="Arial" w:eastAsia="Arial" w:hAnsi="Arial"/>
          <w:sz w:val="16"/>
          <w:szCs w:val="16"/>
          <w:b w:val="1"/>
          <w:bCs w:val="1"/>
          <w:color w:val="auto"/>
        </w:rPr>
        <w:t>Duluth, Georgia 30096-4980</w:t>
      </w:r>
    </w:p>
    <w:p>
      <w:pPr>
        <w:jc w:val="center"/>
        <w:ind w:right="-6"/>
        <w:spacing w:after="0" w:line="212" w:lineRule="auto"/>
        <w:rPr>
          <w:sz w:val="20"/>
          <w:szCs w:val="20"/>
          <w:color w:val="auto"/>
        </w:rPr>
      </w:pPr>
      <w:r>
        <w:rPr>
          <w:rFonts w:ascii="Arial" w:cs="Arial" w:eastAsia="Arial" w:hAnsi="Arial"/>
          <w:sz w:val="16"/>
          <w:szCs w:val="16"/>
          <w:b w:val="1"/>
          <w:bCs w:val="1"/>
          <w:color w:val="auto"/>
        </w:rPr>
        <w:t>Telephone: 770-822-4208</w:t>
      </w:r>
    </w:p>
    <w:p>
      <w:pPr>
        <w:jc w:val="center"/>
        <w:ind w:right="-6"/>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69215</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23" w:lineRule="exact"/>
        <w:rPr>
          <w:sz w:val="24"/>
          <w:szCs w:val="24"/>
          <w:color w:val="auto"/>
        </w:rPr>
      </w:pPr>
    </w:p>
    <w:tbl>
      <w:tblPr>
        <w:tblLayout w:type="fixed"/>
        <w:tblInd w:w="1207"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56"/>
        </w:trPr>
        <w:tc>
          <w:tcPr>
            <w:tcW w:w="2680" w:type="dxa"/>
            <w:vAlign w:val="bottom"/>
          </w:tcPr>
          <w:p>
            <w:pPr>
              <w:ind w:left="200"/>
              <w:spacing w:after="0"/>
              <w:rPr>
                <w:sz w:val="20"/>
                <w:szCs w:val="20"/>
                <w:color w:val="auto"/>
              </w:rPr>
            </w:pPr>
            <w:r>
              <w:rPr>
                <w:rFonts w:ascii="Arial" w:cs="Arial" w:eastAsia="Arial" w:hAnsi="Arial"/>
                <w:sz w:val="16"/>
                <w:szCs w:val="16"/>
                <w:b w:val="1"/>
                <w:bCs w:val="1"/>
                <w:color w:val="auto"/>
              </w:rPr>
              <w:t>Joseph H. Kaufman, Esq.</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4"/>
              </w:rPr>
              <w:t>Marc D. Jaffe, Esq.</w:t>
            </w:r>
          </w:p>
        </w:tc>
      </w:tr>
      <w:tr>
        <w:trPr>
          <w:trHeight w:val="203"/>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Simpson Thacher &amp; Bartlett LLP</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2"/>
              </w:rPr>
              <w:t>Ian D. Schuman, Esq.</w:t>
            </w:r>
          </w:p>
        </w:tc>
      </w:tr>
      <w:tr>
        <w:trPr>
          <w:trHeight w:val="190"/>
        </w:trPr>
        <w:tc>
          <w:tcPr>
            <w:tcW w:w="268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425 Lexington Avenue</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8"/>
              </w:rPr>
              <w:t>Latham &amp; Watkins LLP</w:t>
            </w:r>
          </w:p>
        </w:tc>
      </w:tr>
      <w:tr>
        <w:trPr>
          <w:trHeight w:val="215"/>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New York, New York 10017-3954</w:t>
            </w:r>
          </w:p>
        </w:tc>
        <w:tc>
          <w:tcPr>
            <w:tcW w:w="4440" w:type="dxa"/>
            <w:vAlign w:val="bottom"/>
          </w:tcPr>
          <w:p>
            <w:pPr>
              <w:jc w:val="center"/>
              <w:ind w:left="2059"/>
              <w:spacing w:after="0" w:line="214" w:lineRule="exact"/>
              <w:rPr>
                <w:sz w:val="20"/>
                <w:szCs w:val="20"/>
                <w:color w:val="auto"/>
              </w:rPr>
            </w:pPr>
            <w:r>
              <w:rPr>
                <w:rFonts w:ascii="Arial" w:cs="Arial" w:eastAsia="Arial" w:hAnsi="Arial"/>
                <w:sz w:val="15"/>
                <w:szCs w:val="15"/>
                <w:b w:val="1"/>
                <w:bCs w:val="1"/>
                <w:color w:val="auto"/>
                <w:w w:val="94"/>
              </w:rPr>
              <w:t>885 3</w:t>
            </w:r>
            <w:r>
              <w:rPr>
                <w:rFonts w:ascii="Arial" w:cs="Arial" w:eastAsia="Arial" w:hAnsi="Arial"/>
                <w:sz w:val="24"/>
                <w:szCs w:val="24"/>
                <w:b w:val="1"/>
                <w:bCs w:val="1"/>
                <w:color w:val="auto"/>
                <w:w w:val="94"/>
                <w:vertAlign w:val="superscript"/>
              </w:rPr>
              <w:t>rd</w:t>
            </w:r>
            <w:r>
              <w:rPr>
                <w:rFonts w:ascii="Arial" w:cs="Arial" w:eastAsia="Arial" w:hAnsi="Arial"/>
                <w:sz w:val="15"/>
                <w:szCs w:val="15"/>
                <w:b w:val="1"/>
                <w:bCs w:val="1"/>
                <w:color w:val="auto"/>
                <w:w w:val="94"/>
              </w:rPr>
              <w:t xml:space="preserve"> Avenue</w:t>
            </w:r>
          </w:p>
        </w:tc>
      </w:tr>
      <w:tr>
        <w:trPr>
          <w:trHeight w:val="203"/>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1"/>
              </w:rPr>
              <w:t>(212) 455-2000</w:t>
            </w:r>
          </w:p>
        </w:tc>
        <w:tc>
          <w:tcPr>
            <w:tcW w:w="444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New York, New York 10022-4834</w:t>
            </w:r>
          </w:p>
        </w:tc>
      </w:tr>
      <w:tr>
        <w:trPr>
          <w:trHeight w:val="210"/>
        </w:trPr>
        <w:tc>
          <w:tcPr>
            <w:tcW w:w="2680" w:type="dxa"/>
            <w:vAlign w:val="bottom"/>
          </w:tcPr>
          <w:p>
            <w:pPr>
              <w:spacing w:after="0"/>
              <w:rPr>
                <w:sz w:val="18"/>
                <w:szCs w:val="18"/>
                <w:color w:val="auto"/>
              </w:rPr>
            </w:pP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3"/>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89535</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2" w:lineRule="exact"/>
        <w:rPr>
          <w:sz w:val="24"/>
          <w:szCs w:val="24"/>
          <w:color w:val="auto"/>
        </w:rPr>
      </w:pPr>
    </w:p>
    <w:p>
      <w:pPr>
        <w:ind w:left="7" w:right="180" w:firstLine="360"/>
        <w:spacing w:after="0" w:line="223"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ind w:left="7" w:right="500" w:firstLine="360"/>
        <w:spacing w:after="0" w:line="231"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10" w:lineRule="exact"/>
        <w:rPr>
          <w:sz w:val="24"/>
          <w:szCs w:val="24"/>
          <w:color w:val="auto"/>
        </w:rPr>
      </w:pPr>
    </w:p>
    <w:p>
      <w:pPr>
        <w:ind w:left="7" w:right="500" w:firstLine="360"/>
        <w:spacing w:after="0" w:line="28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0"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0" w:lineRule="exact"/>
        <w:rPr>
          <w:sz w:val="24"/>
          <w:szCs w:val="24"/>
          <w:color w:val="auto"/>
        </w:rPr>
      </w:pPr>
    </w:p>
    <w:p>
      <w:pPr>
        <w:ind w:left="7" w:right="220" w:firstLine="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7" w:type="dxa"/>
        <w:tblCellMar>
          <w:top w:w="0" w:type="dxa"/>
          <w:left w:w="0" w:type="dxa"/>
          <w:bottom w:w="0" w:type="dxa"/>
          <w:right w:w="0" w:type="dxa"/>
        </w:tblCellMar>
      </w:tblPr>
      <w:tr>
        <w:trPr>
          <w:trHeight w:val="200"/>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900" w:type="dxa"/>
            <w:vAlign w:val="bottom"/>
          </w:tcPr>
          <w:p>
            <w:pPr>
              <w:ind w:left="280"/>
              <w:spacing w:after="0"/>
              <w:rPr>
                <w:sz w:val="20"/>
                <w:szCs w:val="20"/>
                <w:color w:val="auto"/>
              </w:rPr>
            </w:pPr>
            <w:r>
              <w:rPr>
                <w:rFonts w:ascii="Arial" w:cs="Arial" w:eastAsia="Arial" w:hAnsi="Arial"/>
                <w:sz w:val="16"/>
                <w:szCs w:val="16"/>
                <w:color w:val="auto"/>
              </w:rPr>
              <w:t>o</w:t>
            </w:r>
          </w:p>
        </w:tc>
        <w:tc>
          <w:tcPr>
            <w:tcW w:w="258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90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58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195"/>
        </w:trPr>
        <w:tc>
          <w:tcPr>
            <w:tcW w:w="17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80" w:type="dxa"/>
            <w:vAlign w:val="bottom"/>
          </w:tcPr>
          <w:p>
            <w:pPr>
              <w:ind w:left="4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bl>
    <w:p>
      <w:pPr>
        <w:ind w:left="7" w:right="160" w:firstLine="360"/>
        <w:spacing w:after="0" w:line="23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158115</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53"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840" w:type="dxa"/>
            <w:vAlign w:val="bottom"/>
            <w:tcBorders>
              <w:top w:val="single" w:sz="8" w:color="auto"/>
              <w:bottom w:val="single" w:sz="8" w:color="auto"/>
            </w:tcBorders>
          </w:tcPr>
          <w:p>
            <w:pPr>
              <w:spacing w:after="0"/>
              <w:rPr>
                <w:sz w:val="3"/>
                <w:szCs w:val="3"/>
                <w:color w:val="auto"/>
              </w:rPr>
            </w:pPr>
          </w:p>
        </w:tc>
        <w:tc>
          <w:tcPr>
            <w:tcW w:w="260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9"/>
        </w:trPr>
        <w:tc>
          <w:tcPr>
            <w:tcW w:w="840" w:type="dxa"/>
            <w:vAlign w:val="bottom"/>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right w:val="single" w:sz="8" w:color="auto"/>
            </w:tcBorders>
          </w:tcPr>
          <w:p>
            <w:pPr>
              <w:jc w:val="center"/>
              <w:ind w:right="130"/>
              <w:spacing w:after="0" w:line="119" w:lineRule="exact"/>
              <w:rPr>
                <w:sz w:val="20"/>
                <w:szCs w:val="20"/>
                <w:color w:val="auto"/>
              </w:rPr>
            </w:pPr>
            <w:r>
              <w:rPr>
                <w:rFonts w:ascii="Arial" w:cs="Arial" w:eastAsia="Arial" w:hAnsi="Arial"/>
                <w:sz w:val="13"/>
                <w:szCs w:val="13"/>
                <w:b w:val="1"/>
                <w:bCs w:val="1"/>
                <w:color w:val="auto"/>
              </w:rPr>
              <w:t>Proposed Maximum</w:t>
            </w:r>
          </w:p>
        </w:tc>
        <w:tc>
          <w:tcPr>
            <w:tcW w:w="160" w:type="dxa"/>
            <w:vAlign w:val="bottom"/>
          </w:tcPr>
          <w:p>
            <w:pPr>
              <w:spacing w:after="0"/>
              <w:rPr>
                <w:sz w:val="10"/>
                <w:szCs w:val="10"/>
                <w:color w:val="auto"/>
              </w:rPr>
            </w:pPr>
          </w:p>
        </w:tc>
        <w:tc>
          <w:tcPr>
            <w:tcW w:w="1460" w:type="dxa"/>
            <w:vAlign w:val="bottom"/>
            <w:tcBorders>
              <w:right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rPr>
              <w:t>Proposed Maximum</w:t>
            </w:r>
          </w:p>
        </w:tc>
        <w:tc>
          <w:tcPr>
            <w:tcW w:w="1260" w:type="dxa"/>
            <w:vAlign w:val="bottom"/>
          </w:tcPr>
          <w:p>
            <w:pPr>
              <w:spacing w:after="0"/>
              <w:rPr>
                <w:sz w:val="10"/>
                <w:szCs w:val="10"/>
                <w:color w:val="auto"/>
              </w:rPr>
            </w:pPr>
          </w:p>
        </w:tc>
      </w:tr>
      <w:tr>
        <w:trPr>
          <w:trHeight w:val="145"/>
        </w:trPr>
        <w:tc>
          <w:tcPr>
            <w:tcW w:w="840" w:type="dxa"/>
            <w:vAlign w:val="bottom"/>
          </w:tcPr>
          <w:p>
            <w:pPr>
              <w:spacing w:after="0"/>
              <w:rPr>
                <w:sz w:val="12"/>
                <w:szCs w:val="12"/>
                <w:color w:val="auto"/>
              </w:rPr>
            </w:pPr>
          </w:p>
        </w:tc>
        <w:tc>
          <w:tcPr>
            <w:tcW w:w="2600" w:type="dxa"/>
            <w:vAlign w:val="bottom"/>
            <w:tcBorders>
              <w:right w:val="single" w:sz="8" w:color="auto"/>
            </w:tcBorders>
          </w:tcPr>
          <w:p>
            <w:pPr>
              <w:jc w:val="center"/>
              <w:ind w:right="848"/>
              <w:spacing w:after="0" w:line="145" w:lineRule="exact"/>
              <w:rPr>
                <w:sz w:val="20"/>
                <w:szCs w:val="20"/>
                <w:color w:val="auto"/>
              </w:rPr>
            </w:pPr>
            <w:r>
              <w:rPr>
                <w:rFonts w:ascii="Arial" w:cs="Arial" w:eastAsia="Arial" w:hAnsi="Arial"/>
                <w:sz w:val="14"/>
                <w:szCs w:val="14"/>
                <w:b w:val="1"/>
                <w:bCs w:val="1"/>
                <w:color w:val="auto"/>
                <w:w w:val="95"/>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Amount to be</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30"/>
              <w:spacing w:after="0" w:line="145" w:lineRule="exact"/>
              <w:rPr>
                <w:sz w:val="20"/>
                <w:szCs w:val="20"/>
                <w:color w:val="auto"/>
              </w:rPr>
            </w:pPr>
            <w:r>
              <w:rPr>
                <w:rFonts w:ascii="Arial" w:cs="Arial" w:eastAsia="Arial" w:hAnsi="Arial"/>
                <w:sz w:val="14"/>
                <w:szCs w:val="14"/>
                <w:b w:val="1"/>
                <w:bCs w:val="1"/>
                <w:color w:val="auto"/>
                <w:w w:val="95"/>
              </w:rPr>
              <w:t>Offering Price Per</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36"/>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126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Amount of</w:t>
            </w:r>
          </w:p>
        </w:tc>
      </w:tr>
      <w:tr>
        <w:trPr>
          <w:trHeight w:val="202"/>
        </w:trPr>
        <w:tc>
          <w:tcPr>
            <w:tcW w:w="84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30"/>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56"/>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23"/>
                <w:szCs w:val="23"/>
                <w:b w:val="1"/>
                <w:bCs w:val="1"/>
                <w:color w:val="auto"/>
                <w:w w:val="91"/>
                <w:vertAlign w:val="superscript"/>
              </w:rPr>
              <w:t>(3)</w:t>
            </w:r>
          </w:p>
        </w:tc>
      </w:tr>
      <w:tr>
        <w:trPr>
          <w:trHeight w:val="217"/>
        </w:trPr>
        <w:tc>
          <w:tcPr>
            <w:tcW w:w="3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16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54"/>
        </w:trPr>
        <w:tc>
          <w:tcPr>
            <w:tcW w:w="84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gridSpan w:val="5"/>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373"/>
        </w:trPr>
        <w:tc>
          <w:tcPr>
            <w:tcW w:w="840" w:type="dxa"/>
            <w:vAlign w:val="bottom"/>
          </w:tcPr>
          <w:p>
            <w:pPr>
              <w:spacing w:after="0"/>
              <w:rPr>
                <w:sz w:val="20"/>
                <w:szCs w:val="20"/>
                <w:color w:val="auto"/>
              </w:rPr>
            </w:pPr>
            <w:r>
              <w:rPr>
                <w:rFonts w:ascii="Arial" w:cs="Arial" w:eastAsia="Arial" w:hAnsi="Arial"/>
                <w:sz w:val="14"/>
                <w:szCs w:val="14"/>
                <w:color w:val="auto"/>
              </w:rPr>
              <w:t>(1)   Includes</w:t>
            </w:r>
          </w:p>
        </w:tc>
        <w:tc>
          <w:tcPr>
            <w:tcW w:w="6000" w:type="dxa"/>
            <w:vAlign w:val="bottom"/>
            <w:gridSpan w:val="5"/>
          </w:tcPr>
          <w:p>
            <w:pPr>
              <w:jc w:val="right"/>
              <w:spacing w:after="0"/>
              <w:rPr>
                <w:sz w:val="20"/>
                <w:szCs w:val="20"/>
                <w:color w:val="auto"/>
              </w:rPr>
            </w:pPr>
            <w:r>
              <w:rPr>
                <w:rFonts w:ascii="Arial" w:cs="Arial" w:eastAsia="Arial" w:hAnsi="Arial"/>
                <w:sz w:val="14"/>
                <w:szCs w:val="14"/>
                <w:color w:val="auto"/>
              </w:rPr>
              <w:t>shares of common stock that the underwriters have the option to purchase. See “Underwriting.”</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line="312" w:lineRule="auto"/>
        <w:tabs>
          <w:tab w:leader="none" w:pos="34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w:t>
      </w:r>
    </w:p>
    <w:p>
      <w:pPr>
        <w:sectPr>
          <w:pgSz w:w="11900" w:h="16889" w:orient="portrait"/>
          <w:cols w:equalWidth="0" w:num="1">
            <w:col w:w="9567"/>
          </w:cols>
          <w:pgMar w:left="1173" w:top="238" w:right="1159" w:bottom="0" w:gutter="0" w:footer="0" w:header="0"/>
        </w:sectPr>
      </w:pPr>
    </w:p>
    <w:bookmarkStart w:id="1" w:name="page2"/>
    <w:bookmarkEnd w:id="1"/>
    <w:p>
      <w:pPr>
        <w:ind w:left="347"/>
        <w:spacing w:after="0"/>
        <w:tabs>
          <w:tab w:leader="none" w:pos="2506" w:val="left"/>
        </w:tabs>
        <w:rPr>
          <w:sz w:val="20"/>
          <w:szCs w:val="20"/>
          <w:color w:val="auto"/>
        </w:rPr>
      </w:pPr>
      <w:r>
        <w:rPr>
          <w:rFonts w:ascii="Arial" w:cs="Arial" w:eastAsia="Arial" w:hAnsi="Arial"/>
          <w:sz w:val="14"/>
          <w:szCs w:val="14"/>
          <w:color w:val="auto"/>
        </w:rPr>
        <w:t>registrant’s common stock on</w:t>
      </w:r>
      <w:r>
        <w:rPr>
          <w:sz w:val="20"/>
          <w:szCs w:val="20"/>
          <w:color w:val="auto"/>
        </w:rPr>
        <w:tab/>
      </w:r>
      <w:r>
        <w:rPr>
          <w:rFonts w:ascii="Arial" w:cs="Arial" w:eastAsia="Arial" w:hAnsi="Arial"/>
          <w:sz w:val="13"/>
          <w:szCs w:val="13"/>
          <w:color w:val="auto"/>
        </w:rPr>
        <w:t>, 2018 as reported on the NASDAQ Global Select Market.</w:t>
      </w:r>
    </w:p>
    <w:p>
      <w:pPr>
        <w:spacing w:after="0" w:line="109"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98425</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70" w:lineRule="exact"/>
        <w:rPr>
          <w:sz w:val="20"/>
          <w:szCs w:val="20"/>
          <w:color w:val="auto"/>
        </w:rPr>
      </w:pPr>
    </w:p>
    <w:p>
      <w:pPr>
        <w:jc w:val="both"/>
        <w:ind w:left="7" w:firstLine="36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6071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60718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134" w:right="1199" w:bottom="1440" w:gutter="0" w:footer="0" w:header="0"/>
        </w:sectPr>
      </w:pPr>
    </w:p>
    <w:bookmarkStart w:id="2" w:name="page3"/>
    <w:bookmarkEnd w:id="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line="204"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jc w:val="both"/>
        <w:ind w:left="7" w:right="20"/>
        <w:spacing w:after="0" w:line="215"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8" w:lineRule="exact"/>
        <w:rPr>
          <w:sz w:val="20"/>
          <w:szCs w:val="20"/>
          <w:color w:val="auto"/>
        </w:rPr>
      </w:pPr>
    </w:p>
    <w:p>
      <w:pPr>
        <w:ind w:left="2727"/>
        <w:spacing w:after="0"/>
        <w:rPr>
          <w:sz w:val="20"/>
          <w:szCs w:val="20"/>
          <w:color w:val="auto"/>
        </w:rPr>
      </w:pPr>
      <w:r>
        <w:rPr>
          <w:rFonts w:ascii="Arial" w:cs="Arial" w:eastAsia="Arial" w:hAnsi="Arial"/>
          <w:sz w:val="20"/>
          <w:szCs w:val="20"/>
          <w:b w:val="1"/>
          <w:bCs w:val="1"/>
          <w:color w:val="FC0014"/>
        </w:rPr>
        <w:t>Subject to Completion, dated February 28, 2018.</w:t>
      </w:r>
    </w:p>
    <w:p>
      <w:pPr>
        <w:spacing w:after="0" w:line="207"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auto"/>
        </w:rPr>
        <w:t>PRELIMINARY PROSPECTUS</w:t>
      </w:r>
    </w:p>
    <w:p>
      <w:pPr>
        <w:spacing w:after="0" w:line="222" w:lineRule="exact"/>
        <w:rPr>
          <w:sz w:val="20"/>
          <w:szCs w:val="20"/>
          <w:color w:val="auto"/>
        </w:rPr>
      </w:pPr>
    </w:p>
    <w:p>
      <w:pPr>
        <w:ind w:left="5327"/>
        <w:spacing w:after="0"/>
        <w:rPr>
          <w:sz w:val="20"/>
          <w:szCs w:val="20"/>
          <w:color w:val="auto"/>
        </w:rPr>
      </w:pPr>
      <w:r>
        <w:rPr>
          <w:rFonts w:ascii="Arial" w:cs="Arial" w:eastAsia="Arial" w:hAnsi="Arial"/>
          <w:sz w:val="23"/>
          <w:szCs w:val="2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298450</wp:posOffset>
            </wp:positionV>
            <wp:extent cx="1080770" cy="831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Arial" w:cs="Arial" w:eastAsia="Arial" w:hAnsi="Arial"/>
          <w:sz w:val="27"/>
          <w:szCs w:val="27"/>
          <w:b w:val="1"/>
          <w:bCs w:val="1"/>
          <w:color w:val="auto"/>
        </w:rPr>
        <w:t>National Vision Holdings, Inc.</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3"/>
          <w:szCs w:val="23"/>
          <w:b w:val="1"/>
          <w:bCs w:val="1"/>
          <w:color w:val="auto"/>
        </w:rPr>
        <w:t>Common Stock</w:t>
      </w:r>
    </w:p>
    <w:p>
      <w:pPr>
        <w:spacing w:after="0" w:line="200" w:lineRule="exact"/>
        <w:rPr>
          <w:sz w:val="20"/>
          <w:szCs w:val="20"/>
          <w:color w:val="auto"/>
        </w:rPr>
      </w:pPr>
    </w:p>
    <w:p>
      <w:pPr>
        <w:spacing w:after="0" w:line="239"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9"/>
          <w:szCs w:val="19"/>
          <w:color w:val="auto"/>
        </w:rPr>
        <w:t>The selling stockholders named in this prospectus are offering shares of common stock of National Vision Holdings, Inc. We will not receive any proceeds from the sale of our common stock by the selling stockholders.</w:t>
      </w:r>
    </w:p>
    <w:p>
      <w:pPr>
        <w:spacing w:after="0" w:line="153" w:lineRule="exact"/>
        <w:rPr>
          <w:sz w:val="20"/>
          <w:szCs w:val="20"/>
          <w:color w:val="auto"/>
        </w:rPr>
      </w:pPr>
    </w:p>
    <w:p>
      <w:pPr>
        <w:ind w:left="7" w:right="320" w:firstLine="360"/>
        <w:spacing w:after="0" w:line="285" w:lineRule="auto"/>
        <w:rPr>
          <w:sz w:val="20"/>
          <w:szCs w:val="20"/>
          <w:color w:val="auto"/>
        </w:rPr>
      </w:pPr>
      <w:r>
        <w:rPr>
          <w:rFonts w:ascii="Arial" w:cs="Arial" w:eastAsia="Arial" w:hAnsi="Arial"/>
          <w:sz w:val="18"/>
          <w:szCs w:val="18"/>
          <w:color w:val="auto"/>
        </w:rPr>
        <w:t>Our common stock is listed on the NASDAQ Global Select Market, or NASDAQ, under the symbol “EYE.” On February 27, 2018, the closing sales price of our common stock as reported on the NASDAQ was $34.95 per share.</w:t>
      </w:r>
    </w:p>
    <w:p>
      <w:pPr>
        <w:spacing w:after="0" w:line="105" w:lineRule="exact"/>
        <w:rPr>
          <w:sz w:val="20"/>
          <w:szCs w:val="20"/>
          <w:color w:val="auto"/>
        </w:rPr>
      </w:pPr>
    </w:p>
    <w:p>
      <w:pPr>
        <w:ind w:left="367"/>
        <w:spacing w:after="0"/>
        <w:tabs>
          <w:tab w:leader="none" w:pos="5026" w:val="left"/>
        </w:tabs>
        <w:rPr>
          <w:sz w:val="20"/>
          <w:szCs w:val="20"/>
          <w:color w:val="auto"/>
        </w:rPr>
      </w:pPr>
      <w:r>
        <w:rPr>
          <w:rFonts w:ascii="Arial" w:cs="Arial" w:eastAsia="Arial" w:hAnsi="Arial"/>
          <w:sz w:val="20"/>
          <w:szCs w:val="20"/>
          <w:color w:val="auto"/>
        </w:rPr>
        <w:t>To the extent that the underwriters sell more than</w:t>
      </w:r>
      <w:r>
        <w:rPr>
          <w:sz w:val="20"/>
          <w:szCs w:val="20"/>
          <w:color w:val="auto"/>
        </w:rPr>
        <w:tab/>
      </w:r>
      <w:r>
        <w:rPr>
          <w:rFonts w:ascii="Arial" w:cs="Arial" w:eastAsia="Arial" w:hAnsi="Arial"/>
          <w:sz w:val="17"/>
          <w:szCs w:val="17"/>
          <w:color w:val="auto"/>
        </w:rPr>
        <w:t>shares of our common stock, the underwriters have the</w:t>
      </w:r>
    </w:p>
    <w:p>
      <w:pPr>
        <w:ind w:left="7"/>
        <w:spacing w:after="0" w:line="232" w:lineRule="auto"/>
        <w:tabs>
          <w:tab w:leader="none" w:pos="3766" w:val="left"/>
          <w:tab w:leader="none" w:pos="5686" w:val="left"/>
        </w:tabs>
        <w:rPr>
          <w:sz w:val="20"/>
          <w:szCs w:val="20"/>
          <w:color w:val="auto"/>
        </w:rPr>
      </w:pPr>
      <w:r>
        <w:rPr>
          <w:rFonts w:ascii="Arial" w:cs="Arial" w:eastAsia="Arial" w:hAnsi="Arial"/>
          <w:sz w:val="20"/>
          <w:szCs w:val="20"/>
          <w:color w:val="auto"/>
        </w:rPr>
        <w:t>option to purchase up to an additional</w:t>
      </w:r>
      <w:r>
        <w:rPr>
          <w:sz w:val="20"/>
          <w:szCs w:val="20"/>
          <w:color w:val="auto"/>
        </w:rPr>
        <w:tab/>
      </w:r>
      <w:r>
        <w:rPr>
          <w:rFonts w:ascii="Arial" w:cs="Arial" w:eastAsia="Arial" w:hAnsi="Arial"/>
          <w:sz w:val="20"/>
          <w:szCs w:val="20"/>
          <w:color w:val="auto"/>
        </w:rPr>
        <w:t>shares from</w:t>
      </w:r>
      <w:r>
        <w:rPr>
          <w:sz w:val="20"/>
          <w:szCs w:val="20"/>
          <w:color w:val="auto"/>
        </w:rPr>
        <w:tab/>
      </w:r>
      <w:r>
        <w:rPr>
          <w:rFonts w:ascii="Arial" w:cs="Arial" w:eastAsia="Arial" w:hAnsi="Arial"/>
          <w:sz w:val="17"/>
          <w:szCs w:val="17"/>
          <w:color w:val="auto"/>
        </w:rPr>
        <w:t>at the public offering price, less the</w:t>
      </w:r>
    </w:p>
    <w:p>
      <w:pPr>
        <w:ind w:left="7"/>
        <w:spacing w:after="0" w:line="213" w:lineRule="auto"/>
        <w:rPr>
          <w:sz w:val="20"/>
          <w:szCs w:val="20"/>
          <w:color w:val="auto"/>
        </w:rPr>
      </w:pPr>
      <w:r>
        <w:rPr>
          <w:rFonts w:ascii="Arial" w:cs="Arial" w:eastAsia="Arial" w:hAnsi="Arial"/>
          <w:sz w:val="20"/>
          <w:szCs w:val="20"/>
          <w:color w:val="auto"/>
        </w:rPr>
        <w:t>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55" w:lineRule="exact"/>
        <w:rPr>
          <w:sz w:val="20"/>
          <w:szCs w:val="20"/>
          <w:color w:val="auto"/>
        </w:rPr>
      </w:pPr>
    </w:p>
    <w:p>
      <w:pPr>
        <w:ind w:left="7" w:right="280" w:firstLine="36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Investing in our common stock involves risk. See “Risk Factors” beginning on page </w:t>
      </w:r>
      <w:hyperlink w:anchor="page27">
        <w:r>
          <w:rPr>
            <w:rFonts w:ascii="Arial" w:cs="Arial" w:eastAsia="Arial" w:hAnsi="Arial"/>
            <w:sz w:val="20"/>
            <w:szCs w:val="20"/>
            <w:b w:val="1"/>
            <w:bCs w:val="1"/>
            <w:i w:val="1"/>
            <w:iCs w:val="1"/>
            <w:u w:val="single" w:color="auto"/>
            <w:color w:val="0000EE"/>
          </w:rPr>
          <w:t>16</w:t>
        </w:r>
        <w:r>
          <w:rPr>
            <w:rFonts w:ascii="Arial" w:cs="Arial" w:eastAsia="Arial" w:hAnsi="Arial"/>
            <w:sz w:val="20"/>
            <w:szCs w:val="20"/>
            <w:b w:val="1"/>
            <w:bCs w:val="1"/>
            <w:i w:val="1"/>
            <w:iCs w:val="1"/>
            <w:u w:val="single" w:color="auto"/>
            <w:color w:val="auto"/>
          </w:rPr>
          <w:t xml:space="preserve"> </w:t>
        </w:r>
      </w:hyperlink>
      <w:r>
        <w:rPr>
          <w:rFonts w:ascii="Arial" w:cs="Arial" w:eastAsia="Arial" w:hAnsi="Arial"/>
          <w:sz w:val="20"/>
          <w:szCs w:val="20"/>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57" w:lineRule="exact"/>
        <w:rPr>
          <w:sz w:val="20"/>
          <w:szCs w:val="20"/>
          <w:color w:val="auto"/>
        </w:rPr>
      </w:pPr>
    </w:p>
    <w:p>
      <w:pPr>
        <w:jc w:val="both"/>
        <w:ind w:left="7" w:right="20" w:firstLine="360"/>
        <w:spacing w:after="0" w:line="218" w:lineRule="auto"/>
        <w:rPr>
          <w:sz w:val="20"/>
          <w:szCs w:val="20"/>
          <w:color w:val="auto"/>
        </w:rPr>
      </w:pPr>
      <w:r>
        <w:rPr>
          <w:rFonts w:ascii="Arial" w:cs="Arial" w:eastAsia="Arial" w:hAnsi="Arial"/>
          <w:sz w:val="20"/>
          <w:szCs w:val="20"/>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0"/>
        </w:trPr>
        <w:tc>
          <w:tcPr>
            <w:tcW w:w="7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1140" w:type="dxa"/>
            <w:vAlign w:val="bottom"/>
            <w:shd w:val="clear" w:color="auto" w:fill="CCEEFF"/>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r>
      <w:tr>
        <w:trPr>
          <w:trHeight w:val="251"/>
        </w:trPr>
        <w:tc>
          <w:tcPr>
            <w:tcW w:w="7040" w:type="dxa"/>
            <w:vAlign w:val="bottom"/>
            <w:gridSpan w:val="2"/>
          </w:tcPr>
          <w:p>
            <w:pPr>
              <w:spacing w:after="0"/>
              <w:rPr>
                <w:sz w:val="20"/>
                <w:szCs w:val="20"/>
                <w:color w:val="auto"/>
              </w:rPr>
            </w:pPr>
            <w:r>
              <w:rPr>
                <w:rFonts w:ascii="Arial" w:cs="Arial" w:eastAsia="Arial" w:hAnsi="Arial"/>
                <w:sz w:val="20"/>
                <w:szCs w:val="20"/>
                <w:color w:val="auto"/>
              </w:rPr>
              <w:t>Underwriting discounts and commissions</w:t>
            </w:r>
          </w:p>
        </w:tc>
        <w:tc>
          <w:tcPr>
            <w:tcW w:w="1140" w:type="dxa"/>
            <w:vAlign w:val="bottom"/>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r>
      <w:tr>
        <w:trPr>
          <w:trHeight w:val="263"/>
        </w:trPr>
        <w:tc>
          <w:tcPr>
            <w:tcW w:w="704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30"/>
                <w:szCs w:val="30"/>
                <w:color w:val="auto"/>
                <w:vertAlign w:val="superscript"/>
              </w:rPr>
              <w:t>(1)</w:t>
            </w:r>
          </w:p>
        </w:tc>
        <w:tc>
          <w:tcPr>
            <w:tcW w:w="1140" w:type="dxa"/>
            <w:vAlign w:val="bottom"/>
            <w:shd w:val="clear" w:color="auto" w:fill="CCEEFF"/>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r>
      <w:tr>
        <w:trPr>
          <w:trHeight w:val="189"/>
        </w:trPr>
        <w:tc>
          <w:tcPr>
            <w:tcW w:w="1340" w:type="dxa"/>
            <w:vAlign w:val="bottom"/>
            <w:tcBorders>
              <w:bottom w:val="single" w:sz="8" w:color="auto"/>
            </w:tcBorders>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206" w:lineRule="exact"/>
        <w:rPr>
          <w:sz w:val="20"/>
          <w:szCs w:val="20"/>
          <w:color w:val="auto"/>
        </w:rPr>
      </w:pPr>
    </w:p>
    <w:tbl>
      <w:tblPr>
        <w:tblLayout w:type="fixed"/>
        <w:tblInd w:w="7" w:type="dxa"/>
        <w:tblCellMar>
          <w:top w:w="0" w:type="dxa"/>
          <w:left w:w="0" w:type="dxa"/>
          <w:bottom w:w="0" w:type="dxa"/>
          <w:right w:w="0" w:type="dxa"/>
        </w:tblCellMar>
      </w:tblPr>
      <w:tr>
        <w:trPr>
          <w:trHeight w:val="251"/>
        </w:trPr>
        <w:tc>
          <w:tcPr>
            <w:tcW w:w="8220" w:type="dxa"/>
            <w:vAlign w:val="bottom"/>
            <w:gridSpan w:val="3"/>
          </w:tcPr>
          <w:p>
            <w:pPr>
              <w:spacing w:after="0"/>
              <w:rPr>
                <w:sz w:val="20"/>
                <w:szCs w:val="20"/>
                <w:color w:val="auto"/>
              </w:rPr>
            </w:pPr>
            <w:r>
              <w:rPr>
                <w:rFonts w:ascii="Arial" w:cs="Arial" w:eastAsia="Arial" w:hAnsi="Arial"/>
                <w:sz w:val="20"/>
                <w:szCs w:val="20"/>
                <w:color w:val="auto"/>
                <w:w w:val="94"/>
              </w:rPr>
              <w:t>The underwriters expect to deliver the shares against payment in New York, New York on or about</w:t>
            </w:r>
          </w:p>
        </w:tc>
        <w:tc>
          <w:tcPr>
            <w:tcW w:w="940" w:type="dxa"/>
            <w:vAlign w:val="bottom"/>
          </w:tcPr>
          <w:p>
            <w:pPr>
              <w:jc w:val="right"/>
              <w:spacing w:after="0"/>
              <w:rPr>
                <w:sz w:val="20"/>
                <w:szCs w:val="20"/>
                <w:color w:val="auto"/>
              </w:rPr>
            </w:pPr>
            <w:r>
              <w:rPr>
                <w:rFonts w:ascii="Arial" w:cs="Arial" w:eastAsia="Arial" w:hAnsi="Arial"/>
                <w:sz w:val="20"/>
                <w:szCs w:val="20"/>
                <w:color w:val="auto"/>
              </w:rPr>
              <w:t>, 2018.</w:t>
            </w:r>
          </w:p>
        </w:tc>
      </w:tr>
      <w:tr>
        <w:trPr>
          <w:trHeight w:val="212"/>
        </w:trPr>
        <w:tc>
          <w:tcPr>
            <w:tcW w:w="39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567"/>
          </w:cols>
          <w:pgMar w:left="1173"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87"/>
        <w:spacing w:after="0"/>
        <w:tabs>
          <w:tab w:leader="none" w:pos="5606" w:val="left"/>
        </w:tabs>
        <w:rPr>
          <w:sz w:val="20"/>
          <w:szCs w:val="20"/>
          <w:color w:val="auto"/>
        </w:rPr>
      </w:pPr>
      <w:r>
        <w:rPr>
          <w:rFonts w:ascii="Arial" w:cs="Arial" w:eastAsia="Arial" w:hAnsi="Arial"/>
          <w:sz w:val="20"/>
          <w:szCs w:val="20"/>
          <w:b w:val="1"/>
          <w:bCs w:val="1"/>
          <w:color w:val="auto"/>
        </w:rPr>
        <w:t>Prospectus dated</w:t>
      </w:r>
      <w:r>
        <w:rPr>
          <w:sz w:val="20"/>
          <w:szCs w:val="20"/>
          <w:color w:val="auto"/>
        </w:rPr>
        <w:tab/>
      </w:r>
      <w:r>
        <w:rPr>
          <w:rFonts w:ascii="Arial" w:cs="Arial" w:eastAsia="Arial" w:hAnsi="Arial"/>
          <w:sz w:val="17"/>
          <w:szCs w:val="17"/>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294755" cy="8618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191885" cy="8712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1885" cy="871283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174740" cy="8704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87045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380480" cy="6972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0480" cy="697230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7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Market, Ranking, and Other Industry Data</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Trademarks, Service Marks and Tradenames</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shd w:val="clear" w:color="auto" w:fill="CCEEFF"/>
          </w:tcPr>
          <w:p>
            <w:pPr>
              <w:spacing w:after="0" w:line="189"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Basis of Presentation</w:t>
              </w:r>
            </w:hyperlink>
          </w:p>
        </w:tc>
        <w:tc>
          <w:tcPr>
            <w:tcW w:w="7760" w:type="dxa"/>
            <w:vAlign w:val="bottom"/>
            <w:gridSpan w:val="11"/>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Glossary</w:t>
              </w:r>
            </w:hyperlink>
          </w:p>
        </w:tc>
        <w:tc>
          <w:tcPr>
            <w:tcW w:w="7760" w:type="dxa"/>
            <w:vAlign w:val="bottom"/>
            <w:gridSpan w:val="11"/>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Non-GAAP Financial Measures</w:t>
              </w:r>
            </w:hyperlink>
          </w:p>
        </w:tc>
        <w:tc>
          <w:tcPr>
            <w:tcW w:w="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100"/>
              <w:spacing w:after="0" w:line="189"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3"/>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Prospectus Summary</w:t>
              </w:r>
            </w:hyperlink>
          </w:p>
        </w:tc>
        <w:tc>
          <w:tcPr>
            <w:tcW w:w="698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4"/>
          </w:tcPr>
          <w:p>
            <w:pPr>
              <w:jc w:val="right"/>
              <w:ind w:right="100"/>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Risk Factors</w:t>
              </w:r>
            </w:hyperlink>
          </w:p>
        </w:tc>
        <w:tc>
          <w:tcPr>
            <w:tcW w:w="8380" w:type="dxa"/>
            <w:vAlign w:val="bottom"/>
            <w:gridSpan w:val="16"/>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4">
              <w:r>
                <w:rPr>
                  <w:rFonts w:ascii="Arial" w:cs="Arial" w:eastAsia="Arial" w:hAnsi="Arial"/>
                  <w:sz w:val="18"/>
                  <w:szCs w:val="18"/>
                  <w:color w:val="0000EE"/>
                </w:rPr>
                <w:t>Special Note Regarding Forward-Looking Statements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2"/>
            <w:shd w:val="clear" w:color="auto" w:fill="CCEEFF"/>
          </w:tcPr>
          <w:p>
            <w:pPr>
              <w:spacing w:after="0" w:line="189"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Price Range of Common Stock</w:t>
              </w:r>
            </w:hyperlink>
          </w:p>
        </w:tc>
        <w:tc>
          <w:tcPr>
            <w:tcW w:w="7040" w:type="dxa"/>
            <w:vAlign w:val="bottom"/>
            <w:gridSpan w:val="7"/>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2"/>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Capitalization</w:t>
              </w:r>
            </w:hyperlink>
          </w:p>
        </w:tc>
        <w:tc>
          <w:tcPr>
            <w:tcW w:w="7040" w:type="dxa"/>
            <w:vAlign w:val="bottom"/>
            <w:gridSpan w:val="7"/>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Selling Stockholders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Capital Stock</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00" w:type="dxa"/>
            <w:vAlign w:val="bottom"/>
            <w:gridSpan w:val="11"/>
            <w:shd w:val="clear" w:color="auto" w:fill="CCEEFF"/>
          </w:tcPr>
          <w:p>
            <w:pPr>
              <w:spacing w:after="0" w:line="189"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Shares Eligible for Future Sale</w:t>
              </w:r>
            </w:hyperlink>
          </w:p>
        </w:tc>
        <w:tc>
          <w:tcPr>
            <w:tcW w:w="7060" w:type="dxa"/>
            <w:vAlign w:val="bottom"/>
            <w:gridSpan w:val="8"/>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Material United States Federal Income and Estate Tax Consequences to Non-U.S. Holders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Borders>
              <w:top w:val="single" w:sz="8" w:color="0000EE"/>
            </w:tcBorders>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Underwriting</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by Reference</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and “Risk Factors” and “Management’s Discussion and Analysis of Financial Condition and Results of Operations” in our Annual Report (as defined herein),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8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ectPr>
          <w:pgSz w:w="11900" w:h="16838" w:orient="portrait"/>
          <w:cols w:equalWidth="0" w:num="1">
            <w:col w:w="9500"/>
          </w:cols>
          <w:pgMar w:left="1180" w:top="279" w:right="121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means our Annual Report on Form 10-K for the fiscal year ended December 30,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filed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ectPr>
          <w:pgSz w:w="11900" w:h="16838" w:orient="portrait"/>
          <w:cols w:equalWidth="0" w:num="4">
            <w:col w:w="400" w:space="300"/>
            <w:col w:w="7040" w:space="300"/>
            <w:col w:w="660" w:space="400"/>
            <w:col w:w="400"/>
          </w:cols>
          <w:pgMar w:left="1180" w:top="279" w:right="121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2018.</w:t>
      </w:r>
    </w:p>
    <w:p>
      <w:pPr>
        <w:sectPr>
          <w:pgSz w:w="11900" w:h="16838" w:orient="portrait"/>
          <w:cols w:equalWidth="0" w:num="1">
            <w:col w:w="9500"/>
          </w:cols>
          <w:pgMar w:left="1180" w:top="279" w:right="1219" w:bottom="1440" w:gutter="0" w:footer="0" w:header="0"/>
          <w:type w:val="continuous"/>
        </w:sectPr>
      </w:pPr>
    </w:p>
    <w:p>
      <w:pPr>
        <w:spacing w:after="0" w:line="137"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“Omni-channel platform” means the technology supporting many of our physical and online retail functionalities and services, including online frame browsing and virtual frame try-on, scheduling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left="720" w:right="140"/>
        <w:spacing w:after="0" w:line="301" w:lineRule="auto"/>
        <w:rPr>
          <w:sz w:val="20"/>
          <w:szCs w:val="20"/>
          <w:color w:val="auto"/>
        </w:rPr>
      </w:pPr>
      <w:r>
        <w:rPr>
          <w:rFonts w:ascii="Arial" w:cs="Arial" w:eastAsia="Arial" w:hAnsi="Arial"/>
          <w:sz w:val="16"/>
          <w:szCs w:val="16"/>
          <w:color w:val="auto"/>
        </w:rPr>
        <w:t>appointments, ship to customer programs, geolocation of our retail locations and online ordering of optical goods. As of December 30, 2017, our omni-channel platform serves our America’s Best Contacts &amp; Eyeglasses, or America’s Best, stores, Eyeglass World stores and Vista Optical operations on U.S. Army and Air Force military bases.</w:t>
      </w:r>
    </w:p>
    <w:p>
      <w:pPr>
        <w:spacing w:after="0" w:line="48"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5209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right="60" w:firstLine="360"/>
        <w:spacing w:after="0" w:line="270"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and “Risk Factors,” “Management’s Discussion and Analysis of Financial Condition and Results of Operations” and the audited consolidated financial statements and related notes thereto in our Annual Report, which is incorporated by reference in this prospectus, before you decide to invest in shares of our common stock.</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1,013 retail stores across five brands and 18 consumer websites as of December 30,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379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737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December 30, 2017.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Vista Optical in Fred Meyer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14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70" w:lineRule="exact"/>
        <w:rPr>
          <w:rFonts w:ascii="Arial" w:cs="Arial" w:eastAsia="Arial" w:hAnsi="Arial"/>
          <w:sz w:val="17"/>
          <w:szCs w:val="17"/>
          <w:color w:val="auto"/>
        </w:rPr>
      </w:pPr>
    </w:p>
    <w:p>
      <w:pPr>
        <w:ind w:left="800" w:right="360" w:hanging="342"/>
        <w:spacing w:after="0" w:line="286"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On average,</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585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7585075"/>
                    </a:xfrm>
                    <a:prstGeom prst="rect">
                      <a:avLst/>
                    </a:prstGeom>
                    <a:noFill/>
                  </pic:spPr>
                </pic:pic>
              </a:graphicData>
            </a:graphic>
          </wp:anchor>
        </w:drawing>
      </w:r>
    </w:p>
    <w:p>
      <w:pPr>
        <w:ind w:left="820"/>
        <w:spacing w:after="0" w:line="269" w:lineRule="auto"/>
        <w:rPr>
          <w:sz w:val="20"/>
          <w:szCs w:val="20"/>
          <w:color w:val="auto"/>
        </w:rPr>
      </w:pPr>
      <w:r>
        <w:rPr>
          <w:rFonts w:ascii="Arial" w:cs="Arial" w:eastAsia="Arial" w:hAnsi="Arial"/>
          <w:sz w:val="17"/>
          <w:szCs w:val="17"/>
          <w:color w:val="auto"/>
        </w:rPr>
        <w:t>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3"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64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20" w:hanging="353"/>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180" w:firstLine="360"/>
        <w:spacing w:after="0" w:line="259" w:lineRule="auto"/>
        <w:rPr>
          <w:sz w:val="20"/>
          <w:szCs w:val="20"/>
          <w:color w:val="auto"/>
        </w:rPr>
      </w:pPr>
      <w:r>
        <w:rPr>
          <w:rFonts w:ascii="Arial" w:cs="Arial" w:eastAsia="Arial" w:hAnsi="Arial"/>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336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ind w:left="100" w:right="20"/>
        <w:spacing w:after="0" w:line="254" w:lineRule="auto"/>
        <w:rPr>
          <w:sz w:val="20"/>
          <w:szCs w:val="20"/>
          <w:color w:val="auto"/>
        </w:rPr>
      </w:pPr>
      <w:r>
        <w:rPr>
          <w:rFonts w:ascii="Arial" w:cs="Arial" w:eastAsia="Arial" w:hAnsi="Arial"/>
          <w:sz w:val="18"/>
          <w:szCs w:val="18"/>
          <w:color w:val="auto"/>
        </w:rPr>
        <w:t>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20" w:hanging="342"/>
        <w:spacing w:after="0" w:line="271"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70" w:lineRule="exact"/>
        <w:rPr>
          <w:rFonts w:ascii="Arial" w:cs="Arial" w:eastAsia="Arial" w:hAnsi="Arial"/>
          <w:sz w:val="17"/>
          <w:szCs w:val="17"/>
          <w:color w:val="auto"/>
        </w:rPr>
      </w:pPr>
    </w:p>
    <w:p>
      <w:pPr>
        <w:ind w:left="800" w:right="220" w:hanging="342"/>
        <w:spacing w:after="0" w:line="297"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6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Focus on Health and Wellness. </w:t>
      </w:r>
      <w:r>
        <w:rPr>
          <w:rFonts w:ascii="Arial" w:cs="Arial" w:eastAsia="Arial" w:hAnsi="Arial"/>
          <w:sz w:val="18"/>
          <w:szCs w:val="18"/>
          <w:color w:val="auto"/>
        </w:rPr>
        <w:t>The optical retail industry is poised to benefit from expansive trends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an increasing societal focus on health and wellness. Consumers want personalized solutions that allow them to make informed decisions about their health. Additionally,</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520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ind w:left="820" w:right="40"/>
        <w:spacing w:after="0" w:line="290" w:lineRule="auto"/>
        <w:rPr>
          <w:sz w:val="20"/>
          <w:szCs w:val="20"/>
          <w:color w:val="auto"/>
        </w:rPr>
      </w:pPr>
      <w:r>
        <w:rPr>
          <w:rFonts w:ascii="Arial" w:cs="Arial" w:eastAsia="Arial" w:hAnsi="Arial"/>
          <w:sz w:val="16"/>
          <w:szCs w:val="16"/>
          <w:color w:val="auto"/>
        </w:rPr>
        <w:t>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Chains Are Growing Faster Than Industry. </w:t>
      </w:r>
      <w:r>
        <w:rPr>
          <w:rFonts w:ascii="Arial" w:cs="Arial" w:eastAsia="Arial" w:hAnsi="Arial"/>
          <w:sz w:val="18"/>
          <w:szCs w:val="18"/>
          <w:color w:val="auto"/>
        </w:rPr>
        <w:t>According to Vision Monday estimates, from 2007 to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80" w:lineRule="exact"/>
        <w:rPr>
          <w:rFonts w:ascii="Arial" w:cs="Arial" w:eastAsia="Arial" w:hAnsi="Arial"/>
          <w:sz w:val="18"/>
          <w:szCs w:val="18"/>
          <w:color w:val="auto"/>
        </w:rPr>
      </w:pPr>
    </w:p>
    <w:p>
      <w:pPr>
        <w:ind w:left="800" w:right="40" w:hanging="342"/>
        <w:spacing w:after="0" w:line="25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370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99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88"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70" w:lineRule="exact"/>
        <w:rPr>
          <w:sz w:val="20"/>
          <w:szCs w:val="20"/>
          <w:color w:val="auto"/>
        </w:rPr>
      </w:pPr>
    </w:p>
    <w:p>
      <w:pPr>
        <w:ind w:left="800" w:right="80" w:hanging="342"/>
        <w:spacing w:after="0" w:line="25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4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60" w:hanging="342"/>
        <w:spacing w:after="0" w:line="270"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21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20" w:hanging="342"/>
        <w:spacing w:after="0" w:line="270"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hanging="342"/>
        <w:spacing w:after="0" w:line="272"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December 30,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680" w:hanging="342"/>
        <w:spacing w:after="0" w:line="308"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Partnerships with Retail Partners and Vendors. </w:t>
      </w:r>
      <w:r>
        <w:rPr>
          <w:rFonts w:ascii="Arial" w:cs="Arial" w:eastAsia="Arial" w:hAnsi="Arial"/>
          <w:sz w:val="17"/>
          <w:szCs w:val="17"/>
          <w:color w:val="auto"/>
        </w:rPr>
        <w:t>We have developed extensive and long-term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our frame and lens suppliers, our host and legacy partners and managed</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65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ind w:left="820" w:right="20"/>
        <w:spacing w:after="0" w:line="287" w:lineRule="auto"/>
        <w:rPr>
          <w:sz w:val="20"/>
          <w:szCs w:val="20"/>
          <w:color w:val="auto"/>
        </w:rPr>
      </w:pPr>
      <w:r>
        <w:rPr>
          <w:rFonts w:ascii="Arial" w:cs="Arial" w:eastAsia="Arial" w:hAnsi="Arial"/>
          <w:sz w:val="16"/>
          <w:szCs w:val="16"/>
          <w:color w:val="auto"/>
        </w:rPr>
        <w:t>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60" w:lineRule="exact"/>
        <w:rPr>
          <w:sz w:val="20"/>
          <w:szCs w:val="20"/>
          <w:color w:val="auto"/>
        </w:rPr>
      </w:pPr>
    </w:p>
    <w:p>
      <w:pPr>
        <w:ind w:left="800" w:right="20" w:hanging="342"/>
        <w:spacing w:after="0" w:line="255"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hanging="342"/>
        <w:spacing w:after="0" w:line="286"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498 stores on a net basis (opened 566 new stores and closed 68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approximately 700 stores as of December 30, 2017 to a total of at least 1,850 stores, with similar economics to the existing store base. In the near term, our primary focus will continue to be to open new America’s Best stores, most notably in California as well as Northern New Jersey and parts of the New York metro area,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0"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71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88" w:lineRule="exact"/>
        <w:rPr>
          <w:sz w:val="20"/>
          <w:szCs w:val="20"/>
          <w:color w:val="auto"/>
        </w:rPr>
      </w:pPr>
    </w:p>
    <w:p>
      <w:pPr>
        <w:ind w:left="800" w:right="220" w:hanging="342"/>
        <w:spacing w:after="0" w:line="291"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Operating Productivity.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59" w:lineRule="exact"/>
        <w:rPr>
          <w:rFonts w:ascii="Arial" w:cs="Arial" w:eastAsia="Arial" w:hAnsi="Arial"/>
          <w:sz w:val="16"/>
          <w:szCs w:val="16"/>
          <w:color w:val="auto"/>
        </w:rPr>
      </w:pPr>
    </w:p>
    <w:p>
      <w:pPr>
        <w:ind w:left="820" w:right="20"/>
        <w:spacing w:after="0" w:line="272"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69" w:lineRule="exact"/>
        <w:rPr>
          <w:rFonts w:ascii="Arial" w:cs="Arial" w:eastAsia="Arial" w:hAnsi="Arial"/>
          <w:sz w:val="16"/>
          <w:szCs w:val="16"/>
          <w:color w:val="auto"/>
        </w:rPr>
      </w:pPr>
    </w:p>
    <w:p>
      <w:pPr>
        <w:ind w:left="800" w:hanging="342"/>
        <w:spacing w:after="0" w:line="287"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5964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5964555"/>
                    </a:xfrm>
                    <a:prstGeom prst="rect">
                      <a:avLst/>
                    </a:prstGeom>
                    <a:noFill/>
                  </pic:spPr>
                </pic:pic>
              </a:graphicData>
            </a:graphic>
          </wp:anchor>
        </w:drawing>
      </w:r>
    </w:p>
    <w:p>
      <w:pPr>
        <w:spacing w:after="0" w:line="88" w:lineRule="exact"/>
        <w:rPr>
          <w:sz w:val="20"/>
          <w:szCs w:val="20"/>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Any of the factors set forth under “Risk Factors” in this prospectus and under “Risk Factors” in our Annual Report, which is incorporated herein by reference, may limit our ability to successfully execute our 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L.P.,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L.P.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37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6376035"/>
                    </a:xfrm>
                    <a:prstGeom prst="rect">
                      <a:avLst/>
                    </a:prstGeom>
                    <a:noFill/>
                  </pic:spPr>
                </pic:pic>
              </a:graphicData>
            </a:graphic>
          </wp:anchor>
        </w:drawing>
      </w:r>
    </w:p>
    <w:p>
      <w:pPr>
        <w:spacing w:after="0" w:line="19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360" w:type="dxa"/>
            <w:vAlign w:val="bottom"/>
            <w:gridSpan w:val="4"/>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offered by the selling stockholders</w:t>
            </w:r>
          </w:p>
        </w:tc>
        <w:tc>
          <w:tcPr>
            <w:tcW w:w="960" w:type="dxa"/>
            <w:vAlign w:val="bottom"/>
          </w:tcPr>
          <w:p>
            <w:pPr>
              <w:spacing w:after="0"/>
              <w:rPr>
                <w:sz w:val="24"/>
                <w:szCs w:val="24"/>
                <w:color w:val="auto"/>
              </w:rPr>
            </w:pPr>
          </w:p>
        </w:tc>
        <w:tc>
          <w:tcPr>
            <w:tcW w:w="4400" w:type="dxa"/>
            <w:vAlign w:val="bottom"/>
            <w:gridSpan w:val="3"/>
          </w:tcPr>
          <w:p>
            <w:pPr>
              <w:ind w:left="60"/>
              <w:spacing w:after="0"/>
              <w:rPr>
                <w:sz w:val="20"/>
                <w:szCs w:val="20"/>
                <w:color w:val="auto"/>
              </w:rPr>
            </w:pPr>
            <w:r>
              <w:rPr>
                <w:rFonts w:ascii="Arial" w:cs="Arial" w:eastAsia="Arial" w:hAnsi="Arial"/>
                <w:sz w:val="18"/>
                <w:szCs w:val="18"/>
                <w:color w:val="auto"/>
              </w:rPr>
              <w:t>shares.</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w w:val="95"/>
              </w:rPr>
              <w:t>Underwriters’ option to purchase additional shares of</w:t>
            </w:r>
          </w:p>
        </w:tc>
        <w:tc>
          <w:tcPr>
            <w:tcW w:w="960" w:type="dxa"/>
            <w:vAlign w:val="bottom"/>
          </w:tcPr>
          <w:p>
            <w:pPr>
              <w:spacing w:after="0"/>
              <w:rPr>
                <w:sz w:val="24"/>
                <w:szCs w:val="24"/>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w w:val="89"/>
              </w:rPr>
              <w:t>have granted the underwriters a 30-day option to purchase</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960" w:type="dxa"/>
            <w:vAlign w:val="bottom"/>
          </w:tcPr>
          <w:p>
            <w:pPr>
              <w:ind w:left="300"/>
              <w:spacing w:after="0"/>
              <w:rPr>
                <w:sz w:val="20"/>
                <w:szCs w:val="20"/>
                <w:color w:val="auto"/>
              </w:rPr>
            </w:pPr>
            <w:r>
              <w:rPr>
                <w:rFonts w:ascii="Arial" w:cs="Arial" w:eastAsia="Arial" w:hAnsi="Arial"/>
                <w:sz w:val="18"/>
                <w:szCs w:val="18"/>
                <w:color w:val="auto"/>
              </w:rPr>
              <w:t>up to</w:t>
            </w:r>
          </w:p>
        </w:tc>
        <w:tc>
          <w:tcPr>
            <w:tcW w:w="4400" w:type="dxa"/>
            <w:vAlign w:val="bottom"/>
            <w:gridSpan w:val="3"/>
          </w:tcPr>
          <w:p>
            <w:pPr>
              <w:ind w:left="480"/>
              <w:spacing w:after="0"/>
              <w:rPr>
                <w:sz w:val="20"/>
                <w:szCs w:val="20"/>
                <w:color w:val="auto"/>
              </w:rPr>
            </w:pPr>
            <w:r>
              <w:rPr>
                <w:rFonts w:ascii="Arial" w:cs="Arial" w:eastAsia="Arial" w:hAnsi="Arial"/>
                <w:sz w:val="18"/>
                <w:szCs w:val="18"/>
                <w:color w:val="auto"/>
                <w:w w:val="95"/>
              </w:rPr>
              <w:t>additional shares of our common stock at the public</w:t>
            </w:r>
          </w:p>
        </w:tc>
      </w:tr>
      <w:tr>
        <w:trPr>
          <w:trHeight w:val="230"/>
        </w:trPr>
        <w:tc>
          <w:tcPr>
            <w:tcW w:w="4020" w:type="dxa"/>
            <w:vAlign w:val="bottom"/>
          </w:tcPr>
          <w:p>
            <w:pPr>
              <w:spacing w:after="0"/>
              <w:rPr>
                <w:sz w:val="20"/>
                <w:szCs w:val="20"/>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offering price, less underwriting discounts and commissions.</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74,653,812 shares (as of December 30, 2017).</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4020" w:type="dxa"/>
            <w:vAlign w:val="bottom"/>
          </w:tcPr>
          <w:p>
            <w:pPr>
              <w:spacing w:after="0"/>
              <w:rPr>
                <w:sz w:val="20"/>
                <w:szCs w:val="20"/>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5360" w:type="dxa"/>
            <w:vAlign w:val="bottom"/>
            <w:gridSpan w:val="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See “Risk Factors” beginning on page </w:t>
            </w:r>
            <w:hyperlink w:anchor="page27">
              <w:r>
                <w:rPr>
                  <w:rFonts w:ascii="Arial" w:cs="Arial" w:eastAsia="Arial" w:hAnsi="Arial"/>
                  <w:sz w:val="18"/>
                  <w:szCs w:val="18"/>
                  <w:color w:val="0000EE"/>
                </w:rPr>
                <w:t>16</w:t>
              </w:r>
              <w:r>
                <w:rPr>
                  <w:rFonts w:ascii="Arial" w:cs="Arial" w:eastAsia="Arial" w:hAnsi="Arial"/>
                  <w:sz w:val="18"/>
                  <w:szCs w:val="18"/>
                  <w:color w:val="auto"/>
                </w:rPr>
                <w:t xml:space="preserve"> </w:t>
              </w:r>
            </w:hyperlink>
            <w:r>
              <w:rPr>
                <w:rFonts w:ascii="Arial" w:cs="Arial" w:eastAsia="Arial" w:hAnsi="Arial"/>
                <w:sz w:val="18"/>
                <w:szCs w:val="18"/>
                <w:color w:val="auto"/>
              </w:rPr>
              <w:t>and other information</w:t>
            </w:r>
          </w:p>
        </w:tc>
      </w:tr>
      <w:tr>
        <w:trPr>
          <w:trHeight w:val="20"/>
        </w:trPr>
        <w:tc>
          <w:tcPr>
            <w:tcW w:w="40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2"/>
        </w:trPr>
        <w:tc>
          <w:tcPr>
            <w:tcW w:w="4020" w:type="dxa"/>
            <w:vAlign w:val="bottom"/>
          </w:tcPr>
          <w:p>
            <w:pPr>
              <w:spacing w:after="0"/>
              <w:rPr>
                <w:sz w:val="19"/>
                <w:szCs w:val="19"/>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9"/>
              </w:rPr>
              <w:t>included, and incorporated by reference, in this prospectus for a</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4020" w:type="dxa"/>
            <w:vAlign w:val="bottom"/>
          </w:tcPr>
          <w:p>
            <w:pPr>
              <w:spacing w:after="0"/>
              <w:rPr>
                <w:sz w:val="20"/>
                <w:szCs w:val="20"/>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rPr>
              <w:t>invest in our common stock.</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Dividend policy</w:t>
            </w: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3"/>
              </w:rPr>
              <w:t>We do not currently anticipate paying any dividends on our common</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4020" w:type="dxa"/>
            <w:vAlign w:val="bottom"/>
          </w:tcPr>
          <w:p>
            <w:pPr>
              <w:spacing w:after="0"/>
              <w:rPr>
                <w:sz w:val="18"/>
                <w:szCs w:val="18"/>
                <w:color w:val="auto"/>
              </w:rPr>
            </w:pPr>
          </w:p>
        </w:tc>
        <w:tc>
          <w:tcPr>
            <w:tcW w:w="5360" w:type="dxa"/>
            <w:vAlign w:val="bottom"/>
            <w:gridSpan w:val="4"/>
          </w:tcPr>
          <w:p>
            <w:pPr>
              <w:ind w:left="300"/>
              <w:spacing w:after="0"/>
              <w:rPr>
                <w:sz w:val="20"/>
                <w:szCs w:val="20"/>
                <w:color w:val="auto"/>
              </w:rPr>
            </w:pPr>
            <w:r>
              <w:rPr>
                <w:rFonts w:ascii="Arial" w:cs="Arial" w:eastAsia="Arial" w:hAnsi="Arial"/>
                <w:sz w:val="18"/>
                <w:szCs w:val="18"/>
                <w:color w:val="auto"/>
                <w:w w:val="92"/>
              </w:rPr>
              <w:t>Board of Directors and will depend on various factors. See “Dividend</w:t>
            </w:r>
          </w:p>
        </w:tc>
      </w:tr>
      <w:tr>
        <w:trPr>
          <w:trHeight w:val="230"/>
        </w:trPr>
        <w:tc>
          <w:tcPr>
            <w:tcW w:w="402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Policy.”</w:t>
            </w: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NASDAQ ticker symbol</w:t>
            </w:r>
          </w:p>
        </w:tc>
        <w:tc>
          <w:tcPr>
            <w:tcW w:w="960" w:type="dxa"/>
            <w:vAlign w:val="bottom"/>
          </w:tcPr>
          <w:p>
            <w:pPr>
              <w:ind w:left="300"/>
              <w:spacing w:after="0"/>
              <w:rPr>
                <w:sz w:val="20"/>
                <w:szCs w:val="20"/>
                <w:color w:val="auto"/>
              </w:rPr>
            </w:pPr>
            <w:r>
              <w:rPr>
                <w:rFonts w:ascii="Arial" w:cs="Arial" w:eastAsia="Arial" w:hAnsi="Arial"/>
                <w:sz w:val="18"/>
                <w:szCs w:val="18"/>
                <w:color w:val="auto"/>
              </w:rPr>
              <w:t>“EYE”</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10"/>
        </w:trPr>
        <w:tc>
          <w:tcPr>
            <w:tcW w:w="9380" w:type="dxa"/>
            <w:vAlign w:val="bottom"/>
            <w:gridSpan w:val="5"/>
          </w:tcPr>
          <w:p>
            <w:pPr>
              <w:ind w:left="360"/>
              <w:spacing w:after="0"/>
              <w:rPr>
                <w:sz w:val="20"/>
                <w:szCs w:val="20"/>
                <w:color w:val="auto"/>
              </w:rPr>
            </w:pPr>
            <w:r>
              <w:rPr>
                <w:rFonts w:ascii="Arial" w:cs="Arial" w:eastAsia="Arial" w:hAnsi="Arial"/>
                <w:sz w:val="18"/>
                <w:szCs w:val="18"/>
                <w:color w:val="auto"/>
                <w:w w:val="93"/>
              </w:rPr>
              <w:t>Unless we indicate otherwise or the context otherwise requires, all information in this prospectus reflects and assumes no</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exercise of the underwriters’ option to purchase</w:t>
            </w:r>
          </w:p>
        </w:tc>
        <w:tc>
          <w:tcPr>
            <w:tcW w:w="5360" w:type="dxa"/>
            <w:vAlign w:val="bottom"/>
            <w:gridSpan w:val="4"/>
          </w:tcPr>
          <w:p>
            <w:pPr>
              <w:ind w:left="200"/>
              <w:spacing w:after="0"/>
              <w:rPr>
                <w:sz w:val="20"/>
                <w:szCs w:val="20"/>
                <w:color w:val="auto"/>
              </w:rPr>
            </w:pPr>
            <w:r>
              <w:rPr>
                <w:rFonts w:ascii="Arial" w:cs="Arial" w:eastAsia="Arial" w:hAnsi="Arial"/>
                <w:sz w:val="18"/>
                <w:szCs w:val="18"/>
                <w:color w:val="auto"/>
              </w:rPr>
              <w:t>additional shares of our common stock.</w:t>
            </w:r>
          </w:p>
        </w:tc>
      </w:tr>
    </w:tbl>
    <w:p>
      <w:pPr>
        <w:spacing w:after="0" w:line="94" w:lineRule="exact"/>
        <w:rPr>
          <w:sz w:val="20"/>
          <w:szCs w:val="20"/>
          <w:color w:val="auto"/>
        </w:rPr>
      </w:pPr>
    </w:p>
    <w:p>
      <w:pPr>
        <w:ind w:left="100" w:right="32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74,653,812 of shares of our common stock outstanding as of December 30, 2017, including 6,357 shares of restricted stock outstanding, and does not reflect:</w:t>
      </w:r>
    </w:p>
    <w:p>
      <w:pPr>
        <w:spacing w:after="0" w:line="73" w:lineRule="exact"/>
        <w:rPr>
          <w:sz w:val="20"/>
          <w:szCs w:val="20"/>
          <w:color w:val="auto"/>
        </w:rPr>
      </w:pPr>
    </w:p>
    <w:p>
      <w:pPr>
        <w:ind w:left="800" w:right="140" w:hanging="342"/>
        <w:spacing w:after="0" w:line="291"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10,608,559 shares of common stock issuable upon the exercise of options outstanding as of December 30, 2017, (1) of which 1,800,072 were then vested and exercisable and (2) of which 4,084,407 were time-based options and 6,524,152 were performance-based options. The performance-based options have not previously vested, will not vest upon the consummation of this offering and are eligible to vest only upon affiliates of KKR Sponsor achieving certain internal rate of return threshold and multiples of invested capital. See “Executive Compensation—Narrative to Summary Compensation Table and 2017 Grants of Plan-Based Awards—Equity Awards” in our Annual Report, which is incorporated herein by reference, for additional details around vesting terms;</w:t>
      </w:r>
    </w:p>
    <w:p>
      <w:pPr>
        <w:spacing w:after="0" w:line="59" w:lineRule="exact"/>
        <w:rPr>
          <w:rFonts w:ascii="Arial" w:cs="Arial" w:eastAsia="Arial" w:hAnsi="Arial"/>
          <w:sz w:val="16"/>
          <w:szCs w:val="16"/>
          <w:color w:val="auto"/>
        </w:rPr>
      </w:pPr>
    </w:p>
    <w:p>
      <w:pPr>
        <w:ind w:left="800" w:hanging="34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182,138 restricted stock units outstanding as of December 30, 2017; and</w:t>
      </w:r>
    </w:p>
    <w:p>
      <w:pPr>
        <w:spacing w:after="0" w:line="117" w:lineRule="exact"/>
        <w:rPr>
          <w:rFonts w:ascii="Arial" w:cs="Arial" w:eastAsia="Arial" w:hAnsi="Arial"/>
          <w:sz w:val="18"/>
          <w:szCs w:val="18"/>
          <w:color w:val="auto"/>
        </w:rPr>
      </w:pPr>
    </w:p>
    <w:p>
      <w:pPr>
        <w:ind w:left="800" w:right="180" w:hanging="342"/>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3,794,871 shares of common stock available for issuance under our 2014 Stock Incentive Plan and our 2017 Omnibus Incentive Plan.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9965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2825" cy="7996555"/>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100" w:firstLine="360"/>
        <w:spacing w:after="0" w:line="271" w:lineRule="auto"/>
        <w:rPr>
          <w:sz w:val="20"/>
          <w:szCs w:val="20"/>
          <w:color w:val="auto"/>
        </w:rPr>
      </w:pPr>
      <w:r>
        <w:rPr>
          <w:rFonts w:ascii="Arial" w:cs="Arial" w:eastAsia="Arial" w:hAnsi="Arial"/>
          <w:sz w:val="17"/>
          <w:szCs w:val="17"/>
          <w:color w:val="auto"/>
        </w:rPr>
        <w:t>Set forth below is our summary historical consolidated financial and other data as of the dates and for the periods indicated. The summary historical financial data as of December 31, 2016 and December 30, and for the years ended January 2, 2016, December 31, 2016 and December 30,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1" w:lineRule="exact"/>
        <w:rPr>
          <w:sz w:val="20"/>
          <w:szCs w:val="20"/>
          <w:color w:val="auto"/>
        </w:rPr>
      </w:pPr>
    </w:p>
    <w:p>
      <w:pPr>
        <w:ind w:left="100" w:right="20" w:firstLine="360"/>
        <w:spacing w:after="0" w:line="259" w:lineRule="auto"/>
        <w:rPr>
          <w:sz w:val="20"/>
          <w:szCs w:val="20"/>
          <w:color w:val="auto"/>
        </w:rPr>
      </w:pPr>
      <w:r>
        <w:rPr>
          <w:rFonts w:ascii="Arial" w:cs="Arial" w:eastAsia="Arial" w:hAnsi="Arial"/>
          <w:sz w:val="18"/>
          <w:szCs w:val="18"/>
          <w:color w:val="auto"/>
        </w:rPr>
        <w:t>The summary historical consolidated financial and other data should be read in conjunction with, and are qualified by reference to, “Capitalization” in this prospectus, as well as the section entitled “Selected Financial Data,” “Management’s Discussion and Analysis of Financial Condition and Results of Operations” and our audited consolidated financial statements and related notes thereto incorporated by reference in this prospectus.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January 2, 2016</w:t>
            </w: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(Unaudited)</w:t>
            </w: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1,062,528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1,196,195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1,375,308</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544,781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80" w:type="dxa"/>
            <w:vAlign w:val="bottom"/>
            <w:shd w:val="clear" w:color="auto" w:fill="CCEEFF"/>
          </w:tcPr>
          <w:p>
            <w:pPr>
              <w:spacing w:after="0"/>
              <w:rPr>
                <w:sz w:val="22"/>
                <w:szCs w:val="22"/>
                <w:color w:val="auto"/>
              </w:rPr>
            </w:pPr>
          </w:p>
        </w:tc>
      </w:tr>
      <w:tr>
        <w:trPr>
          <w:trHeight w:val="237"/>
        </w:trPr>
        <w:tc>
          <w:tcPr>
            <w:tcW w:w="52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526,751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585,030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671,106</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66,384</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27,292</w:t>
            </w: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80" w:type="dxa"/>
            <w:vAlign w:val="bottom"/>
            <w:tcBorders>
              <w:top w:val="single" w:sz="8" w:color="CCEEFF"/>
            </w:tcBorders>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(38,647)</w:t>
            </w: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8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62,035</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83,131</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97,588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90,252</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(94,827)</w:t>
            </w: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4,945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1,475,595</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1,531,117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1,583,791</w:t>
            </w:r>
          </w:p>
        </w:tc>
        <w:tc>
          <w:tcPr>
            <w:tcW w:w="8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747,825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745,625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569,238</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386,230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401,887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659,588</w:t>
            </w:r>
          </w:p>
        </w:tc>
        <w:tc>
          <w:tcPr>
            <w:tcW w:w="80" w:type="dxa"/>
            <w:vAlign w:val="bottom"/>
            <w:shd w:val="clear" w:color="auto" w:fill="CCEEFF"/>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112,585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137,774</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159,721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8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8" w:lineRule="exact"/>
        <w:rPr>
          <w:sz w:val="20"/>
          <w:szCs w:val="20"/>
          <w:color w:val="auto"/>
        </w:rPr>
      </w:pPr>
    </w:p>
    <w:p>
      <w:pPr>
        <w:ind w:left="460" w:right="280" w:hanging="353"/>
        <w:spacing w:after="0" w:line="27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and other expenses. We describe these adjustments reconciling</w:t>
      </w:r>
    </w:p>
    <w:p>
      <w:pPr>
        <w:sectPr>
          <w:pgSz w:w="11900" w:h="16838" w:orient="portrait"/>
          <w:cols w:equalWidth="0" w:num="1">
            <w:col w:w="9460"/>
          </w:cols>
          <w:pgMar w:left="1180" w:top="279" w:right="12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298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2825" cy="6298565"/>
                    </a:xfrm>
                    <a:prstGeom prst="rect">
                      <a:avLst/>
                    </a:prstGeom>
                    <a:noFill/>
                  </pic:spPr>
                </pic:pic>
              </a:graphicData>
            </a:graphic>
          </wp:anchor>
        </w:drawing>
      </w:r>
    </w:p>
    <w:p>
      <w:pPr>
        <w:spacing w:after="0" w:line="93"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tax legislation adjustments and other expenses, less the tax effect of these adjustments. We describe these adjustments reconciling net income to Adjusted Net Income in the tables below.</w:t>
      </w:r>
    </w:p>
    <w:p>
      <w:pPr>
        <w:spacing w:after="0" w:line="84" w:lineRule="exact"/>
        <w:rPr>
          <w:sz w:val="20"/>
          <w:szCs w:val="20"/>
          <w:color w:val="auto"/>
        </w:rPr>
      </w:pPr>
    </w:p>
    <w:p>
      <w:pPr>
        <w:ind w:left="460" w:right="20" w:firstLine="360"/>
        <w:spacing w:after="0" w:line="289" w:lineRule="auto"/>
        <w:rPr>
          <w:sz w:val="20"/>
          <w:szCs w:val="20"/>
          <w:color w:val="auto"/>
        </w:rPr>
      </w:pPr>
      <w:r>
        <w:rPr>
          <w:rFonts w:ascii="Arial" w:cs="Arial" w:eastAsia="Arial" w:hAnsi="Arial"/>
          <w:sz w:val="14"/>
          <w:szCs w:val="14"/>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ind w:left="460" w:firstLine="360"/>
        <w:spacing w:after="0" w:line="249"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88" w:lineRule="exact"/>
        <w:rPr>
          <w:sz w:val="20"/>
          <w:szCs w:val="20"/>
          <w:color w:val="auto"/>
        </w:rPr>
      </w:pPr>
    </w:p>
    <w:p>
      <w:pPr>
        <w:ind w:left="460" w:right="160" w:firstLine="360"/>
        <w:spacing w:after="0" w:line="275" w:lineRule="auto"/>
        <w:rPr>
          <w:sz w:val="20"/>
          <w:szCs w:val="20"/>
          <w:color w:val="auto"/>
        </w:rPr>
      </w:pPr>
      <w:r>
        <w:rPr>
          <w:rFonts w:ascii="Arial" w:cs="Arial" w:eastAsia="Arial" w:hAnsi="Arial"/>
          <w:sz w:val="16"/>
          <w:szCs w:val="16"/>
          <w:color w:val="auto"/>
        </w:rPr>
        <w:t>The presentations of these measures have limitations as analytical tools and should not be considered in isolation, or as a substitute for analysis of our results as reported under GAAP. Some of these limitations are:</w:t>
      </w:r>
    </w:p>
    <w:p>
      <w:pPr>
        <w:spacing w:after="0" w:line="65" w:lineRule="exact"/>
        <w:rPr>
          <w:sz w:val="20"/>
          <w:szCs w:val="20"/>
          <w:color w:val="auto"/>
        </w:rPr>
      </w:pPr>
    </w:p>
    <w:p>
      <w:pPr>
        <w:ind w:left="1180" w:hanging="358"/>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do not reflect costs or cash outlays for capital expenditures or contractual commitments;</w:t>
      </w:r>
    </w:p>
    <w:p>
      <w:pPr>
        <w:spacing w:after="0" w:line="126" w:lineRule="exact"/>
        <w:rPr>
          <w:rFonts w:ascii="Arial" w:cs="Arial" w:eastAsia="Arial" w:hAnsi="Arial"/>
          <w:sz w:val="16"/>
          <w:szCs w:val="16"/>
          <w:color w:val="auto"/>
        </w:rPr>
      </w:pPr>
    </w:p>
    <w:p>
      <w:pPr>
        <w:ind w:left="1180" w:hanging="358"/>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do not reflect changes in, or cash requirements for, our working capital needs;</w:t>
      </w:r>
    </w:p>
    <w:p>
      <w:pPr>
        <w:spacing w:after="0" w:line="126" w:lineRule="exact"/>
        <w:rPr>
          <w:rFonts w:ascii="Arial" w:cs="Arial" w:eastAsia="Arial" w:hAnsi="Arial"/>
          <w:sz w:val="16"/>
          <w:szCs w:val="16"/>
          <w:color w:val="auto"/>
        </w:rPr>
      </w:pPr>
    </w:p>
    <w:p>
      <w:pPr>
        <w:ind w:left="1180" w:right="260" w:hanging="358"/>
        <w:spacing w:after="0" w:line="293"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EBITDA and Adjusted EBITDA do not reflect the interest expense, or the cash requirements necessary to service interest or principal payments, on our debt;</w:t>
      </w:r>
    </w:p>
    <w:p>
      <w:pPr>
        <w:spacing w:after="0" w:line="63" w:lineRule="exact"/>
        <w:rPr>
          <w:rFonts w:ascii="Arial" w:cs="Arial" w:eastAsia="Arial" w:hAnsi="Arial"/>
          <w:sz w:val="16"/>
          <w:szCs w:val="16"/>
          <w:color w:val="auto"/>
        </w:rPr>
      </w:pPr>
    </w:p>
    <w:p>
      <w:pPr>
        <w:ind w:left="1180" w:right="160" w:hanging="358"/>
        <w:spacing w:after="0" w:line="293"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63" w:lineRule="exact"/>
        <w:rPr>
          <w:rFonts w:ascii="Arial" w:cs="Arial" w:eastAsia="Arial" w:hAnsi="Arial"/>
          <w:sz w:val="16"/>
          <w:szCs w:val="16"/>
          <w:color w:val="auto"/>
        </w:rPr>
      </w:pPr>
    </w:p>
    <w:p>
      <w:pPr>
        <w:ind w:left="1180" w:right="340" w:hanging="358"/>
        <w:spacing w:after="0" w:line="278"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6" w:lineRule="exact"/>
        <w:rPr>
          <w:rFonts w:ascii="Arial" w:cs="Arial" w:eastAsia="Arial" w:hAnsi="Arial"/>
          <w:sz w:val="16"/>
          <w:szCs w:val="16"/>
          <w:color w:val="auto"/>
        </w:rPr>
      </w:pPr>
    </w:p>
    <w:p>
      <w:pPr>
        <w:ind w:left="1180" w:right="140" w:hanging="358"/>
        <w:spacing w:after="0" w:line="369"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18" w:lineRule="exact"/>
        <w:rPr>
          <w:rFonts w:ascii="Arial" w:cs="Arial" w:eastAsia="Arial" w:hAnsi="Arial"/>
          <w:sz w:val="14"/>
          <w:szCs w:val="14"/>
          <w:color w:val="auto"/>
        </w:rPr>
      </w:pPr>
    </w:p>
    <w:p>
      <w:pPr>
        <w:ind w:left="1180" w:right="160" w:hanging="358"/>
        <w:spacing w:after="0" w:line="293"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64" w:lineRule="exact"/>
        <w:rPr>
          <w:sz w:val="20"/>
          <w:szCs w:val="20"/>
          <w:color w:val="auto"/>
        </w:rPr>
      </w:pPr>
    </w:p>
    <w:p>
      <w:pPr>
        <w:ind w:left="460" w:right="500" w:firstLine="360"/>
        <w:spacing w:after="0" w:line="275" w:lineRule="auto"/>
        <w:rPr>
          <w:sz w:val="20"/>
          <w:szCs w:val="20"/>
          <w:color w:val="auto"/>
        </w:rPr>
      </w:pPr>
      <w:r>
        <w:rPr>
          <w:rFonts w:ascii="Arial" w:cs="Arial" w:eastAsia="Arial" w:hAnsi="Arial"/>
          <w:sz w:val="16"/>
          <w:szCs w:val="16"/>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8185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2825" cy="818515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following tables reconcile our net income to EBITDA, Adjusted EBITDA and Adjusted Net Income for the periods presented:</w:t>
      </w:r>
    </w:p>
    <w:p>
      <w:pPr>
        <w:spacing w:after="0" w:line="85"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20"/>
        </w:trPr>
        <w:tc>
          <w:tcPr>
            <w:tcW w:w="522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55,536</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(38,647)</w:t>
            </w:r>
          </w:p>
        </w:tc>
      </w:tr>
      <w:tr>
        <w:trPr>
          <w:trHeight w:val="223"/>
        </w:trPr>
        <w:tc>
          <w:tcPr>
            <w:tcW w:w="5220" w:type="dxa"/>
            <w:vAlign w:val="bottom"/>
            <w:gridSpan w:val="3"/>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86,195</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123,824</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23"/>
        </w:trPr>
        <w:tc>
          <w:tcPr>
            <w:tcW w:w="5220" w:type="dxa"/>
            <w:vAlign w:val="bottom"/>
            <w:gridSpan w:val="3"/>
          </w:tcPr>
          <w:p>
            <w:pPr>
              <w:spacing w:after="0" w:line="216"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(i)</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112,585</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159,721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(i)</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Amortization of acquisition intangibles and deferred financing costs</w:t>
            </w:r>
            <w:r>
              <w:rPr>
                <w:rFonts w:ascii="Arial" w:cs="Arial" w:eastAsia="Arial" w:hAnsi="Arial"/>
                <w:sz w:val="26"/>
                <w:szCs w:val="26"/>
                <w:color w:val="auto"/>
                <w:vertAlign w:val="superscript"/>
              </w:rPr>
              <w:t>(j)</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Tax legislation adjustments</w:t>
            </w:r>
            <w:r>
              <w:rPr>
                <w:rFonts w:ascii="Arial" w:cs="Arial" w:eastAsia="Arial" w:hAnsi="Arial"/>
                <w:sz w:val="26"/>
                <w:szCs w:val="26"/>
                <w:color w:val="auto"/>
                <w:vertAlign w:val="superscript"/>
              </w:rPr>
              <w:t>(k)</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(42,965)</w:t>
            </w: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Tax effect of total adjustments</w:t>
            </w:r>
            <w:r>
              <w:rPr>
                <w:rFonts w:ascii="Arial" w:cs="Arial" w:eastAsia="Arial" w:hAnsi="Arial"/>
                <w:sz w:val="25"/>
                <w:szCs w:val="25"/>
                <w:color w:val="auto"/>
                <w:vertAlign w:val="superscript"/>
              </w:rPr>
              <w:t>(l)</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(15,044)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(20,152)</w:t>
            </w:r>
          </w:p>
        </w:tc>
      </w:tr>
      <w:tr>
        <w:trPr>
          <w:trHeight w:val="27"/>
        </w:trPr>
        <w:tc>
          <w:tcPr>
            <w:tcW w:w="2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26,184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33,183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33,081</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800" w:hanging="342"/>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800" w:hanging="342"/>
        <w:spacing w:after="0" w:line="252"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80" w:lineRule="exact"/>
        <w:rPr>
          <w:rFonts w:ascii="Arial" w:cs="Arial" w:eastAsia="Arial" w:hAnsi="Arial"/>
          <w:sz w:val="14"/>
          <w:szCs w:val="14"/>
          <w:color w:val="auto"/>
        </w:rPr>
      </w:pPr>
    </w:p>
    <w:p>
      <w:pPr>
        <w:jc w:val="both"/>
        <w:ind w:left="800" w:right="40" w:hanging="342"/>
        <w:spacing w:after="0" w:line="257"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800" w:right="120" w:hanging="342"/>
        <w:spacing w:after="0" w:line="257"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800" w:right="40" w:hanging="342"/>
        <w:spacing w:after="0" w:line="249"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ectPr>
          <w:pgSz w:w="11900" w:h="16838" w:orient="portrait"/>
          <w:cols w:equalWidth="0" w:num="1">
            <w:col w:w="9440"/>
          </w:cols>
          <w:pgMar w:left="1180" w:top="279" w:right="1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3288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2825" cy="3288665"/>
                    </a:xfrm>
                    <a:prstGeom prst="rect">
                      <a:avLst/>
                    </a:prstGeom>
                    <a:noFill/>
                  </pic:spPr>
                </pic:pic>
              </a:graphicData>
            </a:graphic>
          </wp:anchor>
        </w:drawing>
      </w:r>
    </w:p>
    <w:p>
      <w:pPr>
        <w:spacing w:after="0" w:line="97" w:lineRule="exact"/>
        <w:rPr>
          <w:sz w:val="20"/>
          <w:szCs w:val="20"/>
          <w:color w:val="auto"/>
        </w:rPr>
      </w:pPr>
    </w:p>
    <w:p>
      <w:pPr>
        <w:ind w:left="800" w:right="40" w:hanging="342"/>
        <w:spacing w:after="0" w:line="252"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800" w:right="220" w:hanging="342"/>
        <w:spacing w:after="0" w:line="273"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incorporated by reference in this prospectus, for further details.</w:t>
      </w:r>
    </w:p>
    <w:p>
      <w:pPr>
        <w:spacing w:after="0" w:line="65" w:lineRule="exact"/>
        <w:rPr>
          <w:rFonts w:ascii="Arial" w:cs="Arial" w:eastAsia="Arial" w:hAnsi="Arial"/>
          <w:sz w:val="14"/>
          <w:szCs w:val="14"/>
          <w:color w:val="auto"/>
        </w:rPr>
      </w:pPr>
    </w:p>
    <w:p>
      <w:pPr>
        <w:ind w:left="800" w:right="20" w:hanging="342"/>
        <w:spacing w:after="0" w:line="266" w:lineRule="auto"/>
        <w:tabs>
          <w:tab w:leader="none" w:pos="8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and $1.0 million for fiscal years 2015, 2016 and 2017, respectively; the amortization impact of the KKR Acquisition-related adjustments (e.g., fair value of leasehold interests) of $(1.3) million, $(0.7) million and $(0.3) million for fiscal years 2015, 2016 and 2017, respectively; expenses related to preparation for being an SEC registrant that were not directly attributable to the IPO and therefore not charged to equity of $0.5 million, $2.0 million and $1.8 million for fiscal years 2015, 2016 and 2017, respectively; differences between the timing of expense versus cash payments related to contributions to charitable organizations during fiscal year 2015 of $3.0 million, $(1.0) million and $(1.0) million for fiscal years 2015, 2016 and 2017, respectively; costs of severance and relocation of $0.5 million, $1.1 million and $1.4 million for fiscal years 2015, 2016 and 2017, respectively; non-cash write-down of property and equipment of $0.2 million, $0.2 million and $0.4 million for fiscal years 2015, 2016 and 2017, respectively; and other expenses and adjustments totaling $0.8 million, $0.6 million and $0.6 million for fiscal years 2015, 2016 and 2017, respectively.</w:t>
      </w:r>
    </w:p>
    <w:p>
      <w:pPr>
        <w:spacing w:after="0" w:line="71" w:lineRule="exact"/>
        <w:rPr>
          <w:rFonts w:ascii="Arial" w:cs="Arial" w:eastAsia="Arial" w:hAnsi="Arial"/>
          <w:sz w:val="13"/>
          <w:szCs w:val="13"/>
          <w:color w:val="auto"/>
        </w:rPr>
      </w:pPr>
    </w:p>
    <w:p>
      <w:pPr>
        <w:ind w:left="800" w:hanging="342"/>
        <w:spacing w:after="0" w:line="270" w:lineRule="auto"/>
        <w:tabs>
          <w:tab w:leader="none" w:pos="8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of $3.8 million, $3.9 million and $7.1 million for fiscal years 2015, 2016 and 2017, respectively. The $7.1 million amortization in 2017 includes $3.3 million of the write-off of debt discounts associated with the repayment of all outstanding $125 million of second lien term loans in November 2017.</w:t>
      </w:r>
    </w:p>
    <w:p>
      <w:pPr>
        <w:spacing w:after="0" w:line="71" w:lineRule="exact"/>
        <w:rPr>
          <w:rFonts w:ascii="Arial" w:cs="Arial" w:eastAsia="Arial" w:hAnsi="Arial"/>
          <w:sz w:val="13"/>
          <w:szCs w:val="13"/>
          <w:color w:val="auto"/>
        </w:rPr>
      </w:pPr>
    </w:p>
    <w:p>
      <w:pPr>
        <w:ind w:left="800" w:right="20" w:hanging="342"/>
        <w:spacing w:after="0" w:line="257" w:lineRule="auto"/>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estimated effective tax rate.</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the “Summary Historical Consolidated Financial and Other Data” contained elsewhere in this prospectus and “Risk Factors,” “Management’s Discussion and Analysis of Financial Condition and Results of Operations,” and our audited consolidated financial statements and related notes thereto in our Annual Report,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8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Upon the consummation of this offering, we will have a total of shares of our common stock outstanding. Of the outstanding shares, the shares sold in the IPO and this offering (or shares if the underwriters exercise in full their option to purchase additional shares in this offering) will be freely tradable without restriction or further registration under the Securities Act of 1933, as amended, or the Securities Act.</w:t>
      </w:r>
    </w:p>
    <w:p>
      <w:pPr>
        <w:spacing w:after="0" w:line="79" w:lineRule="exact"/>
        <w:rPr>
          <w:sz w:val="20"/>
          <w:szCs w:val="20"/>
          <w:color w:val="auto"/>
        </w:rPr>
      </w:pPr>
    </w:p>
    <w:p>
      <w:pPr>
        <w:ind w:right="200" w:firstLine="360"/>
        <w:spacing w:after="0" w:line="271" w:lineRule="auto"/>
        <w:rPr>
          <w:sz w:val="20"/>
          <w:szCs w:val="20"/>
          <w:color w:val="auto"/>
        </w:rPr>
      </w:pPr>
      <w:r>
        <w:rPr>
          <w:rFonts w:ascii="Arial" w:cs="Arial" w:eastAsia="Arial" w:hAnsi="Arial"/>
          <w:sz w:val="17"/>
          <w:szCs w:val="17"/>
          <w:color w:val="auto"/>
        </w:rPr>
        <w:t>The shares of common stock (or shares if the underwriters exercise in full their option to purchase additional shares) held by affiliates of KKR Sponsor, affiliates of Berkshire and our directors and executive officers after this offering, representing % (or % if the underwriters exercise in full their option to purchase additional shares) of the total outstanding</w:t>
      </w:r>
    </w:p>
    <w:p>
      <w:pPr>
        <w:jc w:val="both"/>
        <w:ind w:right="200"/>
        <w:spacing w:after="0" w:line="302" w:lineRule="auto"/>
        <w:rPr>
          <w:sz w:val="20"/>
          <w:szCs w:val="20"/>
          <w:color w:val="auto"/>
        </w:rPr>
      </w:pPr>
      <w:r>
        <w:rPr>
          <w:rFonts w:ascii="Arial" w:cs="Arial" w:eastAsia="Arial" w:hAnsi="Arial"/>
          <w:sz w:val="16"/>
          <w:szCs w:val="16"/>
          <w:color w:val="auto"/>
        </w:rPr>
        <w:t>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4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days following the date of this prospectus, except with the prior written consent of the representatives. See “Underwriting” for a description of these lock-up agreements.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expect that KKR Sponsor and certain of its affiliates will be considered an affiliate upon the expiration of the lock-up</w:t>
      </w:r>
    </w:p>
    <w:p>
      <w:pPr>
        <w:spacing w:after="0" w:line="3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period based on their expected share ownership (consisting of shares), as well as their board nomination rights. We also expect that Berkshire and certain of its affiliates will be considered an affiliate upon the expiration of the lock-up period based on</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their expected share ownership (consisting of shares), as well as their board nomination rights. Certain other of our stockholders may also be considered affiliates at that time.</w:t>
      </w:r>
    </w:p>
    <w:p>
      <w:pPr>
        <w:spacing w:after="0" w:line="76"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In addition, pursuant to a registration rights agreement, each of the Sponsors has the right, subject to certain conditions, to require us to register the sale of their shares of our common stock under the Securities Act.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December 30, 2017, there were stock options outstanding to purchase a total of 10,608,559 shares of our common stock and 182,138 shares of our common stock subject to restricted stock units. In addition, as of December 30, 2017, 3,794,871 shares of our common stock were reserved for future issuance under our incentive plans.</w:t>
      </w:r>
    </w:p>
    <w:p>
      <w:pPr>
        <w:spacing w:after="0" w:line="7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After completion of this offering, the Sponsors will continue to control a majority of the voting power of our outstanding common stock. As a result, we will continue to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80"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700" w:right="3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does not consist entirely of independent directors and our director nominations are not made, or recommended to the full Board of Directors, by our independent directors and we do not have a nominating/corporate governance committee. Accordingly, you will not have the same protections afforded to stockholders of companies that are subject to all of the corporate governance requirements of NASDAQ.</w:t>
      </w:r>
    </w:p>
    <w:p>
      <w:pPr>
        <w:spacing w:after="0" w:line="8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Rule 10C-1 under the Securities Exchange Act of 1934, as amended, or the Exchange Act, implements provisions of the Dodd-Frank Act pertaining to compensation committee independence and the role and disclosure of compensation consultants and other advisers to the compensation committee. The listing standards of the national securities exchanges (including NASDAQ) comply with provisions of Rule 10C-1 and require, among others, that:</w:t>
      </w:r>
    </w:p>
    <w:p>
      <w:pPr>
        <w:spacing w:after="0" w:line="79" w:lineRule="exact"/>
        <w:rPr>
          <w:sz w:val="20"/>
          <w:szCs w:val="20"/>
          <w:color w:val="auto"/>
        </w:rPr>
      </w:pPr>
    </w:p>
    <w:p>
      <w:pPr>
        <w:ind w:left="700" w:right="6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right="2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62" w:lineRule="exact"/>
        <w:rPr>
          <w:rFonts w:ascii="Arial" w:cs="Arial" w:eastAsia="Arial" w:hAnsi="Arial"/>
          <w:sz w:val="18"/>
          <w:szCs w:val="18"/>
          <w:color w:val="auto"/>
        </w:rPr>
      </w:pPr>
    </w:p>
    <w:p>
      <w:pPr>
        <w:ind w:left="700" w:right="10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 “controlled company,” we are not subject to these compensation committee independence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Immediately following this offering, the Sponsors will beneficially own % of our common stock, or % if the underwriters exercise in full their option to purchase additional shares. As a result, the Sponsors will be able to continue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5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7" w:lineRule="exact"/>
        <w:rPr>
          <w:rFonts w:ascii="Arial" w:cs="Arial" w:eastAsia="Arial" w:hAnsi="Arial"/>
          <w:sz w:val="18"/>
          <w:szCs w:val="18"/>
          <w:color w:val="auto"/>
        </w:rPr>
      </w:pPr>
    </w:p>
    <w:p>
      <w:pPr>
        <w:jc w:val="both"/>
        <w:ind w:left="700" w:right="20" w:hanging="356"/>
        <w:spacing w:after="0" w:line="233"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71" w:lineRule="exact"/>
        <w:rPr>
          <w:sz w:val="20"/>
          <w:szCs w:val="20"/>
          <w:color w:val="auto"/>
        </w:rPr>
      </w:pPr>
    </w:p>
    <w:p>
      <w:pPr>
        <w:ind w:left="700" w:right="80" w:hanging="356"/>
        <w:spacing w:after="0" w:line="222"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which is incorporated herein by reference. You should evaluate all forward-looking statements made, or incorporated by reference, in this prospectus in the context of these risks and uncertainties.</w:t>
      </w:r>
    </w:p>
    <w:p>
      <w:pPr>
        <w:spacing w:after="0" w:line="80"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 Liquidity and Capital Resources —Debt” in our Annual Report, which is incorporated herein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December 30, 2017, there were 46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Stock Price</w:t>
            </w:r>
          </w:p>
        </w:tc>
        <w:tc>
          <w:tcPr>
            <w:tcW w:w="100" w:type="dxa"/>
            <w:vAlign w:val="bottom"/>
          </w:tcPr>
          <w:p>
            <w:pPr>
              <w:spacing w:after="0"/>
              <w:rPr>
                <w:sz w:val="16"/>
                <w:szCs w:val="16"/>
                <w:color w:val="auto"/>
              </w:rPr>
            </w:pPr>
          </w:p>
        </w:tc>
      </w:tr>
      <w:tr>
        <w:trPr>
          <w:trHeight w:val="183"/>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37"/>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16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Fourth Quarter ended December 30, 2017 (from October 26,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0"/>
                <w:szCs w:val="20"/>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29, 2018:</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First Quarter ending March 31, 2018 (through February 27,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closing sale price per share of our common stock, as reported on the NASDAQ, on February 27, 2018 was $34.95.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30, 2017:</w:t>
      </w:r>
    </w:p>
    <w:p>
      <w:pPr>
        <w:spacing w:after="0" w:line="117" w:lineRule="exact"/>
        <w:rPr>
          <w:sz w:val="20"/>
          <w:szCs w:val="20"/>
          <w:color w:val="auto"/>
        </w:rPr>
      </w:pPr>
    </w:p>
    <w:p>
      <w:pPr>
        <w:jc w:val="both"/>
        <w:ind w:left="7" w:right="180" w:firstLine="36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“Summary Historical Consolidated Financial and Other Data” included elsewhere in this prospectus, as well as “Management’s Discussion and Analysis of Financial Condition and Results of Operations” and our audited consolidated financial statements and related notes thereto in our Annual Report, which is incorporated by reference in the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14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r>
      <w:tr>
        <w:trPr>
          <w:trHeight w:val="185"/>
        </w:trPr>
        <w:tc>
          <w:tcPr>
            <w:tcW w:w="8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(unaudited)</w:t>
            </w:r>
          </w:p>
        </w:tc>
      </w:tr>
      <w:tr>
        <w:trPr>
          <w:trHeight w:val="243"/>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21"/>
                <w:szCs w:val="21"/>
                <w:color w:val="auto"/>
              </w:rPr>
            </w:pPr>
          </w:p>
        </w:tc>
      </w:tr>
      <w:tr>
        <w:trPr>
          <w:trHeight w:val="237"/>
        </w:trPr>
        <w:tc>
          <w:tcPr>
            <w:tcW w:w="8220" w:type="dxa"/>
            <w:vAlign w:val="bottom"/>
            <w:gridSpan w:val="2"/>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22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568,575</w:t>
            </w:r>
          </w:p>
        </w:tc>
        <w:tc>
          <w:tcPr>
            <w:tcW w:w="100" w:type="dxa"/>
            <w:vAlign w:val="bottom"/>
            <w:shd w:val="clear" w:color="auto" w:fill="CCEEFF"/>
          </w:tcPr>
          <w:p>
            <w:pPr>
              <w:spacing w:after="0"/>
              <w:rPr>
                <w:sz w:val="21"/>
                <w:szCs w:val="21"/>
                <w:color w:val="auto"/>
              </w:rPr>
            </w:pPr>
          </w:p>
        </w:tc>
      </w:tr>
      <w:tr>
        <w:trPr>
          <w:trHeight w:val="243"/>
        </w:trPr>
        <w:tc>
          <w:tcPr>
            <w:tcW w:w="822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spacing w:after="0"/>
              <w:rPr>
                <w:sz w:val="21"/>
                <w:szCs w:val="2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Unamortized debt transaction costs and prepayment premiums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(11,322)</w:t>
            </w:r>
          </w:p>
        </w:tc>
      </w:tr>
      <w:tr>
        <w:trPr>
          <w:trHeight w:val="237"/>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100" w:type="dxa"/>
            <w:vAlign w:val="bottom"/>
            <w:shd w:val="clear" w:color="auto" w:fill="CCEEFF"/>
          </w:tcPr>
          <w:p>
            <w:pPr>
              <w:spacing w:after="0"/>
              <w:rPr>
                <w:sz w:val="20"/>
                <w:szCs w:val="20"/>
                <w:color w:val="auto"/>
              </w:rPr>
            </w:pPr>
          </w:p>
        </w:tc>
      </w:tr>
      <w:tr>
        <w:trPr>
          <w:trHeight w:val="237"/>
        </w:trPr>
        <w:tc>
          <w:tcPr>
            <w:tcW w:w="8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Common stock, $0.01 par value (200,000 shares authorized and 74,654 shares issued and outstanding)</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1"/>
                <w:szCs w:val="21"/>
                <w:color w:val="auto"/>
              </w:rPr>
            </w:pPr>
          </w:p>
        </w:tc>
      </w:tr>
      <w:tr>
        <w:trPr>
          <w:trHeight w:val="237"/>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631,798</w:t>
            </w:r>
          </w:p>
        </w:tc>
        <w:tc>
          <w:tcPr>
            <w:tcW w:w="100" w:type="dxa"/>
            <w:vAlign w:val="bottom"/>
          </w:tcPr>
          <w:p>
            <w:pPr>
              <w:spacing w:after="0"/>
              <w:rPr>
                <w:sz w:val="20"/>
                <w:szCs w:val="20"/>
                <w:color w:val="auto"/>
              </w:rPr>
            </w:pPr>
          </w:p>
        </w:tc>
      </w:tr>
      <w:tr>
        <w:trPr>
          <w:trHeight w:val="249"/>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(9,868)</w:t>
            </w:r>
          </w:p>
        </w:tc>
      </w:tr>
      <w:tr>
        <w:trPr>
          <w:trHeight w:val="237"/>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37,145</w:t>
            </w:r>
          </w:p>
        </w:tc>
        <w:tc>
          <w:tcPr>
            <w:tcW w:w="100" w:type="dxa"/>
            <w:vAlign w:val="bottom"/>
          </w:tcPr>
          <w:p>
            <w:pPr>
              <w:spacing w:after="0"/>
              <w:rPr>
                <w:sz w:val="20"/>
                <w:szCs w:val="20"/>
                <w:color w:val="auto"/>
              </w:rPr>
            </w:pPr>
          </w:p>
        </w:tc>
      </w:tr>
      <w:tr>
        <w:trPr>
          <w:trHeight w:val="249"/>
        </w:trPr>
        <w:tc>
          <w:tcPr>
            <w:tcW w:w="8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(28 shares)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37"/>
        </w:trPr>
        <w:tc>
          <w:tcPr>
            <w:tcW w:w="822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659,588</w:t>
            </w:r>
          </w:p>
        </w:tc>
        <w:tc>
          <w:tcPr>
            <w:tcW w:w="100" w:type="dxa"/>
            <w:vAlign w:val="bottom"/>
            <w:tcBorders>
              <w:top w:val="single" w:sz="8" w:color="CCEEFF"/>
            </w:tcBorders>
          </w:tcPr>
          <w:p>
            <w:pPr>
              <w:spacing w:after="0"/>
              <w:rPr>
                <w:sz w:val="20"/>
                <w:szCs w:val="20"/>
                <w:color w:val="auto"/>
              </w:rPr>
            </w:pPr>
          </w:p>
        </w:tc>
      </w:tr>
      <w:tr>
        <w:trPr>
          <w:trHeight w:val="271"/>
        </w:trPr>
        <w:tc>
          <w:tcPr>
            <w:tcW w:w="8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capitalization</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1,228,826</w:t>
            </w:r>
          </w:p>
        </w:tc>
        <w:tc>
          <w:tcPr>
            <w:tcW w:w="10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67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 Liquidity and Capital Resources— Debt” in our Annual Report, which is incorporated herein by reference.</w:t>
      </w:r>
    </w:p>
    <w:p>
      <w:pPr>
        <w:spacing w:after="0" w:line="77" w:lineRule="exact"/>
        <w:rPr>
          <w:rFonts w:ascii="Arial" w:cs="Arial" w:eastAsia="Arial" w:hAnsi="Arial"/>
          <w:sz w:val="14"/>
          <w:szCs w:val="14"/>
          <w:color w:val="auto"/>
        </w:rPr>
      </w:pPr>
    </w:p>
    <w:p>
      <w:pPr>
        <w:ind w:left="347" w:right="320" w:hanging="347"/>
        <w:spacing w:after="0" w:line="286" w:lineRule="auto"/>
        <w:tabs>
          <w:tab w:leader="none" w:pos="347"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of December 30, 2017, we had no outstanding borrowings and $11.2 million in outstanding letters of credit under our first lien revolving credit facility, which matures on October 15, 2022. For a further description of our first lien credit agreement, see “Management’s Discussion and Analysis of Financial Condition and Results of Operations— 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72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December 30, 2017 and are based on 74,653,812 shares of our common stock, par value $0.01 per share, outstanding as of December 30, 2017.</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ind w:left="120"/>
              <w:spacing w:after="0"/>
              <w:rPr>
                <w:sz w:val="20"/>
                <w:szCs w:val="20"/>
                <w:color w:val="auto"/>
              </w:rPr>
            </w:pPr>
            <w:r>
              <w:rPr>
                <w:rFonts w:ascii="Arial" w:cs="Arial" w:eastAsia="Arial" w:hAnsi="Arial"/>
                <w:sz w:val="14"/>
                <w:szCs w:val="14"/>
                <w:b w:val="1"/>
                <w:bCs w:val="1"/>
                <w:color w:val="auto"/>
                <w:w w:val="96"/>
              </w:rPr>
              <w:t>Shares to be Sold in this Offering</w:t>
            </w:r>
          </w:p>
        </w:tc>
        <w:tc>
          <w:tcPr>
            <w:tcW w:w="180" w:type="dxa"/>
            <w:vAlign w:val="bottom"/>
          </w:tcPr>
          <w:p>
            <w:pPr>
              <w:spacing w:after="0"/>
              <w:rPr>
                <w:sz w:val="16"/>
                <w:szCs w:val="16"/>
                <w:color w:val="auto"/>
              </w:rPr>
            </w:pPr>
          </w:p>
        </w:tc>
        <w:tc>
          <w:tcPr>
            <w:tcW w:w="364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Shares Beneficially Owned After the Offering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0"/>
              </w:rPr>
              <w:t>Assuming No</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Assuming Full</w:t>
            </w: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Shares 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Owned Prior to the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4"/>
                <w:szCs w:val="14"/>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Assuming No Exercise of</w:t>
            </w: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of the Underwriters’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6"/>
                <w:szCs w:val="16"/>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the Underwriters’ Option</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88"/>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Percentage</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0"/>
              </w:rPr>
              <w:t>Percentage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of Total</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Total</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62"/>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5"/>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Owner</w:t>
            </w:r>
          </w:p>
        </w:tc>
        <w:tc>
          <w:tcPr>
            <w:tcW w:w="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Selling</w:t>
            </w:r>
          </w:p>
        </w:tc>
        <w:tc>
          <w:tcPr>
            <w:tcW w:w="1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KKR Vision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gridSpan w:val="3"/>
          </w:tcPr>
          <w:p>
            <w:pPr>
              <w:spacing w:after="0"/>
              <w:rPr>
                <w:sz w:val="20"/>
                <w:szCs w:val="20"/>
                <w:color w:val="auto"/>
              </w:rPr>
            </w:pPr>
            <w:r>
              <w:rPr>
                <w:rFonts w:ascii="Arial" w:cs="Arial" w:eastAsia="Arial" w:hAnsi="Arial"/>
                <w:sz w:val="18"/>
                <w:szCs w:val="18"/>
                <w:color w:val="auto"/>
              </w:rPr>
              <w:t>Aggregator L.P.</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43,475,462</w:t>
            </w:r>
          </w:p>
        </w:tc>
        <w:tc>
          <w:tcPr>
            <w:tcW w:w="11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58.2%</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gridSpan w:val="3"/>
            <w:vMerge w:val="restart"/>
          </w:tcPr>
          <w:p>
            <w:pPr>
              <w:jc w:val="center"/>
              <w:ind w:left="83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7"/>
                <w:szCs w:val="17"/>
                <w:color w:val="auto"/>
              </w:rPr>
            </w:pP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center"/>
              <w:ind w:lef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4"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3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the Sponsors and their affiliates beneficially own, in the aggregate, less than 40% of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certificate of incorporation provides otherwise. Our amended and restated certificate of incorporation precludes stockholder action by written consent once the Sponsors and their affiliates beneficially own, in the aggregate, less than 40% of the voting power of all outstanding shares of stock entitled to vote generally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20" w:firstLine="36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5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firstLine="360"/>
        <w:spacing w:after="0" w:line="233" w:lineRule="auto"/>
        <w:rPr>
          <w:sz w:val="20"/>
          <w:szCs w:val="20"/>
          <w:color w:val="auto"/>
        </w:rPr>
      </w:pPr>
      <w:r>
        <w:rPr>
          <w:rFonts w:ascii="Arial" w:cs="Arial" w:eastAsia="Arial" w:hAnsi="Arial"/>
          <w:sz w:val="18"/>
          <w:szCs w:val="18"/>
          <w:color w:val="auto"/>
        </w:rPr>
        <w:t>Our amended and restated certificate of incorporation provides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87"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20"/>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Upon the consummation of this offering, we will have a total of shares of common stock outstanding. In addition, options to purchase an aggregate of approximately shares of our common stock will be outstanding as of the consummation of this offering. Of the outstanding shares, the shares sold in the IPO and this offering (or shares if the underwriters exercise</w:t>
      </w:r>
    </w:p>
    <w:p>
      <w:pPr>
        <w:ind w:right="360"/>
        <w:spacing w:after="0" w:line="261" w:lineRule="auto"/>
        <w:rPr>
          <w:sz w:val="20"/>
          <w:szCs w:val="20"/>
          <w:color w:val="auto"/>
        </w:rPr>
      </w:pPr>
      <w:r>
        <w:rPr>
          <w:rFonts w:ascii="Arial" w:cs="Arial" w:eastAsia="Arial" w:hAnsi="Arial"/>
          <w:sz w:val="18"/>
          <w:szCs w:val="18"/>
          <w:color w:val="auto"/>
        </w:rPr>
        <w:t>in full their option to purchase additional shares in this offering) will be freely tradable without restriction or further registration under the Securities Act.</w:t>
      </w:r>
    </w:p>
    <w:p>
      <w:pPr>
        <w:spacing w:after="0" w:line="76" w:lineRule="exact"/>
        <w:rPr>
          <w:sz w:val="20"/>
          <w:szCs w:val="20"/>
          <w:color w:val="auto"/>
        </w:rPr>
      </w:pPr>
    </w:p>
    <w:p>
      <w:pPr>
        <w:ind w:right="20" w:firstLine="360"/>
        <w:spacing w:after="0" w:line="274" w:lineRule="auto"/>
        <w:rPr>
          <w:sz w:val="20"/>
          <w:szCs w:val="20"/>
          <w:color w:val="auto"/>
        </w:rPr>
      </w:pPr>
      <w:r>
        <w:rPr>
          <w:rFonts w:ascii="Arial" w:cs="Arial" w:eastAsia="Arial" w:hAnsi="Arial"/>
          <w:sz w:val="17"/>
          <w:szCs w:val="17"/>
          <w:color w:val="auto"/>
        </w:rPr>
        <w:t>The shares of common stock (or shares if the underwriters exercise in full their option to purchase additional shares) held by affiliates of KKR Sponsor, affiliates of Berkshire and our directors and executive officers after this offering, representing</w:t>
      </w:r>
    </w:p>
    <w:p>
      <w:pPr>
        <w:jc w:val="both"/>
        <w:ind w:right="100" w:firstLine="405"/>
        <w:spacing w:after="0" w:line="273" w:lineRule="auto"/>
        <w:rPr>
          <w:sz w:val="20"/>
          <w:szCs w:val="20"/>
          <w:color w:val="auto"/>
        </w:rPr>
      </w:pPr>
      <w:r>
        <w:rPr>
          <w:rFonts w:ascii="Arial" w:cs="Arial" w:eastAsia="Arial" w:hAnsi="Arial"/>
          <w:sz w:val="17"/>
          <w:szCs w:val="17"/>
          <w:color w:val="auto"/>
        </w:rPr>
        <w:t>% (or %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ectPr>
          <w:pgSz w:w="11900" w:h="16838" w:orient="portrait"/>
          <w:cols w:equalWidth="0" w:num="1">
            <w:col w:w="9560"/>
          </w:cols>
          <w:pgMar w:left="1180" w:top="279" w:right="1159" w:bottom="1440" w:gutter="0" w:footer="0" w:header="0"/>
        </w:sectPr>
      </w:pP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367" w:lineRule="exact"/>
        <w:rPr>
          <w:sz w:val="20"/>
          <w:szCs w:val="20"/>
          <w:color w:val="auto"/>
        </w:rPr>
      </w:pPr>
    </w:p>
    <w:p>
      <w:pPr>
        <w:sectPr>
          <w:pgSz w:w="11900" w:h="16838" w:orient="portrait"/>
          <w:cols w:equalWidth="0" w:num="3">
            <w:col w:w="400" w:space="300"/>
            <w:col w:w="7180" w:space="480"/>
            <w:col w:w="1200"/>
          </w:cols>
          <w:pgMar w:left="1180" w:top="279" w:right="1159" w:bottom="1440" w:gutter="0" w:footer="0" w:header="0"/>
          <w:type w:val="continuous"/>
        </w:sectPr>
      </w:pPr>
    </w:p>
    <w:p>
      <w:pPr>
        <w:ind w:left="700" w:right="6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0" w:firstLine="360"/>
        <w:spacing w:after="0" w:line="288" w:lineRule="auto"/>
        <w:rPr>
          <w:sz w:val="20"/>
          <w:szCs w:val="20"/>
          <w:color w:val="auto"/>
        </w:rPr>
      </w:pPr>
      <w:r>
        <w:rPr>
          <w:rFonts w:ascii="Arial" w:cs="Arial" w:eastAsia="Arial" w:hAnsi="Arial"/>
          <w:sz w:val="16"/>
          <w:szCs w:val="16"/>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w:t>
      </w:r>
    </w:p>
    <w:p>
      <w:pPr>
        <w:ind w:right="20"/>
        <w:spacing w:after="0" w:line="261" w:lineRule="auto"/>
        <w:rPr>
          <w:sz w:val="20"/>
          <w:szCs w:val="20"/>
          <w:color w:val="auto"/>
        </w:rPr>
      </w:pPr>
      <w:r>
        <w:rPr>
          <w:rFonts w:ascii="Arial" w:cs="Arial" w:eastAsia="Arial" w:hAnsi="Arial"/>
          <w:sz w:val="18"/>
          <w:szCs w:val="18"/>
          <w:color w:val="auto"/>
        </w:rPr>
        <w:t>during the period ending days after the date of this prospectus, except with the prior written consent of the representatives. See “Underwriting” for a description of these lock-up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2013 Equity Incentive Plan, 2014 Stock Incentive Plan and 2017 Omnibus Incentive Plan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10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 and</w:t>
      </w:r>
    </w:p>
    <w:p>
      <w:pPr>
        <w:ind w:left="400"/>
        <w:spacing w:after="0"/>
        <w:rPr>
          <w:sz w:val="20"/>
          <w:szCs w:val="20"/>
          <w:color w:val="auto"/>
        </w:rPr>
      </w:pPr>
      <w:r>
        <w:rPr>
          <w:rFonts w:ascii="Arial" w:cs="Arial" w:eastAsia="Arial" w:hAnsi="Arial"/>
          <w:sz w:val="18"/>
          <w:szCs w:val="18"/>
          <w:color w:val="auto"/>
        </w:rPr>
        <w:t>are acting as the representatives of the underwriters.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185"/>
        </w:trPr>
        <w:tc>
          <w:tcPr>
            <w:tcW w:w="822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of Shares</w:t>
            </w:r>
          </w:p>
        </w:tc>
      </w:tr>
      <w:tr>
        <w:trPr>
          <w:trHeight w:val="237"/>
        </w:trPr>
        <w:tc>
          <w:tcPr>
            <w:tcW w:w="82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w:t>
      </w:r>
    </w:p>
    <w:p>
      <w:pPr>
        <w:spacing w:after="0" w:line="46"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price set forth on the cover page of this prospectus and to dealers at that price less a concession not in excess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the initial offering, the public offering price, concession or any other term of the offering may be changed.</w:t>
      </w:r>
    </w:p>
    <w:p>
      <w:pPr>
        <w:spacing w:after="0" w:line="10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w:t>
            </w:r>
          </w:p>
        </w:tc>
      </w:tr>
      <w:tr>
        <w:trPr>
          <w:trHeight w:val="185"/>
        </w:trPr>
        <w:tc>
          <w:tcPr>
            <w:tcW w:w="73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6"/>
                <w:szCs w:val="16"/>
                <w:color w:val="auto"/>
              </w:rPr>
            </w:pPr>
          </w:p>
        </w:tc>
      </w:tr>
      <w:tr>
        <w:trPr>
          <w:trHeight w:val="23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500" w:type="dxa"/>
            <w:vAlign w:val="bottom"/>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w w:val="96"/>
              </w:rPr>
              <w:t>responsible, are estimated at $</w:t>
            </w:r>
          </w:p>
        </w:tc>
        <w:tc>
          <w:tcPr>
            <w:tcW w:w="7160" w:type="dxa"/>
            <w:vAlign w:val="bottom"/>
            <w:gridSpan w:val="2"/>
          </w:tcPr>
          <w:p>
            <w:pPr>
              <w:jc w:val="right"/>
              <w:ind w:right="150"/>
              <w:spacing w:after="0"/>
              <w:rPr>
                <w:sz w:val="20"/>
                <w:szCs w:val="20"/>
                <w:color w:val="auto"/>
              </w:rPr>
            </w:pPr>
            <w:r>
              <w:rPr>
                <w:rFonts w:ascii="Arial" w:cs="Arial" w:eastAsia="Arial" w:hAnsi="Arial"/>
                <w:sz w:val="18"/>
                <w:szCs w:val="18"/>
                <w:color w:val="auto"/>
                <w:w w:val="91"/>
              </w:rPr>
              <w:t>and are payable by us. We have agreed to reimburse the underwriters for expenses relating to</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8"/>
              </w:rPr>
              <w:t>clearing of this offering with FINRA in an amount up to $</w:t>
            </w:r>
          </w:p>
        </w:tc>
        <w:tc>
          <w:tcPr>
            <w:tcW w:w="5160" w:type="dxa"/>
            <w:vAlign w:val="bottom"/>
          </w:tcPr>
          <w:p>
            <w:pPr>
              <w:jc w:val="right"/>
              <w:ind w:right="4810"/>
              <w:spacing w:after="0"/>
              <w:rPr>
                <w:sz w:val="20"/>
                <w:szCs w:val="20"/>
                <w:color w:val="auto"/>
              </w:rPr>
            </w:pPr>
            <w:r>
              <w:rPr>
                <w:rFonts w:ascii="Arial" w:cs="Arial" w:eastAsia="Arial" w:hAnsi="Arial"/>
                <w:sz w:val="18"/>
                <w:szCs w:val="18"/>
                <w:color w:val="auto"/>
              </w:rPr>
              <w:t>.</w:t>
            </w:r>
          </w:p>
        </w:tc>
      </w:tr>
      <w:tr>
        <w:trPr>
          <w:trHeight w:val="432"/>
        </w:trPr>
        <w:tc>
          <w:tcPr>
            <w:tcW w:w="2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60" w:type="dxa"/>
            <w:vAlign w:val="bottom"/>
          </w:tcPr>
          <w:p>
            <w:pPr>
              <w:jc w:val="right"/>
              <w:ind w:right="4610"/>
              <w:spacing w:after="0"/>
              <w:rPr>
                <w:sz w:val="20"/>
                <w:szCs w:val="20"/>
                <w:color w:val="auto"/>
              </w:rPr>
            </w:pPr>
            <w:r>
              <w:rPr>
                <w:rFonts w:ascii="Arial" w:cs="Arial" w:eastAsia="Arial" w:hAnsi="Arial"/>
                <w:sz w:val="18"/>
                <w:szCs w:val="18"/>
                <w:color w:val="auto"/>
              </w:rPr>
              <w:t>42</w:t>
            </w:r>
          </w:p>
        </w:tc>
      </w:tr>
      <w:tr>
        <w:trPr>
          <w:trHeight w:val="459"/>
        </w:trPr>
        <w:tc>
          <w:tcPr>
            <w:tcW w:w="2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68"/>
        </w:trPr>
        <w:tc>
          <w:tcPr>
            <w:tcW w:w="2400" w:type="dxa"/>
            <w:vAlign w:val="bottom"/>
            <w:shd w:val="clear" w:color="auto" w:fill="000000"/>
          </w:tcPr>
          <w:p>
            <w:pPr>
              <w:spacing w:after="0"/>
              <w:rPr>
                <w:sz w:val="5"/>
                <w:szCs w:val="5"/>
                <w:color w:val="auto"/>
              </w:rPr>
            </w:pPr>
          </w:p>
        </w:tc>
        <w:tc>
          <w:tcPr>
            <w:tcW w:w="200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underwriters have an option, exercisable for 30 days after the date of this prospectus, to purchase up to</w:t>
      </w:r>
    </w:p>
    <w:p>
      <w:pPr>
        <w:spacing w:after="0" w:line="23"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additional shares at the public offering price, less the underwriting discount and commissions, from .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360"/>
        <w:spacing w:after="0"/>
        <w:tabs>
          <w:tab w:leader="none" w:pos="6760" w:val="left"/>
        </w:tabs>
        <w:rPr>
          <w:sz w:val="20"/>
          <w:szCs w:val="20"/>
          <w:color w:val="auto"/>
        </w:rPr>
      </w:pPr>
      <w:r>
        <w:rPr>
          <w:rFonts w:ascii="Arial" w:cs="Arial" w:eastAsia="Arial" w:hAnsi="Arial"/>
          <w:sz w:val="18"/>
          <w:szCs w:val="18"/>
          <w:color w:val="auto"/>
        </w:rPr>
        <w:t>We, our directors and executive officers and the selling stockholders will agree, for</w:t>
      </w:r>
      <w:r>
        <w:rPr>
          <w:sz w:val="20"/>
          <w:szCs w:val="20"/>
          <w:color w:val="auto"/>
        </w:rPr>
        <w:tab/>
      </w:r>
      <w:r>
        <w:rPr>
          <w:rFonts w:ascii="Arial" w:cs="Arial" w:eastAsia="Arial" w:hAnsi="Arial"/>
          <w:sz w:val="16"/>
          <w:szCs w:val="16"/>
          <w:color w:val="auto"/>
        </w:rPr>
        <w:t>days after the date of this prospectus,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without first obtaining the written consent of the representatives, not to directly or indirectly, subject to certain exceptions:</w:t>
      </w:r>
    </w:p>
    <w:p>
      <w:pPr>
        <w:spacing w:after="0" w:line="114" w:lineRule="exact"/>
        <w:rPr>
          <w:sz w:val="20"/>
          <w:szCs w:val="20"/>
          <w:color w:val="auto"/>
        </w:rPr>
      </w:pPr>
    </w:p>
    <w:p>
      <w:pPr>
        <w:jc w:val="both"/>
        <w:ind w:left="700" w:right="60" w:hanging="356"/>
        <w:spacing w:after="0" w:line="26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agreement does not apply to any existing employee benefit plans. The representatives may, in their sole discretion and at</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any time or from time to time before the termination of the -day period, release all or any portion of the securities subject to lock-up agreements. See “Shares Eligible for Future Sale” for a discussion of certain transfer restrictions.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8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6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77" w:lineRule="exact"/>
        <w:rPr>
          <w:sz w:val="20"/>
          <w:szCs w:val="20"/>
          <w:color w:val="auto"/>
        </w:rPr>
      </w:pPr>
    </w:p>
    <w:p>
      <w:pPr>
        <w:ind w:right="20" w:firstLine="360"/>
        <w:spacing w:after="0" w:line="256"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2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left="7" w:right="8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0" w:lineRule="exact"/>
        <w:rPr>
          <w:sz w:val="20"/>
          <w:szCs w:val="20"/>
          <w:color w:val="auto"/>
        </w:rPr>
      </w:pPr>
    </w:p>
    <w:p>
      <w:pPr>
        <w:ind w:left="7"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00" w:hanging="7"/>
        <w:spacing w:after="0" w:line="287" w:lineRule="auto"/>
        <w:tabs>
          <w:tab w:leader="none" w:pos="2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60" w:firstLine="360"/>
        <w:spacing w:after="0" w:line="259"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w:t>
      </w:r>
    </w:p>
    <w:p>
      <w:pPr>
        <w:spacing w:after="0" w:line="18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0" w:right="40" w:hanging="356"/>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0" w:right="22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60"/>
        <w:spacing w:after="0"/>
        <w:tabs>
          <w:tab w:leader="none" w:pos="4980" w:val="left"/>
          <w:tab w:leader="none" w:pos="8100" w:val="left"/>
        </w:tabs>
        <w:rPr>
          <w:sz w:val="20"/>
          <w:szCs w:val="20"/>
          <w:color w:val="auto"/>
        </w:rPr>
      </w:pPr>
      <w:r>
        <w:rPr>
          <w:rFonts w:ascii="Arial" w:cs="Arial" w:eastAsia="Arial" w:hAnsi="Arial"/>
          <w:sz w:val="18"/>
          <w:szCs w:val="18"/>
          <w:color w:val="auto"/>
        </w:rPr>
        <w:t>The consolidated financial statements as of December 30,</w:t>
      </w:r>
      <w:r>
        <w:rPr>
          <w:sz w:val="20"/>
          <w:szCs w:val="20"/>
          <w:color w:val="auto"/>
        </w:rPr>
        <w:tab/>
      </w:r>
      <w:r>
        <w:rPr>
          <w:rFonts w:ascii="Arial" w:cs="Arial" w:eastAsia="Arial" w:hAnsi="Arial"/>
          <w:sz w:val="18"/>
          <w:szCs w:val="18"/>
          <w:color w:val="auto"/>
        </w:rPr>
        <w:t>and for the year ended December 30,</w:t>
      </w:r>
      <w:r>
        <w:rPr>
          <w:sz w:val="20"/>
          <w:szCs w:val="20"/>
          <w:color w:val="auto"/>
        </w:rPr>
        <w:tab/>
      </w:r>
      <w:r>
        <w:rPr>
          <w:rFonts w:ascii="Arial" w:cs="Arial" w:eastAsia="Arial" w:hAnsi="Arial"/>
          <w:sz w:val="16"/>
          <w:szCs w:val="16"/>
          <w:color w:val="auto"/>
        </w:rPr>
        <w:t>, incorporated by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reference in this prospectus and the related financial statement schedule incorporated by reference in the registration statement of which this prospectus forms a part, in each case, from our Annual Report have been audited by Deloitte &amp; Touche LLP, an independent registered public accounting firm, as stated in their report, which is incorporated herein by reference. Such consolidated financial statements and financial statement schedule are incorporated by reference herein in reliance upon the report of such firm given upon their authority as experts in accounting and auditing.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under the Exchange Act):</w:t>
      </w:r>
    </w:p>
    <w:p>
      <w:pPr>
        <w:spacing w:after="0" w:line="85" w:lineRule="exact"/>
        <w:rPr>
          <w:sz w:val="20"/>
          <w:szCs w:val="20"/>
          <w:color w:val="auto"/>
        </w:rPr>
      </w:pPr>
    </w:p>
    <w:p>
      <w:pPr>
        <w:ind w:left="340"/>
        <w:spacing w:after="0"/>
        <w:tabs>
          <w:tab w:leader="none" w:pos="680" w:val="left"/>
          <w:tab w:leader="none" w:pos="6260" w:val="left"/>
          <w:tab w:leader="none" w:pos="7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Annual Report on Form 10-K for the fiscal year ended December 30,</w:t>
      </w:r>
      <w:r>
        <w:rPr>
          <w:sz w:val="20"/>
          <w:szCs w:val="20"/>
          <w:color w:val="auto"/>
        </w:rPr>
        <w:tab/>
      </w:r>
      <w:r>
        <w:rPr>
          <w:rFonts w:ascii="Arial" w:cs="Arial" w:eastAsia="Arial" w:hAnsi="Arial"/>
          <w:sz w:val="18"/>
          <w:szCs w:val="18"/>
          <w:color w:val="auto"/>
        </w:rPr>
        <w:t>, filed on</w:t>
      </w:r>
      <w:r>
        <w:rPr>
          <w:sz w:val="20"/>
          <w:szCs w:val="20"/>
          <w:color w:val="auto"/>
        </w:rPr>
        <w:tab/>
      </w:r>
      <w:r>
        <w:rPr>
          <w:rFonts w:ascii="Arial" w:cs="Arial" w:eastAsia="Arial" w:hAnsi="Arial"/>
          <w:sz w:val="16"/>
          <w:szCs w:val="16"/>
          <w:color w:val="auto"/>
        </w:rPr>
        <w:t>, 2018;</w:t>
      </w:r>
    </w:p>
    <w:p>
      <w:pPr>
        <w:spacing w:after="0" w:line="117" w:lineRule="exact"/>
        <w:rPr>
          <w:sz w:val="20"/>
          <w:szCs w:val="20"/>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Report on Form 8-K filed on January 23, 2018; and</w:t>
      </w:r>
    </w:p>
    <w:p>
      <w:pPr>
        <w:spacing w:after="0" w:line="117"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3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wp:posOffset>
            </wp:positionV>
            <wp:extent cx="6071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0" w:lineRule="exact"/>
        <w:rPr>
          <w:sz w:val="20"/>
          <w:szCs w:val="20"/>
          <w:color w:val="auto"/>
        </w:rPr>
      </w:pPr>
    </w:p>
    <w:p>
      <w:pPr>
        <w:ind w:left="474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89535</wp:posOffset>
            </wp:positionV>
            <wp:extent cx="1346200" cy="1046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1014095</wp:posOffset>
            </wp:positionV>
            <wp:extent cx="1037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919"/>
        <w:spacing w:after="0"/>
        <w:rPr>
          <w:sz w:val="20"/>
          <w:szCs w:val="20"/>
          <w:color w:val="auto"/>
        </w:rPr>
      </w:pPr>
      <w:r>
        <w:rPr>
          <w:rFonts w:ascii="Arial" w:cs="Arial" w:eastAsia="Arial" w:hAnsi="Arial"/>
          <w:sz w:val="25"/>
          <w:szCs w:val="25"/>
          <w:b w:val="1"/>
          <w:bCs w:val="1"/>
          <w:color w:val="auto"/>
        </w:rPr>
        <w:t>Prospectus</w:t>
      </w:r>
    </w:p>
    <w:p>
      <w:pPr>
        <w:spacing w:after="0" w:line="226" w:lineRule="exact"/>
        <w:rPr>
          <w:sz w:val="20"/>
          <w:szCs w:val="20"/>
          <w:color w:val="auto"/>
        </w:rPr>
      </w:pPr>
    </w:p>
    <w:p>
      <w:pPr>
        <w:jc w:val="right"/>
        <w:ind w:right="3899"/>
        <w:spacing w:after="0"/>
        <w:rPr>
          <w:sz w:val="20"/>
          <w:szCs w:val="20"/>
          <w:color w:val="auto"/>
        </w:rPr>
      </w:pPr>
      <w:r>
        <w:rPr>
          <w:rFonts w:ascii="Arial" w:cs="Arial" w:eastAsia="Arial" w:hAnsi="Arial"/>
          <w:sz w:val="25"/>
          <w:szCs w:val="2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140970</wp:posOffset>
            </wp:positionV>
            <wp:extent cx="10375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621030</wp:posOffset>
            </wp:positionV>
            <wp:extent cx="6071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664210</wp:posOffset>
            </wp:positionV>
            <wp:extent cx="60718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972820</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1" w:name="page62"/>
    <w:bookmarkEnd w:id="61"/>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7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and the Financial Industry Regulatory Authority, or FINRA, filing fee.</w:t>
      </w:r>
    </w:p>
    <w:p>
      <w:pPr>
        <w:spacing w:after="0" w:line="39"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4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4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Registrar and transfer agent fees</w:t>
            </w:r>
          </w:p>
        </w:tc>
        <w:tc>
          <w:tcPr>
            <w:tcW w:w="4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68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4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724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5" w:lineRule="exact"/>
        <w:rPr>
          <w:sz w:val="20"/>
          <w:szCs w:val="20"/>
          <w:color w:val="auto"/>
        </w:rPr>
      </w:pPr>
    </w:p>
    <w:p>
      <w:pPr>
        <w:ind w:left="7" w:right="40"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7" w:lineRule="exact"/>
        <w:rPr>
          <w:sz w:val="20"/>
          <w:szCs w:val="20"/>
          <w:color w:val="auto"/>
        </w:rPr>
      </w:pPr>
    </w:p>
    <w:p>
      <w:pPr>
        <w:ind w:left="7" w:right="540" w:firstLine="360"/>
        <w:spacing w:after="0" w:line="277"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8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reflects the 1.96627-for-one reverse split of the Registrant’s common stock, effected on October 24, 2017.</w:t>
      </w:r>
    </w:p>
    <w:p>
      <w:pPr>
        <w:spacing w:after="0" w:line="129" w:lineRule="exact"/>
        <w:rPr>
          <w:sz w:val="20"/>
          <w:szCs w:val="20"/>
          <w:color w:val="auto"/>
        </w:rPr>
      </w:pPr>
    </w:p>
    <w:p>
      <w:pPr>
        <w:ind w:left="700" w:hanging="35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Certain of our employees were given opportunities to purchase our common stock in connection with their hiring and/or promotion as follows: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11, 2015, we issued 10,171 shares of our common stock at a price per share of $9.84.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10, 2015, we issued 2,430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14, 2017, we issued 63,572 shares of our common stock at a price per share of $15.73.</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22, 2015, we issued 33,483 shares of our common stock at a price per share of $0.39 and $1.03.</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12, 2015, we issued 122,058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24, 2015, we issued 13,952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4, 2015, we issued 5,085 shares of our common stock at a price per share of $8.22.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8, 2015, we issued 12,205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9, 2015, we issued 36,617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11, 2015, we issued 21,970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21, 2016, we issued 122,058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23, 2016, we issued 5,133 shares of our common stock at a price per share of $7.24 and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 2017, we issued 16,274 shares of our common stock at a price per share of $9.24.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2017, we issued 36,617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20, 2017, we issued 122,058 shares of our common stock at a price per share of $4.27.</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22, 2017, we issued 36,617 shares of our common stock at a price per share of $4.27.</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Also, on July 24, 2017, we issued 6,357 restricted shares of common stock, based on the fair market value of $15.73 per share as of the award date, to a non-employee director.</w:t>
      </w:r>
    </w:p>
    <w:p>
      <w:pPr>
        <w:spacing w:after="0" w:line="6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700" w:hanging="356"/>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granted stock options to certain employees in connection with services provided by such employees or the hiring/promotion of such employees as follows:</w:t>
      </w:r>
    </w:p>
    <w:p>
      <w:pPr>
        <w:spacing w:after="0" w:line="6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On February 11, 2015, we granted stock options to purchase an aggregate of 118,426 shares of our common stock with an exercise price of $9.84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September 2, 2015, we granted stock options to purchase an aggregate of 356,005 shares of our common stock with an exercise price of $8.22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November 9, 2015, we granted stock options to purchase an aggregate of 254,288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8, 2015, we granted stock options to purchase an aggregate of 76,286 shares of our common stock with an exercise price of $9.24 per share.</w:t>
      </w:r>
    </w:p>
    <w:p>
      <w:pPr>
        <w:spacing w:after="0" w:line="6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On March 16, 2016, we granted stock options to purchase an aggregate of 228,859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13, 2016, we granted stock options to purchase an aggregate 534,006 shares of our common stock with an exercise price of $14.89 per share.</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March 20, 2017, we granted stock options to purchase an aggregate of 63,572 shares of our common stock with an exercise price of $11.92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April 13, 2017, we granted stock options to purchase an aggregate of 50,857 shares of our common stock with an exercise price of $15.06 per share.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On May 16, 2017, we granted stock options to purchase an aggregate of 101,715 shares of our common stock with an exercise price of $15.06 per share.</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June 5, 2017, we granted stock options to purchase an aggregate of 228,859 shares of our common stock with an exercise price of $15.06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w:t>
      </w:r>
    </w:p>
    <w:p>
      <w:pPr>
        <w:spacing w:after="0" w:line="6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As of December 30, 2017, options (excluding rollover options) to purchase 565,860 shares of common stock had been exercised for aggregate consideration in the amount of $3.9 million and options to purchase 823,093 shares of common stock had been canceled or repurchased.</w:t>
      </w:r>
    </w:p>
    <w:p>
      <w:pPr>
        <w:spacing w:after="0" w:line="73"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right="80" w:hanging="356"/>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the Exhibit Index immediately preceding the signature pages hereto, which is incorporated by reference as if</w:t>
      </w:r>
      <w:r>
        <w:rPr>
          <w:rFonts w:ascii="Arial" w:cs="Arial" w:eastAsia="Arial" w:hAnsi="Arial"/>
          <w:sz w:val="18"/>
          <w:szCs w:val="18"/>
          <w:i w:val="1"/>
          <w:iCs w:val="1"/>
          <w:color w:val="auto"/>
        </w:rPr>
        <w:t xml:space="preserve"> </w:t>
      </w:r>
      <w:r>
        <w:rPr>
          <w:rFonts w:ascii="Arial" w:cs="Arial" w:eastAsia="Arial" w:hAnsi="Arial"/>
          <w:sz w:val="18"/>
          <w:szCs w:val="18"/>
          <w:color w:val="auto"/>
        </w:rPr>
        <w:t>fully set forth 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Schedule I − Condensed Financial Information of National Vision Holdings, Inc. (incorporated by reference to Exhibit to the Registrant’s Annual Report for the fiscal year ended December 30,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right="40" w:hanging="356"/>
        <w:spacing w:after="0" w:line="270"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 hereby undertakes that:</w:t>
      </w:r>
    </w:p>
    <w:p>
      <w:pPr>
        <w:spacing w:after="0" w:line="117" w:lineRule="exact"/>
        <w:rPr>
          <w:rFonts w:ascii="Arial" w:cs="Arial" w:eastAsia="Arial" w:hAnsi="Arial"/>
          <w:sz w:val="18"/>
          <w:szCs w:val="18"/>
          <w:color w:val="auto"/>
        </w:rPr>
      </w:pPr>
    </w:p>
    <w:p>
      <w:pPr>
        <w:ind w:left="1060" w:right="560" w:hanging="351"/>
        <w:spacing w:after="0" w:line="279" w:lineRule="auto"/>
        <w:tabs>
          <w:tab w:leader="none" w:pos="10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3" w:lineRule="exact"/>
        <w:rPr>
          <w:rFonts w:ascii="Arial" w:cs="Arial" w:eastAsia="Arial" w:hAnsi="Arial"/>
          <w:sz w:val="17"/>
          <w:szCs w:val="17"/>
          <w:color w:val="auto"/>
        </w:rPr>
      </w:pPr>
    </w:p>
    <w:p>
      <w:pPr>
        <w:ind w:left="1060" w:right="160" w:hanging="351"/>
        <w:spacing w:after="0" w:line="312" w:lineRule="auto"/>
        <w:tabs>
          <w:tab w:leader="none" w:pos="10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2"/>
              </w:rPr>
              <w:t>National Vision Holdings, Inc. has requested confidential treatment of this registration statement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0"/>
              </w:rPr>
              <w:t>associated correspondence pursuant to Rule 83 of the Securities and Exchange Commission.</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21"/>
                <w:szCs w:val="21"/>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Form of Underwriting Agreement by and among National Vision Holdings, Inc., the selling stockholders named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therein and the underwriters named therein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Second Amended and Restated Certificate of Incorporation of National Vision Holdings, Inc.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reference to Exhibit 3.1 to the Registrant’s Current Report on Form 8-K filed on October 31, 2017 (File No. 001-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38257))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Second Amended and Restated Bylaws of National Vision Holdings, Inc. (incorporated by reference to Exhibit 3.2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 the 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Form of Common Stock Certificate (incorporated by reference to Exhibit 4.1 to Amendment No. 2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Registration Rights Agreement, dated as of March 13, 2014, by and among National Vision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(formerly known as Nautilus Parent, Inc.) and the stockholders party thereto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4.2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Amended and Restated Stockholders’ Agreement by and among National Vision Holdings, Inc.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stockholders party thereto (incorporated by reference to Exhibit 4.1 to the Registrant’s Current Report on Form 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First Lien Credit Agreement, dated as of March 13, 2014, among Nautilus Acquisition Holdings, Inc., Nautilus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Merger Sub, Inc., Vision Holdings Corp. and National Vision, Inc., Goldman Sachs Bank USA, as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agent, collateral agent, swingline lender and a lender, Morgan Stanley Bank N.A., as the letter of credit issuer,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Goldman Sachs Bank USA, Morgan Stanley Senior Funding, Inc., Citigroup Global Markets Inc., Mizuho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Ltd., KKR Capital Markets LLC, Barclays Bank PLC, and Macquarie Capital (USA) Inc., as joint lead arrangers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and bookrunners, and the several lenders from time to time parties thereto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10.3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Joinder and Amendment Agreement, dated as of May 29, 2015, among KKR Corporate Lending LLC,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Vision, Inc., as borrower, the guarantors party thereto and Goldman Sachs Bank USA, as administrative agent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collateral agent (incorporated by reference to Exhibit 10.4 to the Registrant’s Registration Statement on Form S-1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Joinder Agreement, dated as of February 3, 2017, among KKR Corporate Lending LLC, National Vision, Inc.,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borrower, the guarantors party thereto and Goldman Sachs Bank USA, as administrative agent and collateral agent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(incorporated by reference to Exhibit 10.5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-5814060</wp:posOffset>
            </wp:positionV>
            <wp:extent cx="6071870" cy="5969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59690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2"/>
              </w:rPr>
              <w:t>National Vision Holdings, Inc. has requested confidential treatment of this registration statement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0"/>
              </w:rPr>
              <w:t>associated correspondence pursuant to Rule 83 of the Securities and Exchange Commission.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9"/>
                <w:szCs w:val="19"/>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Joinder and Amendment Agreement, dated as of October 31, 2017, among National Vision, Inc., as borrower,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guarantors party thereto, Goldman Sachs Bank USA, as administrative agent and collateral agent, and lenders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letter of credit issuers party thereto (incorporated by reference to Exhibit 10.1 to the Registrant’s Current Report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Joinder and Amendment Agreement, dated as of November 20, 2017, among National Vision, Inc., as borrower,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the guarantors party thereto, Goldman Sachs Bank USA, as administrative agent and collateral agent, and lenders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party thereto (incorporated by reference to Exhibit 10.5 to the Registrant’s Current Report on Form 8-K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20,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First Lien Guarantee, dated as of March 13, 2014, by the guarantors party thereto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Exhibit 10.6 to the Registrant’s Registration Statement on Form S-1 filed on September 29, 2017 (File No. 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220719))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First Lien Security Agreement, dated as of March 13, 2014, among Nautilus Acquisition Holdings, Inc., Nautilus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Merger Sub, Inc., Vision Holdings Corp., National Vision, Inc., subsidiary grantors party thereto,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USA, as collateral agent (incorporated by reference to Exhibit 10.7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First Lien Pledge Agreement, dated as of March 13, 2014, among Nautilus Acquisition Holdings, Inc., Nautilus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Merger Sub, Inc., Vision Holdings Corp., National Vision, Inc. subsidiary pledgors party thereto,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USA, as collateral agent (incorporated by reference to Exhibit 10.8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National Vision Holdings, Inc. 2017 Omnibus Incentive Plan (incorporated by reference to Exhibit 10.2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Form of Restricted Stock Agreement for Non-Employee Directors under the 2017 Omnibus 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(incorporated by reference to Exhibit 10.15 to Amendment No. 2 to the Registrant’s Registration Statement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2014 Stock Incentive Plan for Key Employees of National Vision Holdings, Inc. (formerly known as Nautilus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Parent, Inc.) and its Subsidiaries (incorporated by reference to Exhibit 10.16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Amendment No. 1 to the 2014 Stock Incentive Plan for Key Employees of National Vision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(formerly known as Nautilus Parent, Inc.) and its Subsidiaries (incorporated by reference to Exhibit 10.17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Amendment No. 2 to the 2014 Stock Incentive Plan for Key Employees of National Vision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(formerly known as Nautilus Parent, Inc.) and its Subsidiaries (incorporated by reference to Exhibit 10.18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-6088380</wp:posOffset>
            </wp:positionV>
            <wp:extent cx="6071870" cy="6243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6243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2"/>
              </w:rPr>
              <w:t>National Vision Holdings, Inc. has requested confidential treatment of this registration statement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gridSpan w:val="2"/>
          </w:tcPr>
          <w:p>
            <w:pPr>
              <w:jc w:val="center"/>
              <w:ind w:right="1360"/>
              <w:spacing w:after="0"/>
              <w:rPr>
                <w:sz w:val="20"/>
                <w:szCs w:val="20"/>
                <w:color w:val="auto"/>
              </w:rPr>
            </w:pPr>
            <w:r>
              <w:rPr>
                <w:rFonts w:ascii="Arial" w:cs="Arial" w:eastAsia="Arial" w:hAnsi="Arial"/>
                <w:sz w:val="16"/>
                <w:szCs w:val="16"/>
                <w:color w:val="auto"/>
                <w:w w:val="90"/>
              </w:rPr>
              <w:t>associated correspondence pursuant to Rule 83 of the Securities and Exchange Commission.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9"/>
                <w:szCs w:val="19"/>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Form of Stock Option Agreement under the 2014 Stock Incentive Plan for Key Employees of National Vision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Holdings, Inc. (formerly known as Nautilus Parent, Inc.) and its Subsidiaries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10.19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Form of Management Stockholder’s Agreement (incorporated by reference to Exhibit 10.20 to the Registrant’s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Form of Option Rollover Agreement (incorporated by reference to Exhibit 10.21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Form of Contribution Agreement (incorporated by reference to Exhibit 10.23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National Vision, Inc. Severance Plan, as amended and restated as of March 15, 2017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Exhibit 10.24 to the Registrant’s Registration Statement on Form S-1 filed on September 29, 2017 (File No. 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220719))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National Vision, Inc. Severance Plan Summary Plan Description (Executives), effective as of July 21,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10.25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National Vision, Inc. Severance Plan Executive Supplement, effective as of November 11, 2013 and amended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of March 15, 2017 (incorporated by reference to Exhibit 10.26 to the Registrant’s Registration Statement on Form</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National Vision, Inc. Management Incentive Plan (incorporated by reference to Exhibit 10.27 to the Registrant’s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Indemnification Agreement, dated as of March 13, 2014, among National Vision Holdings, Inc. (formerly known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as Nautilus Parent, Inc.), Nautilus Acquisition Holdings, Inc., Vision Holding Corp., National Vision,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Kohlberg Kravis Roberts &amp; Co. L.P. and Berkshire Partners LLC (incorporated by reference to Exhibit 10.28 to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Letter Agreement between National Vision, Inc. and Essilor of America, Inc., dated as of May 25,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10.29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10.25‡</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Letter of Amendment between National Vision, Inc. and Essilor of America, Inc., dated as of December 2,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10.30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10.26‡</w:t>
            </w: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Management &amp; Services Agreement by and between National Vision, Inc. and Wal-Mart Stores, Inc., dated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May 1, 2012 (incorporated by reference to Exhibit 10.31 to Amendment No. 2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October 16,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-6431280</wp:posOffset>
            </wp:positionV>
            <wp:extent cx="6071870" cy="6586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65862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20" w:type="dxa"/>
            <w:vAlign w:val="bottom"/>
            <w:gridSpan w:val="3"/>
          </w:tcPr>
          <w:p>
            <w:pPr>
              <w:jc w:val="center"/>
              <w:ind w:right="1460"/>
              <w:spacing w:after="0"/>
              <w:rPr>
                <w:sz w:val="20"/>
                <w:szCs w:val="20"/>
                <w:color w:val="auto"/>
              </w:rPr>
            </w:pPr>
            <w:r>
              <w:rPr>
                <w:rFonts w:ascii="Arial" w:cs="Arial" w:eastAsia="Arial" w:hAnsi="Arial"/>
                <w:sz w:val="16"/>
                <w:szCs w:val="16"/>
                <w:color w:val="auto"/>
                <w:w w:val="92"/>
              </w:rPr>
              <w:t>National Vision Holdings, Inc. has requested confidential treatment of this registration statement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20" w:type="dxa"/>
            <w:vAlign w:val="bottom"/>
            <w:gridSpan w:val="3"/>
          </w:tcPr>
          <w:p>
            <w:pPr>
              <w:jc w:val="center"/>
              <w:ind w:right="1460"/>
              <w:spacing w:after="0"/>
              <w:rPr>
                <w:sz w:val="20"/>
                <w:szCs w:val="20"/>
                <w:color w:val="auto"/>
              </w:rPr>
            </w:pPr>
            <w:r>
              <w:rPr>
                <w:rFonts w:ascii="Arial" w:cs="Arial" w:eastAsia="Arial" w:hAnsi="Arial"/>
                <w:sz w:val="16"/>
                <w:szCs w:val="16"/>
                <w:color w:val="auto"/>
                <w:w w:val="90"/>
              </w:rPr>
              <w:t>associated correspondence pursuant to Rule 83 of the Securities and Exchange Commission.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center"/>
              <w:ind w:right="2859"/>
              <w:spacing w:after="0"/>
              <w:rPr>
                <w:sz w:val="20"/>
                <w:szCs w:val="20"/>
                <w:color w:val="auto"/>
              </w:rPr>
            </w:pPr>
            <w:r>
              <w:rPr>
                <w:rFonts w:ascii="Arial" w:cs="Arial" w:eastAsia="Arial" w:hAnsi="Arial"/>
                <w:sz w:val="14"/>
                <w:szCs w:val="14"/>
                <w:b w:val="1"/>
                <w:bCs w:val="1"/>
                <w:color w:val="auto"/>
                <w:w w:val="94"/>
              </w:rPr>
              <w:t>Exhibit Description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10.27</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4"/>
              </w:rPr>
              <w:t>Letter Agreement by and between National Vision, Inc. and Wal-Mart Stores, Inc. re: Management &amp;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9"/>
              </w:rPr>
              <w:t>Agreement, dated as of January 11, 2017 (incorporated by reference to Exhibit 10.32 to the Registrant’s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10.28‡</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2"/>
              </w:rPr>
              <w:t>Amended and Restated Supplier Agreement between National Vision, Inc. and Walmart, dated as of January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2"/>
              </w:rPr>
              <w:t>2017 (incorporated by reference to Exhibit 10.33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10.29</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5"/>
              </w:rPr>
              <w:t>Option Agreement for Patrick R. Moore under the 2017 Omnibus Incentive Plan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Exhibit 10.34 to Amendment No. 2 to the Registrant’s Registration Statement on Form S-1 filed on October 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2017 (File No. 333-220719))</w:t>
            </w:r>
          </w:p>
        </w:tc>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10.30</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1"/>
              </w:rPr>
              <w:t>Restricted Stock Award Agreement for David M. Tehle under the 2014 Stock Incentive Plan for Key Employees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6"/>
              </w:rPr>
              <w:t>National Vision Holdings, Inc. (formerly known as Nautilus Parent, Inc.) and its Subsidiaries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reference to Exhibit 10.35 to Amendment No. 2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October 16, 2017 (File No. 333-220719))</w:t>
            </w:r>
          </w:p>
        </w:tc>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10.31</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Form of Director Indemnification Agreement (incorporated by reference to Exhibit 10.36 to Amendment No. 2 to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the Registrant’s Registration Statement on 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Form of Director Stockholder’s Agreement (incorporated by reference to Exhibit 10.1 to the Registrant’s Current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Report on Form 8-K filed on January 23, 2018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10.33</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1"/>
              </w:rPr>
              <w:t>Vision Holding Corp. Amended and Restated 2013 Equity Incentive Plan (incorporated by reference to Exhibit 4.4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9"/>
              </w:rPr>
              <w:t>to the Registrant’s Registration Statement on Form S-8 filed on October 26, 2017 (File No. 333-221131))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8"/>
              </w:rPr>
              <w:t>Subsidiaries of National Vision Holdings, Inc. (incorporated by reference to Exhibit 21.1 to the Registrant’s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Annual Report on Form 10-K, filed on</w:t>
            </w:r>
          </w:p>
        </w:tc>
        <w:tc>
          <w:tcPr>
            <w:tcW w:w="5240" w:type="dxa"/>
            <w:vAlign w:val="bottom"/>
            <w:gridSpan w:val="2"/>
            <w:shd w:val="clear" w:color="auto" w:fill="CCEEFF"/>
          </w:tcPr>
          <w:p>
            <w:pPr>
              <w:jc w:val="center"/>
              <w:ind w:right="3040"/>
              <w:spacing w:after="0"/>
              <w:rPr>
                <w:sz w:val="20"/>
                <w:szCs w:val="20"/>
                <w:color w:val="auto"/>
              </w:rPr>
            </w:pPr>
            <w:r>
              <w:rPr>
                <w:rFonts w:ascii="Arial" w:cs="Arial" w:eastAsia="Arial" w:hAnsi="Arial"/>
                <w:sz w:val="18"/>
                <w:szCs w:val="18"/>
                <w:color w:val="auto"/>
                <w:w w:val="91"/>
              </w:rPr>
              <w:t>, 2018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Consent of Simpson Thacher &amp; Bartlett LLP (included in Exhibit 5.1)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Consent of Deloitte &amp; Touche LLP</w:t>
            </w:r>
          </w:p>
        </w:tc>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8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-5153660</wp:posOffset>
            </wp:positionV>
            <wp:extent cx="6071870" cy="5025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5025390"/>
                    </a:xfrm>
                    <a:prstGeom prst="rect">
                      <a:avLst/>
                    </a:prstGeom>
                    <a:noFill/>
                  </pic:spPr>
                </pic:pic>
              </a:graphicData>
            </a:graphic>
          </wp:anchor>
        </w:drawing>
      </w:r>
    </w:p>
    <w:p>
      <w:pPr>
        <w:spacing w:after="0" w:line="83" w:lineRule="exact"/>
        <w:rPr>
          <w:sz w:val="20"/>
          <w:szCs w:val="20"/>
          <w:color w:val="auto"/>
        </w:rPr>
      </w:pPr>
    </w:p>
    <w:p>
      <w:pPr>
        <w:ind w:left="347" w:hanging="347"/>
        <w:spacing w:after="0"/>
        <w:tabs>
          <w:tab w:leader="none" w:pos="34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To be filed by an amendment.</w:t>
      </w:r>
    </w:p>
    <w:p>
      <w:pPr>
        <w:spacing w:after="0" w:line="109" w:lineRule="exact"/>
        <w:rPr>
          <w:sz w:val="20"/>
          <w:szCs w:val="20"/>
          <w:color w:val="auto"/>
        </w:rPr>
      </w:pPr>
    </w:p>
    <w:p>
      <w:pPr>
        <w:ind w:left="347" w:hanging="347"/>
        <w:spacing w:after="0"/>
        <w:tabs>
          <w:tab w:leader="none" w:pos="347" w:val="left"/>
        </w:tabs>
        <w:numPr>
          <w:ilvl w:val="0"/>
          <w:numId w:val="56"/>
        </w:numPr>
        <w:rPr>
          <w:rFonts w:ascii="Arial" w:cs="Arial" w:eastAsia="Arial" w:hAnsi="Arial"/>
          <w:sz w:val="14"/>
          <w:szCs w:val="14"/>
          <w:color w:val="auto"/>
        </w:rPr>
      </w:pPr>
      <w:r>
        <w:rPr>
          <w:rFonts w:ascii="Arial" w:cs="Arial" w:eastAsia="Arial" w:hAnsi="Arial"/>
          <w:sz w:val="14"/>
          <w:szCs w:val="14"/>
          <w:color w:val="auto"/>
        </w:rPr>
        <w:t>Identifies exhibits that consist of a management contract or compensatory plan or arrangement.</w:t>
      </w:r>
    </w:p>
    <w:p>
      <w:pPr>
        <w:spacing w:after="0" w:line="109" w:lineRule="exact"/>
        <w:rPr>
          <w:sz w:val="20"/>
          <w:szCs w:val="20"/>
          <w:color w:val="auto"/>
        </w:rPr>
      </w:pPr>
    </w:p>
    <w:p>
      <w:pPr>
        <w:ind w:left="347" w:right="40" w:hanging="347"/>
        <w:spacing w:after="0" w:line="273" w:lineRule="auto"/>
        <w:tabs>
          <w:tab w:leader="none" w:pos="3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Statement to be signed on its behalf by the undersigned, thereunto duly authorized, in the City of Duluth, Georgia, on , 2018.</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National Vision Holdings, Inc.</w:t>
      </w:r>
    </w:p>
    <w:p>
      <w:pPr>
        <w:spacing w:after="0" w:line="29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376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28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L. Reade Fahs</w:t>
            </w:r>
          </w:p>
        </w:tc>
      </w:tr>
      <w:tr>
        <w:trPr>
          <w:trHeight w:val="236"/>
        </w:trPr>
        <w:tc>
          <w:tcPr>
            <w:tcW w:w="220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Title:</w:t>
            </w:r>
          </w:p>
        </w:tc>
        <w:tc>
          <w:tcPr>
            <w:tcW w:w="284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446"/>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POWER OF ATTORNEY</w:t>
            </w:r>
          </w:p>
        </w:tc>
        <w:tc>
          <w:tcPr>
            <w:tcW w:w="2840" w:type="dxa"/>
            <w:vAlign w:val="bottom"/>
          </w:tcPr>
          <w:p>
            <w:pPr>
              <w:spacing w:after="0"/>
              <w:rPr>
                <w:sz w:val="24"/>
                <w:szCs w:val="24"/>
                <w:color w:val="auto"/>
              </w:rPr>
            </w:pPr>
          </w:p>
        </w:tc>
      </w:tr>
    </w:tbl>
    <w:p>
      <w:pPr>
        <w:spacing w:after="0" w:line="94" w:lineRule="exact"/>
        <w:rPr>
          <w:sz w:val="20"/>
          <w:szCs w:val="20"/>
          <w:color w:val="auto"/>
        </w:rPr>
      </w:pPr>
    </w:p>
    <w:p>
      <w:pPr>
        <w:ind w:right="40" w:firstLine="360"/>
        <w:spacing w:after="0" w:line="283"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Pursuant to the requirements of the Securities Act,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w w:val="97"/>
              </w:rPr>
              <w:t>this registration statement has been signed by the following person in the capacities indicated on</w:t>
            </w:r>
          </w:p>
        </w:tc>
        <w:tc>
          <w:tcPr>
            <w:tcW w:w="2000" w:type="dxa"/>
            <w:vAlign w:val="bottom"/>
          </w:tcPr>
          <w:p>
            <w:pPr>
              <w:jc w:val="right"/>
              <w:ind w:right="1290"/>
              <w:spacing w:after="0"/>
              <w:rPr>
                <w:sz w:val="20"/>
                <w:szCs w:val="20"/>
                <w:color w:val="auto"/>
              </w:rPr>
            </w:pPr>
            <w:r>
              <w:rPr>
                <w:rFonts w:ascii="Arial" w:cs="Arial" w:eastAsia="Arial" w:hAnsi="Arial"/>
                <w:sz w:val="18"/>
                <w:szCs w:val="18"/>
                <w:color w:val="auto"/>
              </w:rPr>
              <w:t>, 2018:</w:t>
            </w:r>
          </w:p>
        </w:tc>
      </w:tr>
      <w:tr>
        <w:trPr>
          <w:trHeight w:val="229"/>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9"/>
                <w:szCs w:val="19"/>
                <w:color w:val="auto"/>
              </w:rPr>
            </w:pPr>
          </w:p>
        </w:tc>
        <w:tc>
          <w:tcPr>
            <w:tcW w:w="2800" w:type="dxa"/>
            <w:vAlign w:val="bottom"/>
            <w:tcBorders>
              <w:bottom w:val="single" w:sz="8" w:color="auto"/>
            </w:tcBorders>
          </w:tcPr>
          <w:p>
            <w:pPr>
              <w:jc w:val="center"/>
              <w:ind w:left="1953"/>
              <w:spacing w:after="0"/>
              <w:rPr>
                <w:sz w:val="20"/>
                <w:szCs w:val="20"/>
                <w:color w:val="auto"/>
              </w:rPr>
            </w:pPr>
            <w:r>
              <w:rPr>
                <w:rFonts w:ascii="Arial" w:cs="Arial" w:eastAsia="Arial" w:hAnsi="Arial"/>
                <w:sz w:val="14"/>
                <w:szCs w:val="14"/>
                <w:b w:val="1"/>
                <w:bCs w:val="1"/>
                <w:color w:val="auto"/>
                <w:w w:val="95"/>
              </w:rPr>
              <w:t>Capacity</w:t>
            </w:r>
          </w:p>
        </w:tc>
        <w:tc>
          <w:tcPr>
            <w:tcW w:w="2000" w:type="dxa"/>
            <w:vAlign w:val="bottom"/>
            <w:tcBorders>
              <w:bottom w:val="single" w:sz="8" w:color="auto"/>
            </w:tcBorders>
          </w:tcPr>
          <w:p>
            <w:pPr>
              <w:spacing w:after="0"/>
              <w:rPr>
                <w:sz w:val="19"/>
                <w:szCs w:val="19"/>
                <w:color w:val="auto"/>
              </w:rPr>
            </w:pPr>
          </w:p>
        </w:tc>
      </w:tr>
      <w:tr>
        <w:trPr>
          <w:trHeight w:val="480"/>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88"/>
              </w:rPr>
              <w:t>L. Reade Fahs</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92"/>
              </w:rPr>
              <w:t>Patrick R. Moore</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99"/>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1"/>
              </w:rPr>
              <w:t>Senior Vice President, Accounting</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90"/>
              </w:rPr>
              <w:t>Chris Beasley</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3"/>
              </w:rPr>
              <w:t>(principal accounting officer)</w:t>
            </w:r>
          </w:p>
        </w:tc>
      </w:tr>
    </w:tbl>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Felix Gernburd</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Virginia A. Hepner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 Randolph Peeler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Nathaniel H. Taylor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David M. Tehle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60"/>
      </w:cols>
      <w:pgMar w:left="1180" w:top="27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2"/>
    </w:lvl>
  </w:abstractNum>
  <w:abstractNum w:abstractNumId="1">
    <w:nsid w:val="3A95F874"/>
    <w:multiLevelType w:val="hybridMultilevel"/>
    <w:lvl w:ilvl="0">
      <w:lvlJc w:val="left"/>
      <w:lvlText w:val="(%1)"/>
      <w:numFmt w:val="decimal"/>
      <w:start w:val="3"/>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bullet"/>
      <w:start w:val="1"/>
    </w:lvl>
  </w:abstractNum>
  <w:abstractNum w:abstractNumId="9">
    <w:nsid w:val="3006C83E"/>
    <w:multiLevelType w:val="hybridMultilevel"/>
    <w:lvl w:ilvl="0">
      <w:lvlJc w:val="left"/>
      <w:lvlText w:val="2"/>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7"/>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upperLetter"/>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2019-12-08T16:58:23Z</dcterms:created>
  <dcterms:modified xsi:type="dcterms:W3CDTF">2019-12-08T16:58:23Z</dcterms:modified>
</cp:coreProperties>
</file>