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double" w:sz="24" w:space="1" w:color="000000"/>
        </w:rPr>
      </w:pPr>
      <w:bookmarkStart w:id="0" w:name="a05-13121_110q.htm"/>
      <w:bookmarkStart w:id="1" w:name="ksa0513121_110q"/>
      <w:bookmarkEnd w:id="0"/>
      <w:bookmarkEnd w:id="1"/>
      <w:r>
        <w:rPr>
          <w:bdr w:val="double" w:sz="24" w:space="1" w:color="000000"/>
        </w:rPr>
        <w:t> </w:t>
      </w:r>
    </w:p>
    <w:p>
      <w:pPr>
        <w:pStyle w:val="TextBody"/>
        <w:spacing w:before="0" w:after="0"/>
        <w:ind w:left="0" w:right="0" w:hanging="0"/>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w:t>
      </w:r>
    </w:p>
    <w:p>
      <w:pPr>
        <w:pStyle w:val="TextBody"/>
        <w:spacing w:before="0" w:after="0"/>
        <w:ind w:left="0" w:right="0" w:hanging="0"/>
        <w:jc w:val="center"/>
        <w:rPr/>
      </w:pPr>
      <w:r>
        <w:rPr/>
        <w:t> </w:t>
      </w:r>
    </w:p>
    <w:p>
      <w:pPr>
        <w:pStyle w:val="Heading4"/>
        <w:spacing w:before="0" w:after="0"/>
        <w:ind w:left="0" w:right="0" w:hanging="0"/>
        <w:rPr>
          <w:rFonts w:ascii="Times New Roman" w:hAnsi="Times New Roman"/>
          <w:b/>
          <w:sz w:val="30"/>
        </w:rPr>
      </w:pPr>
      <w:r>
        <w:rPr>
          <w:rFonts w:ascii="Times New Roman" w:hAnsi="Times New Roman"/>
          <w:b/>
          <w:sz w:val="30"/>
        </w:rPr>
        <w:t>FORM 10-Q</w:t>
      </w:r>
    </w:p>
    <w:p>
      <w:pPr>
        <w:pStyle w:val="Heading4"/>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QUARTERLY REPORT PURSUANT TO SECTION 13 OR 15(d)</w:t>
      </w:r>
    </w:p>
    <w:p>
      <w:pPr>
        <w:pStyle w:val="TextBody"/>
        <w:spacing w:before="0" w:after="0"/>
        <w:ind w:left="0" w:right="0" w:hanging="0"/>
        <w:jc w:val="center"/>
        <w:rPr>
          <w:rFonts w:ascii="Times New Roman" w:hAnsi="Times New Roman"/>
          <w:b/>
          <w:sz w:val="20"/>
        </w:rPr>
      </w:pPr>
      <w:r>
        <w:rPr>
          <w:rFonts w:ascii="Times New Roman" w:hAnsi="Times New Roman"/>
          <w:b/>
          <w:sz w:val="20"/>
        </w:rPr>
        <w:t>OF THE SECURITIES EXCHANGE ACT OF 1934</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001"/>
        <w:gridCol w:w="202"/>
        <w:gridCol w:w="5002"/>
      </w:tblGrid>
      <w:tr>
        <w:trPr/>
        <w:tc>
          <w:tcPr>
            <w:tcW w:w="5001"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For the quarterly period ended</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Commission File</w:t>
            </w:r>
          </w:p>
        </w:tc>
      </w:tr>
      <w:tr>
        <w:trPr/>
        <w:tc>
          <w:tcPr>
            <w:tcW w:w="5001"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July 2, 2005</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Number 001-16635</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NATIONAL VISION, INC.</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01"/>
        <w:gridCol w:w="202"/>
        <w:gridCol w:w="5002"/>
      </w:tblGrid>
      <w:tr>
        <w:trPr/>
        <w:tc>
          <w:tcPr>
            <w:tcW w:w="5001" w:type="dxa"/>
            <w:tcBorders/>
            <w:shd w:fill="auto" w:val="clear"/>
          </w:tcPr>
          <w:p>
            <w:pPr>
              <w:pStyle w:val="Heading5"/>
              <w:spacing w:before="0" w:after="0"/>
              <w:ind w:left="0" w:right="0" w:hanging="0"/>
              <w:rPr>
                <w:rFonts w:ascii="Times New Roman" w:hAnsi="Times New Roman"/>
                <w:b/>
                <w:sz w:val="17"/>
              </w:rPr>
            </w:pPr>
            <w:r>
              <w:rPr>
                <w:rFonts w:ascii="Times New Roman" w:hAnsi="Times New Roman"/>
                <w:b/>
                <w:sz w:val="17"/>
              </w:rPr>
              <w:t>Georgia</w:t>
            </w:r>
          </w:p>
        </w:tc>
        <w:tc>
          <w:tcPr>
            <w:tcW w:w="202" w:type="dxa"/>
            <w:tcBorders/>
            <w:shd w:fill="auto" w:val="clear"/>
            <w:vAlign w:val="bottom"/>
          </w:tcPr>
          <w:p>
            <w:pPr>
              <w:pStyle w:val="Heading5"/>
              <w:spacing w:before="0" w:after="0"/>
              <w:ind w:left="0" w:right="0" w:hanging="0"/>
              <w:jc w:val="left"/>
              <w:rPr/>
            </w:pPr>
            <w:r>
              <w:rPr/>
              <w:t> </w:t>
            </w:r>
          </w:p>
        </w:tc>
        <w:tc>
          <w:tcPr>
            <w:tcW w:w="5002" w:type="dxa"/>
            <w:tcBorders/>
            <w:shd w:fill="auto" w:val="clear"/>
          </w:tcPr>
          <w:p>
            <w:pPr>
              <w:pStyle w:val="Heading5"/>
              <w:spacing w:before="0" w:after="0"/>
              <w:ind w:left="0" w:right="0" w:hanging="0"/>
              <w:rPr>
                <w:rFonts w:ascii="Times New Roman" w:hAnsi="Times New Roman"/>
                <w:b/>
                <w:sz w:val="17"/>
              </w:rPr>
            </w:pPr>
            <w:r>
              <w:rPr>
                <w:rFonts w:ascii="Times New Roman" w:hAnsi="Times New Roman"/>
                <w:b/>
                <w:sz w:val="17"/>
              </w:rPr>
              <w:t>58-1910859</w:t>
            </w:r>
          </w:p>
        </w:tc>
      </w:tr>
      <w:tr>
        <w:trPr/>
        <w:tc>
          <w:tcPr>
            <w:tcW w:w="5001" w:type="dxa"/>
            <w:tcBorders/>
            <w:shd w:fill="auto" w:val="clear"/>
          </w:tcPr>
          <w:p>
            <w:pPr>
              <w:pStyle w:val="TableContents"/>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(State or other jurisdiction of</w:t>
              <w:br/>
              <w:t>incorporation or organization)</w:t>
            </w:r>
          </w:p>
        </w:tc>
        <w:tc>
          <w:tcPr>
            <w:tcW w:w="202" w:type="dxa"/>
            <w:tcBorders/>
            <w:shd w:fill="auto" w:val="clear"/>
            <w:vAlign w:val="bottom"/>
          </w:tcPr>
          <w:p>
            <w:pPr>
              <w:pStyle w:val="TableContents"/>
              <w:spacing w:before="0" w:after="0"/>
              <w:ind w:left="0" w:right="0" w:hanging="0"/>
              <w:jc w:val="left"/>
              <w:rPr>
                <w:caps w:val="false"/>
                <w:smallCaps w:val="false"/>
              </w:rPr>
            </w:pPr>
            <w:r>
              <w:rPr>
                <w:caps w:val="false"/>
                <w:smallCaps w:val="false"/>
              </w:rPr>
              <w:t> </w:t>
            </w:r>
          </w:p>
        </w:tc>
        <w:tc>
          <w:tcPr>
            <w:tcW w:w="5002" w:type="dxa"/>
            <w:tcBorders/>
            <w:shd w:fill="auto" w:val="clear"/>
          </w:tcPr>
          <w:p>
            <w:pPr>
              <w:pStyle w:val="TableContents"/>
              <w:spacing w:before="0" w:after="0"/>
              <w:ind w:left="0" w:right="0" w:hanging="0"/>
              <w:rPr>
                <w:i/>
                <w:sz w:val="17"/>
              </w:rPr>
            </w:pPr>
            <w:r>
              <w:rPr>
                <w:rFonts w:ascii="Times New Roman" w:hAnsi="Times New Roman"/>
                <w:i w:val="false"/>
                <w:caps w:val="false"/>
                <w:smallCaps w:val="false"/>
                <w:sz w:val="17"/>
              </w:rPr>
              <w:t>(I.R.S. Employer</w:t>
              <w:br/>
            </w:r>
            <w:r>
              <w:rPr>
                <w:i w:val="false"/>
                <w:caps w:val="false"/>
                <w:smallCaps w:val="false"/>
                <w:sz w:val="17"/>
              </w:rPr>
              <w:t>Identification No.)</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01"/>
        <w:gridCol w:w="202"/>
        <w:gridCol w:w="5002"/>
      </w:tblGrid>
      <w:tr>
        <w:trPr/>
        <w:tc>
          <w:tcPr>
            <w:tcW w:w="5001" w:type="dxa"/>
            <w:tcBorders/>
            <w:shd w:fill="auto" w:val="clear"/>
          </w:tcPr>
          <w:p>
            <w:pPr>
              <w:pStyle w:val="Heading5"/>
              <w:spacing w:before="0" w:after="0"/>
              <w:ind w:left="0" w:right="0" w:hanging="0"/>
              <w:rPr>
                <w:sz w:val="17"/>
              </w:rPr>
            </w:pPr>
            <w:r>
              <w:rPr>
                <w:rFonts w:ascii="Times New Roman" w:hAnsi="Times New Roman"/>
                <w:b/>
                <w:sz w:val="17"/>
              </w:rPr>
              <w:t>296 Grayson Highway</w:t>
              <w:br/>
            </w:r>
            <w:r>
              <w:rPr>
                <w:sz w:val="17"/>
              </w:rPr>
              <w:t>Lawrenceville, Georgia</w:t>
            </w:r>
          </w:p>
        </w:tc>
        <w:tc>
          <w:tcPr>
            <w:tcW w:w="202" w:type="dxa"/>
            <w:tcBorders/>
            <w:shd w:fill="auto" w:val="clear"/>
            <w:vAlign w:val="bottom"/>
          </w:tcPr>
          <w:p>
            <w:pPr>
              <w:pStyle w:val="Heading5"/>
              <w:spacing w:before="0" w:after="0"/>
              <w:ind w:left="0" w:right="0" w:hanging="0"/>
              <w:jc w:val="left"/>
              <w:rPr/>
            </w:pPr>
            <w:r>
              <w:rPr/>
              <w:t> </w:t>
            </w:r>
          </w:p>
        </w:tc>
        <w:tc>
          <w:tcPr>
            <w:tcW w:w="5002" w:type="dxa"/>
            <w:tcBorders/>
            <w:shd w:fill="auto" w:val="clear"/>
            <w:vAlign w:val="bottom"/>
          </w:tcPr>
          <w:p>
            <w:pPr>
              <w:pStyle w:val="Heading5"/>
              <w:spacing w:before="0" w:after="0"/>
              <w:ind w:left="0" w:right="0" w:hanging="0"/>
              <w:rPr>
                <w:rFonts w:ascii="Times New Roman" w:hAnsi="Times New Roman"/>
                <w:b/>
                <w:sz w:val="17"/>
              </w:rPr>
            </w:pPr>
            <w:r>
              <w:rPr>
                <w:rFonts w:ascii="Times New Roman" w:hAnsi="Times New Roman"/>
                <w:b/>
                <w:sz w:val="17"/>
              </w:rPr>
              <w:t>30045</w:t>
            </w:r>
          </w:p>
        </w:tc>
      </w:tr>
      <w:tr>
        <w:trPr/>
        <w:tc>
          <w:tcPr>
            <w:tcW w:w="5001" w:type="dxa"/>
            <w:tcBorders/>
            <w:shd w:fill="auto" w:val="clear"/>
          </w:tcPr>
          <w:p>
            <w:pPr>
              <w:pStyle w:val="TableContents"/>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(Address of principal executive offices)</w:t>
            </w:r>
          </w:p>
        </w:tc>
        <w:tc>
          <w:tcPr>
            <w:tcW w:w="202" w:type="dxa"/>
            <w:tcBorders/>
            <w:shd w:fill="auto" w:val="clear"/>
            <w:vAlign w:val="bottom"/>
          </w:tcPr>
          <w:p>
            <w:pPr>
              <w:pStyle w:val="TableContents"/>
              <w:spacing w:before="0" w:after="0"/>
              <w:ind w:left="0" w:right="0" w:hanging="0"/>
              <w:jc w:val="left"/>
              <w:rPr>
                <w:caps w:val="false"/>
                <w:smallCaps w:val="false"/>
              </w:rPr>
            </w:pPr>
            <w:r>
              <w:rPr>
                <w:caps w:val="false"/>
                <w:smallCaps w:val="false"/>
              </w:rPr>
              <w:t> </w:t>
            </w:r>
          </w:p>
        </w:tc>
        <w:tc>
          <w:tcPr>
            <w:tcW w:w="5002" w:type="dxa"/>
            <w:tcBorders/>
            <w:shd w:fill="auto" w:val="clear"/>
          </w:tcPr>
          <w:p>
            <w:pPr>
              <w:pStyle w:val="TableContents"/>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(Zip Code)</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(770) 822-3600</w:t>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spacing w:before="0" w:after="0"/>
        <w:ind w:left="0" w:right="0" w:hanging="0"/>
        <w:jc w:val="left"/>
        <w:rPr/>
      </w:pPr>
      <w:r>
        <w:rPr/>
        <w:t> </w:t>
      </w:r>
    </w:p>
    <w:tbl>
      <w:tblPr>
        <w:tblW w:w="1000" w:type="pct"/>
        <w:jc w:val="center"/>
        <w:tblInd w:w="0" w:type="dxa"/>
        <w:tblCellMar>
          <w:top w:w="0" w:type="dxa"/>
          <w:left w:w="0" w:type="dxa"/>
          <w:bottom w:w="0" w:type="dxa"/>
          <w:right w:w="0" w:type="dxa"/>
        </w:tblCellMar>
      </w:tblPr>
      <w:tblGrid>
        <w:gridCol w:w="948"/>
        <w:gridCol w:w="247"/>
        <w:gridCol w:w="846"/>
      </w:tblGrid>
      <w:tr>
        <w:trPr/>
        <w:tc>
          <w:tcPr>
            <w:tcW w:w="948" w:type="dxa"/>
            <w:tcBorders/>
            <w:shd w:fill="auto" w:val="clear"/>
          </w:tcPr>
          <w:p>
            <w:pPr>
              <w:pStyle w:val="TableContents"/>
              <w:spacing w:before="0" w:after="0"/>
              <w:ind w:left="0" w:right="0" w:hanging="0"/>
              <w:rPr>
                <w:sz w:val="17"/>
              </w:rPr>
            </w:pPr>
            <w:r>
              <w:rPr>
                <w:rFonts w:ascii="Times New Roman" w:hAnsi="Times New Roman"/>
                <w:sz w:val="17"/>
              </w:rPr>
              <w:t xml:space="preserve">YES </w:t>
            </w:r>
            <w:r>
              <w:rPr>
                <w:sz w:val="17"/>
              </w:rPr>
              <w:t>☒</w:t>
            </w:r>
          </w:p>
        </w:tc>
        <w:tc>
          <w:tcPr>
            <w:tcW w:w="247" w:type="dxa"/>
            <w:tcBorders/>
            <w:shd w:fill="auto" w:val="clear"/>
            <w:vAlign w:val="bottom"/>
          </w:tcPr>
          <w:p>
            <w:pPr>
              <w:pStyle w:val="TableContents"/>
              <w:spacing w:before="0" w:after="0"/>
              <w:ind w:left="0" w:right="0" w:hanging="0"/>
              <w:rPr/>
            </w:pPr>
            <w:r>
              <w:rPr/>
              <w:t> </w:t>
            </w:r>
          </w:p>
        </w:tc>
        <w:tc>
          <w:tcPr>
            <w:tcW w:w="846" w:type="dxa"/>
            <w:tcBorders/>
            <w:shd w:fill="auto" w:val="clear"/>
          </w:tcPr>
          <w:p>
            <w:pPr>
              <w:pStyle w:val="TableContents"/>
              <w:spacing w:before="0" w:after="0"/>
              <w:ind w:left="0" w:right="0" w:hanging="0"/>
              <w:jc w:val="right"/>
              <w:rPr>
                <w:sz w:val="17"/>
              </w:rPr>
            </w:pPr>
            <w:r>
              <w:rPr>
                <w:rFonts w:ascii="Times New Roman" w:hAnsi="Times New Roman"/>
                <w:sz w:val="17"/>
              </w:rPr>
              <w:t xml:space="preserve">NO </w:t>
            </w:r>
            <w:r>
              <w:rPr>
                <w:rFonts w:ascii="Wingdings" w:hAnsi="Wingdings"/>
                <w:sz w:val="17"/>
              </w:rPr>
              <w:t>o</w:t>
            </w:r>
          </w:p>
        </w:tc>
      </w:tr>
    </w:tbl>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Indicate by check mark whether the registrant is an accelerated filer (as defined by Exchange Act Rule 12b-2).</w:t>
      </w:r>
    </w:p>
    <w:p>
      <w:pPr>
        <w:pStyle w:val="TextBody"/>
        <w:spacing w:before="0" w:after="0"/>
        <w:ind w:left="0" w:right="0" w:hanging="0"/>
        <w:rPr/>
      </w:pPr>
      <w:r>
        <w:rPr/>
        <w:t> </w:t>
      </w:r>
    </w:p>
    <w:tbl>
      <w:tblPr>
        <w:tblW w:w="1000" w:type="pct"/>
        <w:jc w:val="center"/>
        <w:tblInd w:w="0" w:type="dxa"/>
        <w:tblCellMar>
          <w:top w:w="0" w:type="dxa"/>
          <w:left w:w="0" w:type="dxa"/>
          <w:bottom w:w="0" w:type="dxa"/>
          <w:right w:w="0" w:type="dxa"/>
        </w:tblCellMar>
      </w:tblPr>
      <w:tblGrid>
        <w:gridCol w:w="948"/>
        <w:gridCol w:w="247"/>
        <w:gridCol w:w="846"/>
      </w:tblGrid>
      <w:tr>
        <w:trPr/>
        <w:tc>
          <w:tcPr>
            <w:tcW w:w="948" w:type="dxa"/>
            <w:tcBorders/>
            <w:shd w:fill="auto" w:val="clear"/>
          </w:tcPr>
          <w:p>
            <w:pPr>
              <w:pStyle w:val="TableContents"/>
              <w:spacing w:before="0" w:after="0"/>
              <w:ind w:left="0" w:right="0" w:hanging="0"/>
              <w:rPr>
                <w:sz w:val="17"/>
              </w:rPr>
            </w:pPr>
            <w:r>
              <w:rPr>
                <w:rFonts w:ascii="Times New Roman" w:hAnsi="Times New Roman"/>
                <w:sz w:val="17"/>
              </w:rPr>
              <w:t xml:space="preserve">YES </w:t>
            </w:r>
            <w:r>
              <w:rPr>
                <w:rFonts w:ascii="Wingdings" w:hAnsi="Wingdings"/>
                <w:sz w:val="17"/>
              </w:rPr>
              <w:t>o</w:t>
            </w:r>
          </w:p>
        </w:tc>
        <w:tc>
          <w:tcPr>
            <w:tcW w:w="247" w:type="dxa"/>
            <w:tcBorders/>
            <w:shd w:fill="auto" w:val="clear"/>
            <w:vAlign w:val="bottom"/>
          </w:tcPr>
          <w:p>
            <w:pPr>
              <w:pStyle w:val="TableContents"/>
              <w:spacing w:before="0" w:after="0"/>
              <w:ind w:left="0" w:right="0" w:hanging="0"/>
              <w:rPr/>
            </w:pPr>
            <w:r>
              <w:rPr/>
              <w:t> </w:t>
            </w:r>
          </w:p>
        </w:tc>
        <w:tc>
          <w:tcPr>
            <w:tcW w:w="846" w:type="dxa"/>
            <w:tcBorders/>
            <w:shd w:fill="auto" w:val="clear"/>
          </w:tcPr>
          <w:p>
            <w:pPr>
              <w:pStyle w:val="TableContents"/>
              <w:spacing w:before="0" w:after="0"/>
              <w:ind w:left="0" w:right="0" w:hanging="0"/>
              <w:jc w:val="right"/>
              <w:rPr>
                <w:sz w:val="17"/>
              </w:rPr>
            </w:pPr>
            <w:r>
              <w:rPr>
                <w:rFonts w:ascii="Times New Roman" w:hAnsi="Times New Roman"/>
                <w:sz w:val="17"/>
              </w:rPr>
              <w:t xml:space="preserve">NO </w:t>
            </w:r>
            <w:r>
              <w:rPr>
                <w:sz w:val="17"/>
              </w:rPr>
              <w:t>☒</w:t>
            </w:r>
          </w:p>
        </w:tc>
      </w:tr>
    </w:tbl>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Indicate by check mark whether the registrant has filed all documents and reports required to be filed by Section 12, 13 or 15(d) of the Securities Exchange Act of 1934 subsequent to the distribution of securities under a plan confirmed by a court.</w:t>
      </w:r>
    </w:p>
    <w:p>
      <w:pPr>
        <w:pStyle w:val="TextBody"/>
        <w:spacing w:before="0" w:after="0"/>
        <w:ind w:left="0" w:right="0" w:hanging="0"/>
        <w:rPr/>
      </w:pPr>
      <w:r>
        <w:rPr/>
        <w:t> </w:t>
      </w:r>
    </w:p>
    <w:tbl>
      <w:tblPr>
        <w:tblW w:w="1000" w:type="pct"/>
        <w:jc w:val="center"/>
        <w:tblInd w:w="0" w:type="dxa"/>
        <w:tblCellMar>
          <w:top w:w="0" w:type="dxa"/>
          <w:left w:w="0" w:type="dxa"/>
          <w:bottom w:w="0" w:type="dxa"/>
          <w:right w:w="0" w:type="dxa"/>
        </w:tblCellMar>
      </w:tblPr>
      <w:tblGrid>
        <w:gridCol w:w="948"/>
        <w:gridCol w:w="247"/>
        <w:gridCol w:w="846"/>
      </w:tblGrid>
      <w:tr>
        <w:trPr/>
        <w:tc>
          <w:tcPr>
            <w:tcW w:w="948" w:type="dxa"/>
            <w:tcBorders/>
            <w:shd w:fill="auto" w:val="clear"/>
          </w:tcPr>
          <w:p>
            <w:pPr>
              <w:pStyle w:val="TableContents"/>
              <w:spacing w:before="0" w:after="0"/>
              <w:ind w:left="0" w:right="0" w:hanging="0"/>
              <w:rPr>
                <w:sz w:val="17"/>
              </w:rPr>
            </w:pPr>
            <w:r>
              <w:rPr>
                <w:rFonts w:ascii="Times New Roman" w:hAnsi="Times New Roman"/>
                <w:sz w:val="17"/>
              </w:rPr>
              <w:t xml:space="preserve">YES </w:t>
            </w:r>
            <w:r>
              <w:rPr>
                <w:sz w:val="17"/>
              </w:rPr>
              <w:t>☒</w:t>
            </w:r>
          </w:p>
        </w:tc>
        <w:tc>
          <w:tcPr>
            <w:tcW w:w="247" w:type="dxa"/>
            <w:tcBorders/>
            <w:shd w:fill="auto" w:val="clear"/>
            <w:vAlign w:val="bottom"/>
          </w:tcPr>
          <w:p>
            <w:pPr>
              <w:pStyle w:val="TableContents"/>
              <w:spacing w:before="0" w:after="0"/>
              <w:ind w:left="0" w:right="0" w:hanging="0"/>
              <w:rPr/>
            </w:pPr>
            <w:r>
              <w:rPr/>
              <w:t> </w:t>
            </w:r>
          </w:p>
        </w:tc>
        <w:tc>
          <w:tcPr>
            <w:tcW w:w="846" w:type="dxa"/>
            <w:tcBorders/>
            <w:shd w:fill="auto" w:val="clear"/>
          </w:tcPr>
          <w:p>
            <w:pPr>
              <w:pStyle w:val="TableContents"/>
              <w:spacing w:before="0" w:after="0"/>
              <w:ind w:left="0" w:right="0" w:hanging="0"/>
              <w:jc w:val="right"/>
              <w:rPr>
                <w:sz w:val="17"/>
              </w:rPr>
            </w:pPr>
            <w:r>
              <w:rPr>
                <w:rFonts w:ascii="Times New Roman" w:hAnsi="Times New Roman"/>
                <w:sz w:val="17"/>
              </w:rPr>
              <w:t xml:space="preserve">NO </w:t>
            </w:r>
            <w:r>
              <w:rPr>
                <w:rFonts w:ascii="Wingdings" w:hAnsi="Wingdings"/>
                <w:sz w:val="17"/>
              </w:rPr>
              <w:t>o</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number of shares of Common Stock of the registrant outstanding as of August 10, 2005 was 5,460,668.</w:t>
      </w:r>
    </w:p>
    <w:p>
      <w:pPr>
        <w:pStyle w:val="TextBody"/>
        <w:pBdr/>
        <w:spacing w:before="0" w:after="0"/>
        <w:ind w:left="0" w:right="0" w:hanging="0"/>
        <w:rPr>
          <w:bdr w:val="double" w:sz="24" w:space="1" w:color="000000"/>
        </w:rPr>
      </w:pPr>
      <w:r>
        <w:rPr>
          <w:bdr w:val="double" w:sz="24" w:space="1" w:color="000000"/>
        </w:rPr>
        <w:t> </w:t>
      </w:r>
    </w:p>
    <w:p>
      <w:pPr>
        <w:pStyle w:val="TextBody"/>
        <w:spacing w:before="0" w:after="0"/>
        <w:ind w:left="0" w:right="0" w:hanging="0"/>
        <w:rPr/>
      </w:pPr>
      <w:r>
        <w:rPr/>
        <w:t> </w:t>
      </w:r>
    </w:p>
    <w:p>
      <w:pPr>
        <w:pStyle w:val="HorizontalLine"/>
        <w:pBdr>
          <w:bottom w:val="single" w:sz="12"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FORM 10-Q INDEX</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133"/>
        <w:gridCol w:w="8351"/>
        <w:gridCol w:w="721"/>
      </w:tblGrid>
      <w:tr>
        <w:trPr/>
        <w:tc>
          <w:tcPr>
            <w:tcW w:w="1133" w:type="dxa"/>
            <w:tcBorders/>
            <w:shd w:fill="auto" w:val="clear"/>
          </w:tcPr>
          <w:p>
            <w:pPr>
              <w:pStyle w:val="TableContents"/>
              <w:spacing w:before="0" w:after="0"/>
              <w:ind w:left="0" w:right="0" w:hanging="0"/>
              <w:rPr/>
            </w:pPr>
            <w:r>
              <w:rPr/>
              <w:t> </w:t>
            </w:r>
          </w:p>
        </w:tc>
        <w:tc>
          <w:tcPr>
            <w:tcW w:w="8351" w:type="dxa"/>
            <w:tcBorders/>
            <w:shd w:fill="auto" w:val="clear"/>
          </w:tcPr>
          <w:p>
            <w:pPr>
              <w:pStyle w:val="TableContents"/>
              <w:spacing w:before="0" w:after="0"/>
              <w:ind w:left="0" w:right="0" w:hanging="0"/>
              <w:rPr>
                <w:strike w:val="false"/>
                <w:dstrike w:val="false"/>
                <w:u w:val="none"/>
                <w:effect w:val="none"/>
              </w:rPr>
            </w:pPr>
            <w:r>
              <w:rPr>
                <w:strike w:val="false"/>
                <w:dstrike w:val="false"/>
                <w:u w:val="none"/>
                <w:effect w:val="none"/>
              </w:rPr>
              <w:t> </w:t>
            </w:r>
          </w:p>
        </w:tc>
        <w:tc>
          <w:tcPr>
            <w:tcW w:w="721" w:type="dxa"/>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b/>
                <w:sz w:val="13"/>
              </w:rPr>
            </w:pPr>
            <w:r>
              <w:rPr>
                <w:rFonts w:ascii="Times New Roman" w:hAnsi="Times New Roman"/>
                <w:b/>
                <w:sz w:val="13"/>
              </w:rPr>
              <w:t>Page</w:t>
            </w:r>
          </w:p>
        </w:tc>
      </w:tr>
      <w:tr>
        <w:trPr/>
        <w:tc>
          <w:tcPr>
            <w:tcW w:w="1133" w:type="dxa"/>
            <w:tcBorders/>
            <w:shd w:fill="auto" w:val="clear"/>
          </w:tcPr>
          <w:p>
            <w:pPr>
              <w:pStyle w:val="TableContents"/>
              <w:spacing w:before="0" w:after="0"/>
              <w:ind w:left="0" w:right="0" w:hanging="0"/>
              <w:rPr/>
            </w:pPr>
            <w:hyperlink w:anchor="Parti_102256">
              <w:r>
                <w:rPr>
                  <w:rStyle w:val="InternetLink"/>
                  <w:rFonts w:ascii="Times New Roman" w:hAnsi="Times New Roman"/>
                  <w:b/>
                  <w:sz w:val="17"/>
                </w:rPr>
                <w:t>PART I</w:t>
              </w:r>
            </w:hyperlink>
          </w:p>
        </w:tc>
        <w:tc>
          <w:tcPr>
            <w:tcW w:w="8351" w:type="dxa"/>
            <w:tcBorders/>
            <w:shd w:fill="auto" w:val="clear"/>
          </w:tcPr>
          <w:p>
            <w:pPr>
              <w:pStyle w:val="TableContents"/>
              <w:spacing w:before="0" w:after="0"/>
              <w:ind w:left="0" w:right="0" w:hanging="0"/>
              <w:rPr/>
            </w:pPr>
            <w:hyperlink w:anchor="Parti_102256">
              <w:r>
                <w:rPr>
                  <w:rStyle w:val="InternetLink"/>
                  <w:rFonts w:ascii="Times New Roman" w:hAnsi="Times New Roman"/>
                  <w:b/>
                  <w:sz w:val="17"/>
                  <w:u w:val="single"/>
                </w:rPr>
                <w:t>FINANCIAL INFORMATION</w:t>
              </w:r>
            </w:hyperlink>
          </w:p>
        </w:tc>
        <w:tc>
          <w:tcPr>
            <w:tcW w:w="721"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pPr>
            <w:r>
              <w:rPr/>
              <w:t> </w:t>
            </w:r>
          </w:p>
        </w:tc>
        <w:tc>
          <w:tcPr>
            <w:tcW w:w="8351" w:type="dxa"/>
            <w:tcBorders/>
            <w:shd w:fill="auto" w:val="clear"/>
          </w:tcPr>
          <w:p>
            <w:pPr>
              <w:pStyle w:val="TableContents"/>
              <w:spacing w:before="0" w:after="0"/>
              <w:ind w:left="0" w:right="0" w:hanging="0"/>
              <w:rPr/>
            </w:pPr>
            <w:r>
              <w:rPr/>
              <w:t> </w:t>
            </w:r>
          </w:p>
        </w:tc>
        <w:tc>
          <w:tcPr>
            <w:tcW w:w="721"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pPr>
            <w:hyperlink w:anchor="Item1_FinancialStatements_102259">
              <w:r>
                <w:rPr>
                  <w:rStyle w:val="InternetLink"/>
                  <w:rFonts w:ascii="Times New Roman" w:hAnsi="Times New Roman"/>
                  <w:b/>
                  <w:sz w:val="17"/>
                </w:rPr>
                <w:t>Item 1.</w:t>
              </w:r>
            </w:hyperlink>
          </w:p>
        </w:tc>
        <w:tc>
          <w:tcPr>
            <w:tcW w:w="8351" w:type="dxa"/>
            <w:tcBorders/>
            <w:shd w:fill="auto" w:val="clear"/>
          </w:tcPr>
          <w:p>
            <w:pPr>
              <w:pStyle w:val="TableContents"/>
              <w:spacing w:before="0" w:after="0"/>
              <w:ind w:left="0" w:right="0" w:hanging="0"/>
              <w:rPr/>
            </w:pPr>
            <w:hyperlink w:anchor="Item1_FinancialStatements_102259">
              <w:r>
                <w:rPr>
                  <w:rStyle w:val="InternetLink"/>
                  <w:rFonts w:ascii="Times New Roman" w:hAnsi="Times New Roman"/>
                  <w:b/>
                  <w:sz w:val="17"/>
                </w:rPr>
                <w:t>Financial Statements </w:t>
              </w:r>
            </w:hyperlink>
          </w:p>
        </w:tc>
        <w:tc>
          <w:tcPr>
            <w:tcW w:w="721"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pPr>
            <w:r>
              <w:rPr/>
              <w:t> </w:t>
            </w:r>
          </w:p>
        </w:tc>
        <w:tc>
          <w:tcPr>
            <w:tcW w:w="8351" w:type="dxa"/>
            <w:tcBorders/>
            <w:shd w:fill="auto" w:val="clear"/>
          </w:tcPr>
          <w:p>
            <w:pPr>
              <w:pStyle w:val="TableContents"/>
              <w:spacing w:before="0" w:after="0"/>
              <w:ind w:left="0" w:right="0" w:hanging="0"/>
              <w:rPr/>
            </w:pPr>
            <w:r>
              <w:rPr/>
              <w:t> </w:t>
            </w:r>
          </w:p>
        </w:tc>
        <w:tc>
          <w:tcPr>
            <w:tcW w:w="721"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pPr>
            <w:r>
              <w:rPr/>
              <w:t> </w:t>
            </w:r>
          </w:p>
        </w:tc>
        <w:tc>
          <w:tcPr>
            <w:tcW w:w="8351" w:type="dxa"/>
            <w:tcBorders/>
            <w:shd w:fill="auto" w:val="clear"/>
          </w:tcPr>
          <w:p>
            <w:pPr>
              <w:pStyle w:val="TableContents"/>
              <w:spacing w:before="0" w:after="0"/>
              <w:ind w:left="0" w:right="0" w:hanging="0"/>
              <w:rPr/>
            </w:pPr>
            <w:hyperlink w:anchor="CondensedConsolidatedBalanceSheet_102302">
              <w:r>
                <w:rPr>
                  <w:rStyle w:val="InternetLink"/>
                  <w:rFonts w:ascii="Times New Roman" w:hAnsi="Times New Roman"/>
                  <w:sz w:val="17"/>
                </w:rPr>
                <w:t>Condensed Consolidated Balance Sheets</w:t>
                <w:br/>
                <w:t>July 2, 2005 (unaudited) and January 1, 2005</w:t>
              </w:r>
            </w:hyperlink>
          </w:p>
        </w:tc>
        <w:tc>
          <w:tcPr>
            <w:tcW w:w="721" w:type="dxa"/>
            <w:tcBorders/>
            <w:shd w:fill="auto" w:val="clear"/>
            <w:vAlign w:val="bottom"/>
          </w:tcPr>
          <w:p>
            <w:pPr>
              <w:pStyle w:val="TableContents"/>
              <w:spacing w:before="0" w:after="0"/>
              <w:ind w:left="0" w:right="0" w:hanging="0"/>
              <w:jc w:val="right"/>
              <w:rPr/>
            </w:pPr>
            <w:hyperlink w:anchor="CondensedConsolidatedBalanceSheet_102302">
              <w:r>
                <w:rPr>
                  <w:rStyle w:val="InternetLink"/>
                  <w:rFonts w:ascii="Times New Roman" w:hAnsi="Times New Roman"/>
                  <w:sz w:val="17"/>
                </w:rPr>
                <w:t>3-4</w:t>
              </w:r>
            </w:hyperlink>
          </w:p>
        </w:tc>
      </w:tr>
      <w:tr>
        <w:trPr/>
        <w:tc>
          <w:tcPr>
            <w:tcW w:w="1133" w:type="dxa"/>
            <w:tcBorders/>
            <w:shd w:fill="auto" w:val="clear"/>
          </w:tcPr>
          <w:p>
            <w:pPr>
              <w:pStyle w:val="TableContents"/>
              <w:spacing w:before="0" w:after="0"/>
              <w:ind w:left="0" w:right="0" w:hanging="0"/>
              <w:rPr/>
            </w:pPr>
            <w:r>
              <w:rPr/>
              <w:t> </w:t>
            </w:r>
          </w:p>
        </w:tc>
        <w:tc>
          <w:tcPr>
            <w:tcW w:w="8351" w:type="dxa"/>
            <w:tcBorders/>
            <w:shd w:fill="auto" w:val="clear"/>
          </w:tcPr>
          <w:p>
            <w:pPr>
              <w:pStyle w:val="TableContents"/>
              <w:spacing w:before="0" w:after="0"/>
              <w:ind w:left="0" w:right="0" w:hanging="0"/>
              <w:rPr/>
            </w:pPr>
            <w:r>
              <w:rPr/>
              <w:t> </w:t>
            </w:r>
          </w:p>
        </w:tc>
        <w:tc>
          <w:tcPr>
            <w:tcW w:w="721" w:type="dxa"/>
            <w:tcBorders/>
            <w:shd w:fill="auto" w:val="clear"/>
            <w:vAlign w:val="bottom"/>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r>
              <w:rPr/>
              <w:t> </w:t>
            </w:r>
          </w:p>
        </w:tc>
        <w:tc>
          <w:tcPr>
            <w:tcW w:w="8351" w:type="dxa"/>
            <w:tcBorders/>
            <w:shd w:fill="auto" w:val="clear"/>
          </w:tcPr>
          <w:p>
            <w:pPr>
              <w:pStyle w:val="TableContents"/>
              <w:spacing w:before="0" w:after="0"/>
              <w:ind w:left="0" w:right="0" w:hanging="0"/>
              <w:rPr/>
            </w:pPr>
            <w:hyperlink w:anchor="CondensedConsolidatedStatementsOf_102310">
              <w:r>
                <w:rPr>
                  <w:rStyle w:val="InternetLink"/>
                  <w:rFonts w:ascii="Times New Roman" w:hAnsi="Times New Roman"/>
                  <w:sz w:val="17"/>
                </w:rPr>
                <w:t>Condensed Consolidated Statements of Operations (unaudited)</w:t>
                <w:br/>
                <w:t>Three and Six-Month Periods Ended July 2, 2005 and July 3, 2004</w:t>
              </w:r>
            </w:hyperlink>
          </w:p>
        </w:tc>
        <w:tc>
          <w:tcPr>
            <w:tcW w:w="721" w:type="dxa"/>
            <w:tcBorders/>
            <w:shd w:fill="auto" w:val="clear"/>
            <w:vAlign w:val="bottom"/>
          </w:tcPr>
          <w:p>
            <w:pPr>
              <w:pStyle w:val="TableContents"/>
              <w:spacing w:before="0" w:after="0"/>
              <w:ind w:left="0" w:right="0" w:hanging="0"/>
              <w:jc w:val="right"/>
              <w:rPr/>
            </w:pPr>
            <w:hyperlink w:anchor="CondensedConsolidatedStatementsOf_102310">
              <w:r>
                <w:rPr>
                  <w:rStyle w:val="InternetLink"/>
                  <w:rFonts w:ascii="Times New Roman" w:hAnsi="Times New Roman"/>
                  <w:sz w:val="17"/>
                </w:rPr>
                <w:t>5</w:t>
              </w:r>
            </w:hyperlink>
          </w:p>
        </w:tc>
      </w:tr>
      <w:tr>
        <w:trPr/>
        <w:tc>
          <w:tcPr>
            <w:tcW w:w="1133" w:type="dxa"/>
            <w:tcBorders/>
            <w:shd w:fill="auto" w:val="clear"/>
          </w:tcPr>
          <w:p>
            <w:pPr>
              <w:pStyle w:val="TableContents"/>
              <w:spacing w:before="0" w:after="0"/>
              <w:ind w:left="0" w:right="0" w:hanging="0"/>
              <w:rPr/>
            </w:pPr>
            <w:r>
              <w:rPr/>
              <w:t> </w:t>
            </w:r>
          </w:p>
        </w:tc>
        <w:tc>
          <w:tcPr>
            <w:tcW w:w="8351" w:type="dxa"/>
            <w:tcBorders/>
            <w:shd w:fill="auto" w:val="clear"/>
          </w:tcPr>
          <w:p>
            <w:pPr>
              <w:pStyle w:val="TableContents"/>
              <w:spacing w:before="0" w:after="0"/>
              <w:ind w:left="0" w:right="0" w:hanging="0"/>
              <w:rPr/>
            </w:pPr>
            <w:r>
              <w:rPr/>
              <w:t> </w:t>
            </w:r>
          </w:p>
        </w:tc>
        <w:tc>
          <w:tcPr>
            <w:tcW w:w="721" w:type="dxa"/>
            <w:tcBorders/>
            <w:shd w:fill="auto" w:val="clear"/>
            <w:vAlign w:val="bottom"/>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r>
              <w:rPr/>
              <w:t> </w:t>
            </w:r>
          </w:p>
        </w:tc>
        <w:tc>
          <w:tcPr>
            <w:tcW w:w="8351" w:type="dxa"/>
            <w:tcBorders/>
            <w:shd w:fill="auto" w:val="clear"/>
          </w:tcPr>
          <w:p>
            <w:pPr>
              <w:pStyle w:val="TableContents"/>
              <w:spacing w:before="0" w:after="0"/>
              <w:ind w:left="0" w:right="0" w:hanging="0"/>
              <w:rPr/>
            </w:pPr>
            <w:hyperlink w:anchor="CondensedConsolidatedStatementsOf_102314">
              <w:r>
                <w:rPr>
                  <w:rStyle w:val="InternetLink"/>
                  <w:rFonts w:ascii="Times New Roman" w:hAnsi="Times New Roman"/>
                  <w:sz w:val="17"/>
                </w:rPr>
                <w:t>Condensed Consolidated Statements of Cash Flows (unaudited)</w:t>
                <w:br/>
                <w:t>Three and Six-Month Periods Ended July 2, 2005 and July 3, 2004</w:t>
              </w:r>
            </w:hyperlink>
          </w:p>
        </w:tc>
        <w:tc>
          <w:tcPr>
            <w:tcW w:w="721" w:type="dxa"/>
            <w:tcBorders/>
            <w:shd w:fill="auto" w:val="clear"/>
            <w:vAlign w:val="bottom"/>
          </w:tcPr>
          <w:p>
            <w:pPr>
              <w:pStyle w:val="TableContents"/>
              <w:spacing w:before="0" w:after="0"/>
              <w:ind w:left="0" w:right="0" w:hanging="0"/>
              <w:jc w:val="right"/>
              <w:rPr/>
            </w:pPr>
            <w:hyperlink w:anchor="CondensedConsolidatedStatementsOf_102314">
              <w:r>
                <w:rPr>
                  <w:rStyle w:val="InternetLink"/>
                  <w:rFonts w:ascii="Times New Roman" w:hAnsi="Times New Roman"/>
                  <w:sz w:val="17"/>
                </w:rPr>
                <w:t>6</w:t>
              </w:r>
            </w:hyperlink>
          </w:p>
        </w:tc>
      </w:tr>
      <w:tr>
        <w:trPr/>
        <w:tc>
          <w:tcPr>
            <w:tcW w:w="1133" w:type="dxa"/>
            <w:tcBorders/>
            <w:shd w:fill="auto" w:val="clear"/>
          </w:tcPr>
          <w:p>
            <w:pPr>
              <w:pStyle w:val="TableContents"/>
              <w:spacing w:before="0" w:after="0"/>
              <w:ind w:left="0" w:right="0" w:hanging="0"/>
              <w:rPr/>
            </w:pPr>
            <w:r>
              <w:rPr/>
              <w:t> </w:t>
            </w:r>
          </w:p>
        </w:tc>
        <w:tc>
          <w:tcPr>
            <w:tcW w:w="8351" w:type="dxa"/>
            <w:tcBorders/>
            <w:shd w:fill="auto" w:val="clear"/>
          </w:tcPr>
          <w:p>
            <w:pPr>
              <w:pStyle w:val="TableContents"/>
              <w:spacing w:before="0" w:after="0"/>
              <w:ind w:left="0" w:right="0" w:hanging="0"/>
              <w:rPr/>
            </w:pPr>
            <w:r>
              <w:rPr/>
              <w:t> </w:t>
            </w:r>
          </w:p>
        </w:tc>
        <w:tc>
          <w:tcPr>
            <w:tcW w:w="721" w:type="dxa"/>
            <w:tcBorders/>
            <w:shd w:fill="auto" w:val="clear"/>
            <w:vAlign w:val="bottom"/>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r>
              <w:rPr/>
              <w:t> </w:t>
            </w:r>
          </w:p>
        </w:tc>
        <w:tc>
          <w:tcPr>
            <w:tcW w:w="8351" w:type="dxa"/>
            <w:tcBorders/>
            <w:shd w:fill="auto" w:val="clear"/>
          </w:tcPr>
          <w:p>
            <w:pPr>
              <w:pStyle w:val="TableContents"/>
              <w:spacing w:before="0" w:after="0"/>
              <w:ind w:left="0" w:right="0" w:hanging="0"/>
              <w:rPr/>
            </w:pPr>
            <w:hyperlink w:anchor="NotesToCondensedConsolidatedFinan_102402">
              <w:r>
                <w:rPr>
                  <w:rStyle w:val="InternetLink"/>
                  <w:rFonts w:ascii="Times New Roman" w:hAnsi="Times New Roman"/>
                  <w:b/>
                  <w:sz w:val="17"/>
                </w:rPr>
                <w:t>Notes to Condensed Consolidated Financial Statements (unaudited)</w:t>
              </w:r>
            </w:hyperlink>
          </w:p>
        </w:tc>
        <w:tc>
          <w:tcPr>
            <w:tcW w:w="721" w:type="dxa"/>
            <w:tcBorders/>
            <w:shd w:fill="auto" w:val="clear"/>
            <w:vAlign w:val="bottom"/>
          </w:tcPr>
          <w:p>
            <w:pPr>
              <w:pStyle w:val="TableContents"/>
              <w:spacing w:before="0" w:after="0"/>
              <w:ind w:left="0" w:right="0" w:hanging="0"/>
              <w:jc w:val="right"/>
              <w:rPr/>
            </w:pPr>
            <w:hyperlink w:anchor="NotesToCondensedConsolidatedFinan_102402">
              <w:r>
                <w:rPr>
                  <w:rStyle w:val="InternetLink"/>
                  <w:rFonts w:ascii="Times New Roman" w:hAnsi="Times New Roman"/>
                  <w:sz w:val="17"/>
                </w:rPr>
                <w:t>7</w:t>
              </w:r>
            </w:hyperlink>
          </w:p>
        </w:tc>
      </w:tr>
      <w:tr>
        <w:trPr/>
        <w:tc>
          <w:tcPr>
            <w:tcW w:w="1133" w:type="dxa"/>
            <w:tcBorders/>
            <w:shd w:fill="auto" w:val="clear"/>
          </w:tcPr>
          <w:p>
            <w:pPr>
              <w:pStyle w:val="TableContents"/>
              <w:spacing w:before="0" w:after="0"/>
              <w:ind w:left="0" w:right="0" w:hanging="0"/>
              <w:rPr/>
            </w:pPr>
            <w:r>
              <w:rPr/>
              <w:t> </w:t>
            </w:r>
          </w:p>
        </w:tc>
        <w:tc>
          <w:tcPr>
            <w:tcW w:w="8351" w:type="dxa"/>
            <w:tcBorders/>
            <w:shd w:fill="auto" w:val="clear"/>
          </w:tcPr>
          <w:p>
            <w:pPr>
              <w:pStyle w:val="TableContents"/>
              <w:spacing w:before="0" w:after="0"/>
              <w:ind w:left="0" w:right="0" w:hanging="0"/>
              <w:rPr/>
            </w:pPr>
            <w:r>
              <w:rPr/>
              <w:t> </w:t>
            </w:r>
          </w:p>
        </w:tc>
        <w:tc>
          <w:tcPr>
            <w:tcW w:w="721" w:type="dxa"/>
            <w:tcBorders/>
            <w:shd w:fill="auto" w:val="clear"/>
            <w:vAlign w:val="bottom"/>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Item2__102409">
              <w:r>
                <w:rPr>
                  <w:rStyle w:val="InternetLink"/>
                  <w:rFonts w:ascii="Times New Roman" w:hAnsi="Times New Roman"/>
                  <w:b/>
                  <w:sz w:val="17"/>
                </w:rPr>
                <w:t>Item 2.</w:t>
              </w:r>
            </w:hyperlink>
          </w:p>
        </w:tc>
        <w:tc>
          <w:tcPr>
            <w:tcW w:w="8351" w:type="dxa"/>
            <w:tcBorders/>
            <w:shd w:fill="auto" w:val="clear"/>
          </w:tcPr>
          <w:p>
            <w:pPr>
              <w:pStyle w:val="TableContents"/>
              <w:spacing w:before="0" w:after="0"/>
              <w:ind w:left="0" w:right="0" w:hanging="0"/>
              <w:rPr/>
            </w:pPr>
            <w:hyperlink w:anchor="Item2__102409">
              <w:r>
                <w:rPr>
                  <w:rStyle w:val="InternetLink"/>
                  <w:rFonts w:ascii="Times New Roman" w:hAnsi="Times New Roman"/>
                  <w:b/>
                  <w:sz w:val="17"/>
                </w:rPr>
                <w:t>Managements Discussion and Analysis of Financial Condition and Results of Operations</w:t>
              </w:r>
            </w:hyperlink>
          </w:p>
        </w:tc>
        <w:tc>
          <w:tcPr>
            <w:tcW w:w="721" w:type="dxa"/>
            <w:tcBorders/>
            <w:shd w:fill="auto" w:val="clear"/>
            <w:vAlign w:val="bottom"/>
          </w:tcPr>
          <w:p>
            <w:pPr>
              <w:pStyle w:val="TableContents"/>
              <w:spacing w:before="0" w:after="0"/>
              <w:ind w:left="0" w:right="0" w:hanging="0"/>
              <w:jc w:val="right"/>
              <w:rPr/>
            </w:pPr>
            <w:hyperlink w:anchor="Item2__102409">
              <w:r>
                <w:rPr>
                  <w:rStyle w:val="InternetLink"/>
                  <w:rFonts w:ascii="Times New Roman" w:hAnsi="Times New Roman"/>
                  <w:sz w:val="17"/>
                </w:rPr>
                <w:t>16</w:t>
              </w:r>
            </w:hyperlink>
          </w:p>
        </w:tc>
      </w:tr>
      <w:tr>
        <w:trPr/>
        <w:tc>
          <w:tcPr>
            <w:tcW w:w="1133" w:type="dxa"/>
            <w:tcBorders/>
            <w:shd w:fill="auto" w:val="clear"/>
          </w:tcPr>
          <w:p>
            <w:pPr>
              <w:pStyle w:val="TableContents"/>
              <w:spacing w:before="0" w:after="0"/>
              <w:ind w:left="0" w:right="0" w:hanging="0"/>
              <w:rPr/>
            </w:pPr>
            <w:r>
              <w:rPr/>
              <w:t> </w:t>
            </w:r>
          </w:p>
        </w:tc>
        <w:tc>
          <w:tcPr>
            <w:tcW w:w="8351" w:type="dxa"/>
            <w:tcBorders/>
            <w:shd w:fill="auto" w:val="clear"/>
          </w:tcPr>
          <w:p>
            <w:pPr>
              <w:pStyle w:val="TableContents"/>
              <w:spacing w:before="0" w:after="0"/>
              <w:ind w:left="0" w:right="0" w:hanging="0"/>
              <w:rPr/>
            </w:pPr>
            <w:r>
              <w:rPr/>
              <w:t> </w:t>
            </w:r>
          </w:p>
        </w:tc>
        <w:tc>
          <w:tcPr>
            <w:tcW w:w="721" w:type="dxa"/>
            <w:tcBorders/>
            <w:shd w:fill="auto" w:val="clear"/>
            <w:vAlign w:val="bottom"/>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Item3_102414">
              <w:r>
                <w:rPr>
                  <w:rStyle w:val="InternetLink"/>
                  <w:rFonts w:ascii="Times New Roman" w:hAnsi="Times New Roman"/>
                  <w:b/>
                  <w:sz w:val="17"/>
                </w:rPr>
                <w:t>Item 3.</w:t>
              </w:r>
            </w:hyperlink>
          </w:p>
        </w:tc>
        <w:tc>
          <w:tcPr>
            <w:tcW w:w="8351" w:type="dxa"/>
            <w:tcBorders/>
            <w:shd w:fill="auto" w:val="clear"/>
          </w:tcPr>
          <w:p>
            <w:pPr>
              <w:pStyle w:val="TableContents"/>
              <w:spacing w:before="0" w:after="0"/>
              <w:ind w:left="0" w:right="0" w:hanging="0"/>
              <w:rPr/>
            </w:pPr>
            <w:hyperlink w:anchor="Item3_102414">
              <w:r>
                <w:rPr>
                  <w:rStyle w:val="InternetLink"/>
                  <w:rFonts w:ascii="Times New Roman" w:hAnsi="Times New Roman"/>
                  <w:b/>
                  <w:sz w:val="17"/>
                </w:rPr>
                <w:t>Quantitative and Qualitative Disclosures About Market Risk</w:t>
              </w:r>
            </w:hyperlink>
          </w:p>
        </w:tc>
        <w:tc>
          <w:tcPr>
            <w:tcW w:w="721" w:type="dxa"/>
            <w:tcBorders/>
            <w:shd w:fill="auto" w:val="clear"/>
            <w:vAlign w:val="bottom"/>
          </w:tcPr>
          <w:p>
            <w:pPr>
              <w:pStyle w:val="TableContents"/>
              <w:spacing w:before="0" w:after="0"/>
              <w:ind w:left="0" w:right="0" w:hanging="0"/>
              <w:jc w:val="right"/>
              <w:rPr/>
            </w:pPr>
            <w:hyperlink w:anchor="Item3_102414">
              <w:r>
                <w:rPr>
                  <w:rStyle w:val="InternetLink"/>
                  <w:rFonts w:ascii="Times New Roman" w:hAnsi="Times New Roman"/>
                  <w:sz w:val="17"/>
                </w:rPr>
                <w:t>29</w:t>
              </w:r>
            </w:hyperlink>
          </w:p>
        </w:tc>
      </w:tr>
      <w:tr>
        <w:trPr/>
        <w:tc>
          <w:tcPr>
            <w:tcW w:w="1133" w:type="dxa"/>
            <w:tcBorders/>
            <w:shd w:fill="auto" w:val="clear"/>
          </w:tcPr>
          <w:p>
            <w:pPr>
              <w:pStyle w:val="TableContents"/>
              <w:spacing w:before="0" w:after="0"/>
              <w:ind w:left="0" w:right="0" w:hanging="0"/>
              <w:rPr/>
            </w:pPr>
            <w:r>
              <w:rPr/>
              <w:t> </w:t>
            </w:r>
          </w:p>
        </w:tc>
        <w:tc>
          <w:tcPr>
            <w:tcW w:w="8351" w:type="dxa"/>
            <w:tcBorders/>
            <w:shd w:fill="auto" w:val="clear"/>
          </w:tcPr>
          <w:p>
            <w:pPr>
              <w:pStyle w:val="TableContents"/>
              <w:spacing w:before="0" w:after="0"/>
              <w:ind w:left="0" w:right="0" w:hanging="0"/>
              <w:rPr/>
            </w:pPr>
            <w:r>
              <w:rPr/>
              <w:t> </w:t>
            </w:r>
          </w:p>
        </w:tc>
        <w:tc>
          <w:tcPr>
            <w:tcW w:w="721" w:type="dxa"/>
            <w:tcBorders/>
            <w:shd w:fill="auto" w:val="clear"/>
            <w:vAlign w:val="bottom"/>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Item4__102420">
              <w:r>
                <w:rPr>
                  <w:rStyle w:val="InternetLink"/>
                  <w:rFonts w:ascii="Times New Roman" w:hAnsi="Times New Roman"/>
                  <w:b/>
                  <w:sz w:val="17"/>
                </w:rPr>
                <w:t>Item 4.</w:t>
              </w:r>
            </w:hyperlink>
          </w:p>
        </w:tc>
        <w:tc>
          <w:tcPr>
            <w:tcW w:w="8351" w:type="dxa"/>
            <w:tcBorders/>
            <w:shd w:fill="auto" w:val="clear"/>
          </w:tcPr>
          <w:p>
            <w:pPr>
              <w:pStyle w:val="TableContents"/>
              <w:spacing w:before="0" w:after="0"/>
              <w:ind w:left="0" w:right="0" w:hanging="0"/>
              <w:rPr/>
            </w:pPr>
            <w:hyperlink w:anchor="Item4__102420">
              <w:r>
                <w:rPr>
                  <w:rStyle w:val="InternetLink"/>
                  <w:rFonts w:ascii="Times New Roman" w:hAnsi="Times New Roman"/>
                  <w:b/>
                  <w:sz w:val="17"/>
                </w:rPr>
                <w:t>Controls and Procedures</w:t>
              </w:r>
            </w:hyperlink>
          </w:p>
        </w:tc>
        <w:tc>
          <w:tcPr>
            <w:tcW w:w="721" w:type="dxa"/>
            <w:tcBorders/>
            <w:shd w:fill="auto" w:val="clear"/>
            <w:vAlign w:val="bottom"/>
          </w:tcPr>
          <w:p>
            <w:pPr>
              <w:pStyle w:val="TableContents"/>
              <w:spacing w:before="0" w:after="0"/>
              <w:ind w:left="0" w:right="0" w:hanging="0"/>
              <w:jc w:val="right"/>
              <w:rPr/>
            </w:pPr>
            <w:hyperlink w:anchor="Item4__102420">
              <w:r>
                <w:rPr>
                  <w:rStyle w:val="InternetLink"/>
                  <w:rFonts w:ascii="Times New Roman" w:hAnsi="Times New Roman"/>
                  <w:sz w:val="17"/>
                </w:rPr>
                <w:t>29</w:t>
              </w:r>
            </w:hyperlink>
          </w:p>
        </w:tc>
      </w:tr>
      <w:tr>
        <w:trPr/>
        <w:tc>
          <w:tcPr>
            <w:tcW w:w="1133" w:type="dxa"/>
            <w:tcBorders/>
            <w:shd w:fill="auto" w:val="clear"/>
          </w:tcPr>
          <w:p>
            <w:pPr>
              <w:pStyle w:val="TableContents"/>
              <w:spacing w:before="0" w:after="0"/>
              <w:ind w:left="0" w:right="0" w:hanging="0"/>
              <w:rPr/>
            </w:pPr>
            <w:r>
              <w:rPr/>
              <w:t> </w:t>
            </w:r>
          </w:p>
        </w:tc>
        <w:tc>
          <w:tcPr>
            <w:tcW w:w="8351" w:type="dxa"/>
            <w:tcBorders/>
            <w:shd w:fill="auto" w:val="clear"/>
          </w:tcPr>
          <w:p>
            <w:pPr>
              <w:pStyle w:val="TableContents"/>
              <w:spacing w:before="0" w:after="0"/>
              <w:ind w:left="0" w:right="0" w:hanging="0"/>
              <w:rPr/>
            </w:pPr>
            <w:r>
              <w:rPr/>
              <w:t> </w:t>
            </w:r>
          </w:p>
        </w:tc>
        <w:tc>
          <w:tcPr>
            <w:tcW w:w="721" w:type="dxa"/>
            <w:tcBorders/>
            <w:shd w:fill="auto" w:val="clear"/>
            <w:vAlign w:val="bottom"/>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Partii_102424">
              <w:r>
                <w:rPr>
                  <w:rStyle w:val="InternetLink"/>
                  <w:rFonts w:ascii="Times New Roman" w:hAnsi="Times New Roman"/>
                  <w:b/>
                  <w:sz w:val="17"/>
                </w:rPr>
                <w:t>PART II</w:t>
              </w:r>
            </w:hyperlink>
          </w:p>
        </w:tc>
        <w:tc>
          <w:tcPr>
            <w:tcW w:w="8351" w:type="dxa"/>
            <w:tcBorders/>
            <w:shd w:fill="auto" w:val="clear"/>
          </w:tcPr>
          <w:p>
            <w:pPr>
              <w:pStyle w:val="TableContents"/>
              <w:spacing w:before="0" w:after="0"/>
              <w:ind w:left="0" w:right="0" w:hanging="0"/>
              <w:rPr/>
            </w:pPr>
            <w:hyperlink w:anchor="Partii_102424">
              <w:r>
                <w:rPr>
                  <w:rStyle w:val="InternetLink"/>
                  <w:rFonts w:ascii="Times New Roman" w:hAnsi="Times New Roman"/>
                  <w:b/>
                  <w:sz w:val="17"/>
                </w:rPr>
                <w:t>OTHER INFORMATION</w:t>
              </w:r>
            </w:hyperlink>
          </w:p>
        </w:tc>
        <w:tc>
          <w:tcPr>
            <w:tcW w:w="721" w:type="dxa"/>
            <w:tcBorders/>
            <w:shd w:fill="auto" w:val="clear"/>
            <w:vAlign w:val="bottom"/>
          </w:tcPr>
          <w:p>
            <w:pPr>
              <w:pStyle w:val="TableContents"/>
              <w:spacing w:before="0" w:after="0"/>
              <w:ind w:left="0" w:right="0" w:hanging="0"/>
              <w:jc w:val="right"/>
              <w:rPr/>
            </w:pPr>
            <w:hyperlink w:anchor="Partii_102424">
              <w:r>
                <w:rPr>
                  <w:rStyle w:val="InternetLink"/>
                  <w:rFonts w:ascii="Times New Roman" w:hAnsi="Times New Roman"/>
                  <w:sz w:val="17"/>
                </w:rPr>
                <w:t>30</w:t>
              </w:r>
            </w:hyperlink>
          </w:p>
        </w:tc>
      </w:tr>
      <w:tr>
        <w:trPr/>
        <w:tc>
          <w:tcPr>
            <w:tcW w:w="1133" w:type="dxa"/>
            <w:tcBorders/>
            <w:shd w:fill="auto" w:val="clear"/>
          </w:tcPr>
          <w:p>
            <w:pPr>
              <w:pStyle w:val="TableContents"/>
              <w:spacing w:before="0" w:after="0"/>
              <w:ind w:left="0" w:right="0" w:hanging="0"/>
              <w:rPr/>
            </w:pPr>
            <w:r>
              <w:rPr/>
              <w:t> </w:t>
            </w:r>
          </w:p>
        </w:tc>
        <w:tc>
          <w:tcPr>
            <w:tcW w:w="8351" w:type="dxa"/>
            <w:tcBorders/>
            <w:shd w:fill="auto" w:val="clear"/>
          </w:tcPr>
          <w:p>
            <w:pPr>
              <w:pStyle w:val="TableContents"/>
              <w:spacing w:before="0" w:after="0"/>
              <w:ind w:left="0" w:right="0" w:hanging="0"/>
              <w:rPr/>
            </w:pPr>
            <w:r>
              <w:rPr/>
              <w:t> </w:t>
            </w:r>
          </w:p>
        </w:tc>
        <w:tc>
          <w:tcPr>
            <w:tcW w:w="721" w:type="dxa"/>
            <w:tcBorders/>
            <w:shd w:fill="auto" w:val="clear"/>
            <w:vAlign w:val="bottom"/>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Item1_LegalProceedings_102426">
              <w:r>
                <w:rPr>
                  <w:rStyle w:val="InternetLink"/>
                  <w:rFonts w:ascii="Times New Roman" w:hAnsi="Times New Roman"/>
                  <w:b/>
                  <w:sz w:val="17"/>
                </w:rPr>
                <w:t>Item 1.</w:t>
              </w:r>
            </w:hyperlink>
          </w:p>
        </w:tc>
        <w:tc>
          <w:tcPr>
            <w:tcW w:w="8351" w:type="dxa"/>
            <w:tcBorders/>
            <w:shd w:fill="auto" w:val="clear"/>
          </w:tcPr>
          <w:p>
            <w:pPr>
              <w:pStyle w:val="TableContents"/>
              <w:spacing w:before="0" w:after="0"/>
              <w:ind w:left="0" w:right="0" w:hanging="0"/>
              <w:rPr/>
            </w:pPr>
            <w:hyperlink w:anchor="Item1_LegalProceedings_102426">
              <w:r>
                <w:rPr>
                  <w:rStyle w:val="InternetLink"/>
                  <w:rFonts w:ascii="Times New Roman" w:hAnsi="Times New Roman"/>
                  <w:b/>
                  <w:sz w:val="17"/>
                </w:rPr>
                <w:t>Legal Proceedings</w:t>
              </w:r>
            </w:hyperlink>
          </w:p>
        </w:tc>
        <w:tc>
          <w:tcPr>
            <w:tcW w:w="721" w:type="dxa"/>
            <w:tcBorders/>
            <w:shd w:fill="auto" w:val="clear"/>
            <w:vAlign w:val="bottom"/>
          </w:tcPr>
          <w:p>
            <w:pPr>
              <w:pStyle w:val="TableContents"/>
              <w:spacing w:before="0" w:after="0"/>
              <w:ind w:left="0" w:right="0" w:hanging="0"/>
              <w:jc w:val="right"/>
              <w:rPr/>
            </w:pPr>
            <w:hyperlink w:anchor="Item1_LegalProceedings_102426">
              <w:r>
                <w:rPr>
                  <w:rStyle w:val="InternetLink"/>
                  <w:rFonts w:ascii="Times New Roman" w:hAnsi="Times New Roman"/>
                  <w:sz w:val="17"/>
                </w:rPr>
                <w:t>30</w:t>
              </w:r>
            </w:hyperlink>
          </w:p>
        </w:tc>
      </w:tr>
      <w:tr>
        <w:trPr/>
        <w:tc>
          <w:tcPr>
            <w:tcW w:w="1133" w:type="dxa"/>
            <w:tcBorders/>
            <w:shd w:fill="auto" w:val="clear"/>
          </w:tcPr>
          <w:p>
            <w:pPr>
              <w:pStyle w:val="TableContents"/>
              <w:spacing w:before="0" w:after="0"/>
              <w:ind w:left="0" w:right="0" w:hanging="0"/>
              <w:rPr/>
            </w:pPr>
            <w:r>
              <w:rPr/>
              <w:t> </w:t>
            </w:r>
          </w:p>
        </w:tc>
        <w:tc>
          <w:tcPr>
            <w:tcW w:w="8351" w:type="dxa"/>
            <w:tcBorders/>
            <w:shd w:fill="auto" w:val="clear"/>
          </w:tcPr>
          <w:p>
            <w:pPr>
              <w:pStyle w:val="TableContents"/>
              <w:spacing w:before="0" w:after="0"/>
              <w:ind w:left="0" w:right="0" w:hanging="0"/>
              <w:rPr/>
            </w:pPr>
            <w:r>
              <w:rPr/>
              <w:t> </w:t>
            </w:r>
          </w:p>
        </w:tc>
        <w:tc>
          <w:tcPr>
            <w:tcW w:w="721" w:type="dxa"/>
            <w:tcBorders/>
            <w:shd w:fill="auto" w:val="clear"/>
            <w:vAlign w:val="bottom"/>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hyperlink w:anchor="Item6_Exhibits_102427">
              <w:r>
                <w:rPr>
                  <w:rStyle w:val="InternetLink"/>
                  <w:rFonts w:ascii="Times New Roman" w:hAnsi="Times New Roman"/>
                  <w:b/>
                  <w:sz w:val="17"/>
                </w:rPr>
                <w:t>Item 6.</w:t>
              </w:r>
            </w:hyperlink>
          </w:p>
        </w:tc>
        <w:tc>
          <w:tcPr>
            <w:tcW w:w="8351" w:type="dxa"/>
            <w:tcBorders/>
            <w:shd w:fill="auto" w:val="clear"/>
          </w:tcPr>
          <w:p>
            <w:pPr>
              <w:pStyle w:val="TableContents"/>
              <w:spacing w:before="0" w:after="0"/>
              <w:ind w:left="0" w:right="0" w:hanging="0"/>
              <w:rPr/>
            </w:pPr>
            <w:hyperlink w:anchor="Item6_Exhibits_102427">
              <w:r>
                <w:rPr>
                  <w:rStyle w:val="InternetLink"/>
                  <w:rFonts w:ascii="Times New Roman" w:hAnsi="Times New Roman"/>
                  <w:b/>
                  <w:sz w:val="17"/>
                </w:rPr>
                <w:t>Exhibits</w:t>
              </w:r>
            </w:hyperlink>
          </w:p>
        </w:tc>
        <w:tc>
          <w:tcPr>
            <w:tcW w:w="721" w:type="dxa"/>
            <w:tcBorders/>
            <w:shd w:fill="auto" w:val="clear"/>
            <w:vAlign w:val="bottom"/>
          </w:tcPr>
          <w:p>
            <w:pPr>
              <w:pStyle w:val="TableContents"/>
              <w:spacing w:before="0" w:after="0"/>
              <w:ind w:left="0" w:right="0" w:hanging="0"/>
              <w:jc w:val="right"/>
              <w:rPr/>
            </w:pPr>
            <w:hyperlink w:anchor="Item6_Exhibits_102427">
              <w:r>
                <w:rPr>
                  <w:rStyle w:val="InternetLink"/>
                  <w:rFonts w:ascii="Times New Roman" w:hAnsi="Times New Roman"/>
                  <w:sz w:val="17"/>
                </w:rPr>
                <w:t>30</w:t>
              </w:r>
            </w:hyperlink>
          </w:p>
        </w:tc>
      </w:tr>
      <w:tr>
        <w:trPr/>
        <w:tc>
          <w:tcPr>
            <w:tcW w:w="1133" w:type="dxa"/>
            <w:tcBorders/>
            <w:shd w:fill="auto" w:val="clear"/>
          </w:tcPr>
          <w:p>
            <w:pPr>
              <w:pStyle w:val="TableContents"/>
              <w:spacing w:before="0" w:after="0"/>
              <w:ind w:left="0" w:right="0" w:hanging="0"/>
              <w:rPr/>
            </w:pPr>
            <w:r>
              <w:rPr/>
              <w:t> </w:t>
            </w:r>
          </w:p>
        </w:tc>
        <w:tc>
          <w:tcPr>
            <w:tcW w:w="8351" w:type="dxa"/>
            <w:tcBorders/>
            <w:shd w:fill="auto" w:val="clear"/>
          </w:tcPr>
          <w:p>
            <w:pPr>
              <w:pStyle w:val="TableContents"/>
              <w:spacing w:before="0" w:after="0"/>
              <w:ind w:left="0" w:right="0" w:hanging="0"/>
              <w:rPr/>
            </w:pPr>
            <w:r>
              <w:rPr/>
              <w:t> </w:t>
            </w:r>
          </w:p>
        </w:tc>
        <w:tc>
          <w:tcPr>
            <w:tcW w:w="721" w:type="dxa"/>
            <w:tcBorders/>
            <w:shd w:fill="auto" w:val="clear"/>
            <w:vAlign w:val="bottom"/>
          </w:tcPr>
          <w:p>
            <w:pPr>
              <w:pStyle w:val="TableContents"/>
              <w:spacing w:before="0" w:after="0"/>
              <w:ind w:left="0" w:right="0" w:hanging="0"/>
              <w:jc w:val="right"/>
              <w:rPr/>
            </w:pPr>
            <w:r>
              <w:rPr/>
              <w:t> </w:t>
            </w:r>
          </w:p>
        </w:tc>
      </w:tr>
      <w:tr>
        <w:trPr/>
        <w:tc>
          <w:tcPr>
            <w:tcW w:w="1133" w:type="dxa"/>
            <w:tcBorders/>
            <w:shd w:fill="auto" w:val="clear"/>
          </w:tcPr>
          <w:p>
            <w:pPr>
              <w:pStyle w:val="TableContents"/>
              <w:spacing w:before="0" w:after="0"/>
              <w:ind w:left="0" w:right="0" w:hanging="0"/>
              <w:rPr/>
            </w:pPr>
            <w:r>
              <w:rPr/>
              <w:t> </w:t>
            </w:r>
          </w:p>
        </w:tc>
        <w:tc>
          <w:tcPr>
            <w:tcW w:w="8351" w:type="dxa"/>
            <w:tcBorders/>
            <w:shd w:fill="auto" w:val="clear"/>
          </w:tcPr>
          <w:p>
            <w:pPr>
              <w:pStyle w:val="TableContents"/>
              <w:spacing w:before="0" w:after="0"/>
              <w:ind w:left="0" w:right="0" w:hanging="0"/>
              <w:rPr/>
            </w:pPr>
            <w:hyperlink w:anchor="Signatures_102432">
              <w:r>
                <w:rPr>
                  <w:rStyle w:val="InternetLink"/>
                  <w:rFonts w:ascii="Times New Roman" w:hAnsi="Times New Roman"/>
                  <w:b/>
                  <w:sz w:val="17"/>
                </w:rPr>
                <w:t>Signatures</w:t>
              </w:r>
            </w:hyperlink>
          </w:p>
        </w:tc>
        <w:tc>
          <w:tcPr>
            <w:tcW w:w="721" w:type="dxa"/>
            <w:tcBorders/>
            <w:shd w:fill="auto" w:val="clear"/>
            <w:vAlign w:val="bottom"/>
          </w:tcPr>
          <w:p>
            <w:pPr>
              <w:pStyle w:val="TableContents"/>
              <w:spacing w:before="0" w:after="0"/>
              <w:ind w:left="0" w:right="0" w:hanging="0"/>
              <w:jc w:val="right"/>
              <w:rPr/>
            </w:pPr>
            <w:hyperlink w:anchor="Signatures_102432">
              <w:r>
                <w:rPr>
                  <w:rStyle w:val="InternetLink"/>
                  <w:rFonts w:ascii="Times New Roman" w:hAnsi="Times New Roman"/>
                  <w:sz w:val="17"/>
                </w:rPr>
                <w:t>31</w:t>
              </w:r>
            </w:hyperlink>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p>
    <w:p>
      <w:pPr>
        <w:pStyle w:val="HorizontalLine"/>
        <w:pBdr>
          <w:bottom w:val="single" w:sz="12" w:space="0" w:color="808080"/>
        </w:pBdr>
        <w:spacing w:before="0" w:after="0"/>
        <w:rPr/>
      </w:pPr>
      <w:r>
        <w:rPr/>
      </w:r>
      <w:r>
        <w:br w:type="page"/>
      </w:r>
    </w:p>
    <w:p>
      <w:pPr>
        <w:pStyle w:val="TextBody"/>
        <w:spacing w:before="0" w:after="0"/>
        <w:ind w:left="0" w:right="0" w:hanging="0"/>
        <w:rPr/>
      </w:pPr>
      <w:r>
        <w:rPr/>
        <w:t> </w:t>
      </w:r>
    </w:p>
    <w:p>
      <w:pPr>
        <w:pStyle w:val="Heading5"/>
        <w:spacing w:before="0" w:after="0"/>
        <w:ind w:left="0" w:right="0" w:hanging="0"/>
        <w:rPr>
          <w:rFonts w:ascii="Times New Roman" w:hAnsi="Times New Roman"/>
          <w:b/>
          <w:sz w:val="17"/>
        </w:rPr>
      </w:pPr>
      <w:bookmarkStart w:id="2" w:name="Parti_102256"/>
      <w:bookmarkEnd w:id="2"/>
      <w:r>
        <w:rPr>
          <w:rFonts w:ascii="Times New Roman" w:hAnsi="Times New Roman"/>
          <w:b/>
          <w:sz w:val="17"/>
        </w:rPr>
        <w:t>PART I</w:t>
      </w:r>
    </w:p>
    <w:p>
      <w:pPr>
        <w:pStyle w:val="Heading5"/>
        <w:spacing w:before="0" w:after="0"/>
        <w:ind w:left="0" w:right="0" w:hanging="0"/>
        <w:rPr>
          <w:rFonts w:ascii="Times New Roman" w:hAnsi="Times New Roman"/>
          <w:b/>
          <w:sz w:val="17"/>
        </w:rPr>
      </w:pPr>
      <w:r>
        <w:rPr>
          <w:rFonts w:ascii="Times New Roman" w:hAnsi="Times New Roman"/>
          <w:b/>
          <w:sz w:val="17"/>
        </w:rPr>
        <w:t>FINANCIAL INFORMATION</w:t>
      </w:r>
    </w:p>
    <w:p>
      <w:pPr>
        <w:pStyle w:val="TextBody"/>
        <w:spacing w:before="0" w:after="0"/>
        <w:ind w:left="0" w:right="0" w:hanging="0"/>
        <w:rPr/>
      </w:pPr>
      <w:r>
        <w:rPr/>
        <w:t> </w:t>
      </w:r>
    </w:p>
    <w:p>
      <w:pPr>
        <w:pStyle w:val="Heading1"/>
        <w:spacing w:before="0" w:after="0"/>
        <w:ind w:left="0" w:right="0" w:hanging="0"/>
        <w:rPr>
          <w:rFonts w:ascii="Times New Roman" w:hAnsi="Times New Roman"/>
          <w:sz w:val="17"/>
        </w:rPr>
      </w:pPr>
      <w:bookmarkStart w:id="3" w:name="Item1_FinancialStatements_102259"/>
      <w:bookmarkEnd w:id="3"/>
      <w:r>
        <w:rPr>
          <w:rFonts w:ascii="Times New Roman" w:hAnsi="Times New Roman"/>
          <w:b/>
          <w:sz w:val="17"/>
        </w:rPr>
        <w:t>ITEM 1.</w:t>
      </w:r>
      <w:r>
        <w:rPr>
          <w:rFonts w:ascii="Times New Roman" w:hAnsi="Times New Roman"/>
          <w:sz w:val="17"/>
        </w:rPr>
        <w:t>     FINANCIAL STATEMENTS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NATIONAL VISION, INC.</w:t>
      </w:r>
    </w:p>
    <w:p>
      <w:pPr>
        <w:pStyle w:val="Heading5"/>
        <w:spacing w:before="0" w:after="0"/>
        <w:ind w:left="0" w:right="0" w:hanging="0"/>
        <w:rPr>
          <w:rFonts w:ascii="Times New Roman" w:hAnsi="Times New Roman"/>
          <w:b/>
          <w:sz w:val="17"/>
        </w:rPr>
      </w:pPr>
      <w:bookmarkStart w:id="4" w:name="CondensedConsolidatedBalanceSheet_102302"/>
      <w:bookmarkEnd w:id="4"/>
      <w:r>
        <w:rPr>
          <w:rFonts w:ascii="Times New Roman" w:hAnsi="Times New Roman"/>
          <w:b/>
          <w:sz w:val="17"/>
        </w:rPr>
        <w:t>CONDENSED CONSOLIDATED BALANCE SHEETS</w:t>
      </w:r>
    </w:p>
    <w:p>
      <w:pPr>
        <w:pStyle w:val="Heading1"/>
        <w:spacing w:before="0" w:after="0"/>
        <w:ind w:left="0" w:right="0" w:hanging="0"/>
        <w:jc w:val="center"/>
        <w:rPr>
          <w:rFonts w:ascii="Times New Roman" w:hAnsi="Times New Roman"/>
          <w:b/>
          <w:sz w:val="17"/>
        </w:rPr>
      </w:pPr>
      <w:r>
        <w:rPr>
          <w:rFonts w:ascii="Times New Roman" w:hAnsi="Times New Roman"/>
          <w:b/>
          <w:sz w:val="17"/>
        </w:rPr>
        <w:t>July 2, 2005 and January 1, 2005</w:t>
      </w:r>
    </w:p>
    <w:p>
      <w:pPr>
        <w:pStyle w:val="TextBody"/>
        <w:spacing w:before="0" w:after="0"/>
        <w:ind w:left="0" w:right="0" w:hanging="0"/>
        <w:jc w:val="center"/>
        <w:rPr>
          <w:rFonts w:ascii="Times New Roman" w:hAnsi="Times New Roman"/>
          <w:b/>
          <w:sz w:val="17"/>
        </w:rPr>
      </w:pPr>
      <w:r>
        <w:rPr>
          <w:rFonts w:ascii="Times New Roman" w:hAnsi="Times New Roman"/>
          <w:b/>
          <w:sz w:val="17"/>
        </w:rPr>
        <w:t>(in thousands except share and par value information)</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454"/>
        <w:gridCol w:w="108"/>
        <w:gridCol w:w="112"/>
        <w:gridCol w:w="1096"/>
        <w:gridCol w:w="110"/>
        <w:gridCol w:w="112"/>
        <w:gridCol w:w="1096"/>
        <w:gridCol w:w="117"/>
      </w:tblGrid>
      <w:tr>
        <w:trPr/>
        <w:tc>
          <w:tcPr>
            <w:tcW w:w="7454" w:type="dxa"/>
            <w:tcBorders/>
            <w:shd w:fill="auto" w:val="clear"/>
            <w:vAlign w:val="bottom"/>
          </w:tcPr>
          <w:p>
            <w:pPr>
              <w:pStyle w:val="TableContents"/>
              <w:spacing w:before="0" w:after="0"/>
              <w:ind w:left="0" w:right="0" w:hanging="0"/>
              <w:jc w:val="center"/>
              <w:rPr/>
            </w:pPr>
            <w:r>
              <w:rPr/>
              <w:t> </w:t>
            </w:r>
          </w:p>
        </w:tc>
        <w:tc>
          <w:tcPr>
            <w:tcW w:w="108" w:type="dxa"/>
            <w:tcBorders/>
            <w:shd w:fill="auto" w:val="clear"/>
            <w:vAlign w:val="bottom"/>
          </w:tcPr>
          <w:p>
            <w:pPr>
              <w:pStyle w:val="TableContents"/>
              <w:spacing w:before="0" w:after="0"/>
              <w:ind w:left="0" w:right="0" w:hanging="0"/>
              <w:rPr/>
            </w:pPr>
            <w:r>
              <w:rPr/>
              <w:t> </w:t>
            </w:r>
          </w:p>
        </w:tc>
        <w:tc>
          <w:tcPr>
            <w:tcW w:w="120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2, 2005</w:t>
              <w:br/>
              <w:t>(Unaudited)</w:t>
            </w:r>
          </w:p>
        </w:tc>
        <w:tc>
          <w:tcPr>
            <w:tcW w:w="110" w:type="dxa"/>
            <w:tcBorders/>
            <w:shd w:fill="auto" w:val="clear"/>
            <w:vAlign w:val="bottom"/>
          </w:tcPr>
          <w:p>
            <w:pPr>
              <w:pStyle w:val="TableContents"/>
              <w:spacing w:before="0" w:after="0"/>
              <w:ind w:left="0" w:right="0" w:hanging="0"/>
              <w:rPr/>
            </w:pPr>
            <w:r>
              <w:rPr/>
              <w:t> </w:t>
            </w:r>
          </w:p>
        </w:tc>
        <w:tc>
          <w:tcPr>
            <w:tcW w:w="120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January 1, 2005</w:t>
            </w:r>
          </w:p>
        </w:tc>
        <w:tc>
          <w:tcPr>
            <w:tcW w:w="117" w:type="dxa"/>
            <w:tcBorders/>
            <w:shd w:fill="auto" w:val="clear"/>
            <w:vAlign w:val="bottom"/>
          </w:tcPr>
          <w:p>
            <w:pPr>
              <w:pStyle w:val="TableContents"/>
              <w:spacing w:before="0" w:after="0"/>
              <w:ind w:left="0" w:right="0" w:hanging="0"/>
              <w:rPr/>
            </w:pPr>
            <w:r>
              <w:rPr/>
              <w:t> </w:t>
            </w:r>
          </w:p>
        </w:tc>
      </w:tr>
      <w:tr>
        <w:trPr/>
        <w:tc>
          <w:tcPr>
            <w:tcW w:w="7454" w:type="dxa"/>
            <w:tcBorders/>
            <w:shd w:fill="auto" w:val="clear"/>
            <w:vAlign w:val="bottom"/>
          </w:tcPr>
          <w:p>
            <w:pPr>
              <w:pStyle w:val="TableContents"/>
              <w:spacing w:before="0" w:after="0"/>
              <w:ind w:left="0" w:right="0" w:hanging="0"/>
              <w:jc w:val="center"/>
              <w:rPr/>
            </w:pPr>
            <w:r>
              <w:rPr/>
              <w:t> </w:t>
            </w:r>
          </w:p>
        </w:tc>
        <w:tc>
          <w:tcPr>
            <w:tcW w:w="108"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center"/>
              <w:rPr/>
            </w:pPr>
            <w:r>
              <w:rPr/>
              <w:t> </w:t>
            </w:r>
          </w:p>
        </w:tc>
        <w:tc>
          <w:tcPr>
            <w:tcW w:w="110"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center"/>
              <w:rPr/>
            </w:pPr>
            <w:r>
              <w:rPr/>
              <w:t> </w:t>
            </w:r>
          </w:p>
        </w:tc>
        <w:tc>
          <w:tcPr>
            <w:tcW w:w="117" w:type="dxa"/>
            <w:tcBorders/>
            <w:shd w:fill="auto" w:val="clear"/>
            <w:vAlign w:val="bottom"/>
          </w:tcPr>
          <w:p>
            <w:pPr>
              <w:pStyle w:val="TableContents"/>
              <w:spacing w:before="0" w:after="0"/>
              <w:ind w:left="0" w:right="0" w:hanging="0"/>
              <w:rPr/>
            </w:pPr>
            <w:r>
              <w:rPr/>
              <w:t> </w:t>
            </w:r>
          </w:p>
        </w:tc>
      </w:tr>
      <w:tr>
        <w:trPr/>
        <w:tc>
          <w:tcPr>
            <w:tcW w:w="7454"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108"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pPr>
            <w:r>
              <w:rPr/>
              <w:t> </w:t>
            </w:r>
          </w:p>
        </w:tc>
        <w:tc>
          <w:tcPr>
            <w:tcW w:w="117" w:type="dxa"/>
            <w:tcBorders/>
            <w:shd w:fill="CCEEFF" w:val="clear"/>
            <w:vAlign w:val="bottom"/>
          </w:tcPr>
          <w:p>
            <w:pPr>
              <w:pStyle w:val="TableContents"/>
              <w:spacing w:before="0" w:after="0"/>
              <w:ind w:left="0" w:right="0" w:hanging="0"/>
              <w:rPr/>
            </w:pPr>
            <w:r>
              <w:rPr/>
              <w:t> </w:t>
            </w:r>
          </w:p>
        </w:tc>
      </w:tr>
      <w:tr>
        <w:trPr/>
        <w:tc>
          <w:tcPr>
            <w:tcW w:w="7454" w:type="dxa"/>
            <w:tcBorders/>
            <w:shd w:fill="auto" w:val="clear"/>
          </w:tcPr>
          <w:p>
            <w:pPr>
              <w:pStyle w:val="TableContents"/>
              <w:spacing w:before="0" w:after="0"/>
              <w:ind w:left="0" w:right="0" w:hanging="0"/>
              <w:rPr/>
            </w:pPr>
            <w:r>
              <w:rPr/>
              <w:t> </w:t>
            </w:r>
          </w:p>
        </w:tc>
        <w:tc>
          <w:tcPr>
            <w:tcW w:w="108"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r>
      <w:tr>
        <w:trPr/>
        <w:tc>
          <w:tcPr>
            <w:tcW w:w="7454"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CURRENT ASSETS:</w:t>
            </w:r>
          </w:p>
        </w:tc>
        <w:tc>
          <w:tcPr>
            <w:tcW w:w="108"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pPr>
            <w:r>
              <w:rPr/>
              <w:t> </w:t>
            </w:r>
          </w:p>
        </w:tc>
        <w:tc>
          <w:tcPr>
            <w:tcW w:w="117" w:type="dxa"/>
            <w:tcBorders/>
            <w:shd w:fill="CCEEFF" w:val="clear"/>
            <w:vAlign w:val="bottom"/>
          </w:tcPr>
          <w:p>
            <w:pPr>
              <w:pStyle w:val="TableContents"/>
              <w:spacing w:before="0" w:after="0"/>
              <w:ind w:left="0" w:right="0" w:hanging="0"/>
              <w:rPr/>
            </w:pPr>
            <w:r>
              <w:rPr/>
              <w:t> </w:t>
            </w:r>
          </w:p>
        </w:tc>
      </w:tr>
      <w:tr>
        <w:trPr/>
        <w:tc>
          <w:tcPr>
            <w:tcW w:w="7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Cash and cash equivalents</w:t>
            </w:r>
          </w:p>
        </w:tc>
        <w:tc>
          <w:tcPr>
            <w:tcW w:w="108"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6,009</w:t>
            </w:r>
          </w:p>
        </w:tc>
        <w:tc>
          <w:tcPr>
            <w:tcW w:w="110"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7,858</w:t>
            </w:r>
          </w:p>
        </w:tc>
        <w:tc>
          <w:tcPr>
            <w:tcW w:w="117" w:type="dxa"/>
            <w:tcBorders/>
            <w:shd w:fill="auto" w:val="clear"/>
            <w:vAlign w:val="bottom"/>
          </w:tcPr>
          <w:p>
            <w:pPr>
              <w:pStyle w:val="TableContents"/>
              <w:spacing w:before="0" w:after="0"/>
              <w:ind w:left="0" w:right="0" w:hanging="0"/>
              <w:rPr/>
            </w:pPr>
            <w:r>
              <w:rPr/>
              <w:t> </w:t>
            </w:r>
          </w:p>
        </w:tc>
      </w:tr>
      <w:tr>
        <w:trPr/>
        <w:tc>
          <w:tcPr>
            <w:tcW w:w="745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Accounts receivable (net of allowances: July 2, 2005 - $469; January 1, 2005 - $423)</w:t>
            </w:r>
          </w:p>
        </w:tc>
        <w:tc>
          <w:tcPr>
            <w:tcW w:w="108"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3,412</w:t>
            </w:r>
          </w:p>
        </w:tc>
        <w:tc>
          <w:tcPr>
            <w:tcW w:w="110"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2,561</w:t>
            </w:r>
          </w:p>
        </w:tc>
        <w:tc>
          <w:tcPr>
            <w:tcW w:w="117" w:type="dxa"/>
            <w:tcBorders/>
            <w:shd w:fill="CCEEFF" w:val="clear"/>
            <w:vAlign w:val="bottom"/>
          </w:tcPr>
          <w:p>
            <w:pPr>
              <w:pStyle w:val="TableContents"/>
              <w:spacing w:before="0" w:after="0"/>
              <w:ind w:left="0" w:right="0" w:hanging="0"/>
              <w:rPr/>
            </w:pPr>
            <w:r>
              <w:rPr/>
              <w:t> </w:t>
            </w:r>
          </w:p>
        </w:tc>
      </w:tr>
      <w:tr>
        <w:trPr/>
        <w:tc>
          <w:tcPr>
            <w:tcW w:w="7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Inventories, net</w:t>
            </w:r>
          </w:p>
        </w:tc>
        <w:tc>
          <w:tcPr>
            <w:tcW w:w="108"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13,914</w:t>
            </w:r>
          </w:p>
        </w:tc>
        <w:tc>
          <w:tcPr>
            <w:tcW w:w="110"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14,065</w:t>
            </w:r>
          </w:p>
        </w:tc>
        <w:tc>
          <w:tcPr>
            <w:tcW w:w="117" w:type="dxa"/>
            <w:tcBorders/>
            <w:shd w:fill="auto" w:val="clear"/>
            <w:vAlign w:val="bottom"/>
          </w:tcPr>
          <w:p>
            <w:pPr>
              <w:pStyle w:val="TableContents"/>
              <w:spacing w:before="0" w:after="0"/>
              <w:ind w:left="0" w:right="0" w:hanging="0"/>
              <w:rPr/>
            </w:pPr>
            <w:r>
              <w:rPr/>
              <w:t> </w:t>
            </w:r>
          </w:p>
        </w:tc>
      </w:tr>
      <w:tr>
        <w:trPr/>
        <w:tc>
          <w:tcPr>
            <w:tcW w:w="745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Deferred income tax asset</w:t>
            </w:r>
          </w:p>
        </w:tc>
        <w:tc>
          <w:tcPr>
            <w:tcW w:w="108"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7,517</w:t>
            </w:r>
          </w:p>
        </w:tc>
        <w:tc>
          <w:tcPr>
            <w:tcW w:w="110"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9,394</w:t>
            </w:r>
          </w:p>
        </w:tc>
        <w:tc>
          <w:tcPr>
            <w:tcW w:w="117" w:type="dxa"/>
            <w:tcBorders/>
            <w:shd w:fill="CCEEFF" w:val="clear"/>
            <w:vAlign w:val="bottom"/>
          </w:tcPr>
          <w:p>
            <w:pPr>
              <w:pStyle w:val="TableContents"/>
              <w:spacing w:before="0" w:after="0"/>
              <w:ind w:left="0" w:right="0" w:hanging="0"/>
              <w:rPr/>
            </w:pPr>
            <w:r>
              <w:rPr/>
              <w:t> </w:t>
            </w:r>
          </w:p>
        </w:tc>
      </w:tr>
      <w:tr>
        <w:trPr/>
        <w:tc>
          <w:tcPr>
            <w:tcW w:w="7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08" w:type="dxa"/>
            <w:tcBorders/>
            <w:shd w:fill="auto" w:val="clear"/>
            <w:vAlign w:val="bottom"/>
          </w:tcPr>
          <w:p>
            <w:pPr>
              <w:pStyle w:val="TableContents"/>
              <w:spacing w:before="0" w:after="0"/>
              <w:ind w:left="0" w:right="0" w:hanging="0"/>
              <w:rPr/>
            </w:pPr>
            <w:r>
              <w:rPr/>
              <w:t> </w:t>
            </w:r>
          </w:p>
        </w:tc>
        <w:tc>
          <w:tcPr>
            <w:tcW w:w="120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1,303</w:t>
            </w:r>
          </w:p>
        </w:tc>
        <w:tc>
          <w:tcPr>
            <w:tcW w:w="110" w:type="dxa"/>
            <w:tcBorders/>
            <w:shd w:fill="auto" w:val="clear"/>
            <w:vAlign w:val="bottom"/>
          </w:tcPr>
          <w:p>
            <w:pPr>
              <w:pStyle w:val="TableContents"/>
              <w:spacing w:before="0" w:after="0"/>
              <w:ind w:left="0" w:right="0" w:hanging="0"/>
              <w:rPr/>
            </w:pPr>
            <w:r>
              <w:rPr/>
              <w:t> </w:t>
            </w:r>
          </w:p>
        </w:tc>
        <w:tc>
          <w:tcPr>
            <w:tcW w:w="120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2,405</w:t>
            </w:r>
          </w:p>
        </w:tc>
        <w:tc>
          <w:tcPr>
            <w:tcW w:w="117" w:type="dxa"/>
            <w:tcBorders/>
            <w:shd w:fill="auto" w:val="clear"/>
            <w:vAlign w:val="bottom"/>
          </w:tcPr>
          <w:p>
            <w:pPr>
              <w:pStyle w:val="TableContents"/>
              <w:spacing w:before="0" w:after="0"/>
              <w:ind w:left="0" w:right="0" w:hanging="0"/>
              <w:rPr/>
            </w:pPr>
            <w:r>
              <w:rPr/>
              <w:t> </w:t>
            </w:r>
          </w:p>
        </w:tc>
      </w:tr>
      <w:tr>
        <w:trPr/>
        <w:tc>
          <w:tcPr>
            <w:tcW w:w="745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current assets</w:t>
            </w:r>
          </w:p>
        </w:tc>
        <w:tc>
          <w:tcPr>
            <w:tcW w:w="108" w:type="dxa"/>
            <w:tcBorders/>
            <w:shd w:fill="CCEEFF" w:val="clear"/>
            <w:vAlign w:val="bottom"/>
          </w:tcPr>
          <w:p>
            <w:pPr>
              <w:pStyle w:val="TableContents"/>
              <w:spacing w:before="0" w:after="0"/>
              <w:ind w:left="0" w:right="0" w:hanging="0"/>
              <w:rPr/>
            </w:pPr>
            <w:r>
              <w:rPr/>
              <w:t> </w:t>
            </w:r>
          </w:p>
        </w:tc>
        <w:tc>
          <w:tcPr>
            <w:tcW w:w="120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32,155</w:t>
            </w:r>
          </w:p>
        </w:tc>
        <w:tc>
          <w:tcPr>
            <w:tcW w:w="110" w:type="dxa"/>
            <w:tcBorders/>
            <w:shd w:fill="CCEEFF" w:val="clear"/>
            <w:vAlign w:val="bottom"/>
          </w:tcPr>
          <w:p>
            <w:pPr>
              <w:pStyle w:val="TableContents"/>
              <w:spacing w:before="0" w:after="0"/>
              <w:ind w:left="0" w:right="0" w:hanging="0"/>
              <w:rPr/>
            </w:pPr>
            <w:r>
              <w:rPr/>
              <w:t> </w:t>
            </w:r>
          </w:p>
        </w:tc>
        <w:tc>
          <w:tcPr>
            <w:tcW w:w="120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36,283</w:t>
            </w:r>
          </w:p>
        </w:tc>
        <w:tc>
          <w:tcPr>
            <w:tcW w:w="117" w:type="dxa"/>
            <w:tcBorders/>
            <w:shd w:fill="CCEEFF" w:val="clear"/>
            <w:vAlign w:val="bottom"/>
          </w:tcPr>
          <w:p>
            <w:pPr>
              <w:pStyle w:val="TableContents"/>
              <w:spacing w:before="0" w:after="0"/>
              <w:ind w:left="0" w:right="0" w:hanging="0"/>
              <w:rPr/>
            </w:pPr>
            <w:r>
              <w:rPr/>
              <w:t> </w:t>
            </w:r>
          </w:p>
        </w:tc>
      </w:tr>
      <w:tr>
        <w:trPr/>
        <w:tc>
          <w:tcPr>
            <w:tcW w:w="7454" w:type="dxa"/>
            <w:tcBorders/>
            <w:shd w:fill="auto" w:val="clear"/>
          </w:tcPr>
          <w:p>
            <w:pPr>
              <w:pStyle w:val="TableContents"/>
              <w:spacing w:before="0" w:after="0"/>
              <w:ind w:left="0" w:right="0" w:hanging="0"/>
              <w:rPr/>
            </w:pPr>
            <w:r>
              <w:rPr/>
              <w:t> </w:t>
            </w:r>
          </w:p>
        </w:tc>
        <w:tc>
          <w:tcPr>
            <w:tcW w:w="108"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r>
      <w:tr>
        <w:trPr/>
        <w:tc>
          <w:tcPr>
            <w:tcW w:w="7454"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PROPERTY AND EQUIPMENT:</w:t>
            </w:r>
          </w:p>
        </w:tc>
        <w:tc>
          <w:tcPr>
            <w:tcW w:w="108"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pPr>
            <w:r>
              <w:rPr/>
              <w:t> </w:t>
            </w:r>
          </w:p>
        </w:tc>
        <w:tc>
          <w:tcPr>
            <w:tcW w:w="117" w:type="dxa"/>
            <w:tcBorders/>
            <w:shd w:fill="CCEEFF" w:val="clear"/>
            <w:vAlign w:val="bottom"/>
          </w:tcPr>
          <w:p>
            <w:pPr>
              <w:pStyle w:val="TableContents"/>
              <w:spacing w:before="0" w:after="0"/>
              <w:ind w:left="0" w:right="0" w:hanging="0"/>
              <w:rPr/>
            </w:pPr>
            <w:r>
              <w:rPr/>
              <w:t> </w:t>
            </w:r>
          </w:p>
        </w:tc>
      </w:tr>
      <w:tr>
        <w:trPr/>
        <w:tc>
          <w:tcPr>
            <w:tcW w:w="7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Equipment</w:t>
            </w:r>
          </w:p>
        </w:tc>
        <w:tc>
          <w:tcPr>
            <w:tcW w:w="108"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24,404</w:t>
            </w:r>
          </w:p>
        </w:tc>
        <w:tc>
          <w:tcPr>
            <w:tcW w:w="110"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22,250</w:t>
            </w:r>
          </w:p>
        </w:tc>
        <w:tc>
          <w:tcPr>
            <w:tcW w:w="117" w:type="dxa"/>
            <w:tcBorders/>
            <w:shd w:fill="auto" w:val="clear"/>
            <w:vAlign w:val="bottom"/>
          </w:tcPr>
          <w:p>
            <w:pPr>
              <w:pStyle w:val="TableContents"/>
              <w:spacing w:before="0" w:after="0"/>
              <w:ind w:left="0" w:right="0" w:hanging="0"/>
              <w:rPr/>
            </w:pPr>
            <w:r>
              <w:rPr/>
              <w:t> </w:t>
            </w:r>
          </w:p>
        </w:tc>
      </w:tr>
      <w:tr>
        <w:trPr/>
        <w:tc>
          <w:tcPr>
            <w:tcW w:w="745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Furniture and fixtures</w:t>
            </w:r>
          </w:p>
        </w:tc>
        <w:tc>
          <w:tcPr>
            <w:tcW w:w="108"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8,067</w:t>
            </w:r>
          </w:p>
        </w:tc>
        <w:tc>
          <w:tcPr>
            <w:tcW w:w="110"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7,648</w:t>
            </w:r>
          </w:p>
        </w:tc>
        <w:tc>
          <w:tcPr>
            <w:tcW w:w="117" w:type="dxa"/>
            <w:tcBorders/>
            <w:shd w:fill="CCEEFF" w:val="clear"/>
            <w:vAlign w:val="bottom"/>
          </w:tcPr>
          <w:p>
            <w:pPr>
              <w:pStyle w:val="TableContents"/>
              <w:spacing w:before="0" w:after="0"/>
              <w:ind w:left="0" w:right="0" w:hanging="0"/>
              <w:rPr/>
            </w:pPr>
            <w:r>
              <w:rPr/>
              <w:t> </w:t>
            </w:r>
          </w:p>
        </w:tc>
      </w:tr>
      <w:tr>
        <w:trPr/>
        <w:tc>
          <w:tcPr>
            <w:tcW w:w="7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Leasehold improvements</w:t>
            </w:r>
          </w:p>
        </w:tc>
        <w:tc>
          <w:tcPr>
            <w:tcW w:w="108"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7,281</w:t>
            </w:r>
          </w:p>
        </w:tc>
        <w:tc>
          <w:tcPr>
            <w:tcW w:w="110"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6,513</w:t>
            </w:r>
          </w:p>
        </w:tc>
        <w:tc>
          <w:tcPr>
            <w:tcW w:w="117" w:type="dxa"/>
            <w:tcBorders/>
            <w:shd w:fill="auto" w:val="clear"/>
            <w:vAlign w:val="bottom"/>
          </w:tcPr>
          <w:p>
            <w:pPr>
              <w:pStyle w:val="TableContents"/>
              <w:spacing w:before="0" w:after="0"/>
              <w:ind w:left="0" w:right="0" w:hanging="0"/>
              <w:rPr/>
            </w:pPr>
            <w:r>
              <w:rPr/>
              <w:t> </w:t>
            </w:r>
          </w:p>
        </w:tc>
      </w:tr>
      <w:tr>
        <w:trPr/>
        <w:tc>
          <w:tcPr>
            <w:tcW w:w="745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Construction in progress</w:t>
            </w:r>
          </w:p>
        </w:tc>
        <w:tc>
          <w:tcPr>
            <w:tcW w:w="108" w:type="dxa"/>
            <w:tcBorders/>
            <w:shd w:fill="CCEEFF" w:val="clear"/>
            <w:vAlign w:val="bottom"/>
          </w:tcPr>
          <w:p>
            <w:pPr>
              <w:pStyle w:val="TableContents"/>
              <w:spacing w:before="0" w:after="0"/>
              <w:ind w:left="0" w:right="0" w:hanging="0"/>
              <w:rPr/>
            </w:pPr>
            <w:r>
              <w:rPr/>
              <w:t> </w:t>
            </w:r>
          </w:p>
        </w:tc>
        <w:tc>
          <w:tcPr>
            <w:tcW w:w="120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920</w:t>
            </w:r>
          </w:p>
        </w:tc>
        <w:tc>
          <w:tcPr>
            <w:tcW w:w="110" w:type="dxa"/>
            <w:tcBorders/>
            <w:shd w:fill="CCEEFF" w:val="clear"/>
            <w:vAlign w:val="bottom"/>
          </w:tcPr>
          <w:p>
            <w:pPr>
              <w:pStyle w:val="TableContents"/>
              <w:spacing w:before="0" w:after="0"/>
              <w:ind w:left="0" w:right="0" w:hanging="0"/>
              <w:rPr/>
            </w:pPr>
            <w:r>
              <w:rPr/>
              <w:t> </w:t>
            </w:r>
          </w:p>
        </w:tc>
        <w:tc>
          <w:tcPr>
            <w:tcW w:w="120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1,496</w:t>
            </w:r>
          </w:p>
        </w:tc>
        <w:tc>
          <w:tcPr>
            <w:tcW w:w="117" w:type="dxa"/>
            <w:tcBorders/>
            <w:shd w:fill="CCEEFF" w:val="clear"/>
            <w:vAlign w:val="bottom"/>
          </w:tcPr>
          <w:p>
            <w:pPr>
              <w:pStyle w:val="TableContents"/>
              <w:spacing w:before="0" w:after="0"/>
              <w:ind w:left="0" w:right="0" w:hanging="0"/>
              <w:rPr/>
            </w:pPr>
            <w:r>
              <w:rPr/>
              <w:t> </w:t>
            </w:r>
          </w:p>
        </w:tc>
      </w:tr>
      <w:tr>
        <w:trPr/>
        <w:tc>
          <w:tcPr>
            <w:tcW w:w="7454" w:type="dxa"/>
            <w:tcBorders/>
            <w:shd w:fill="auto" w:val="clear"/>
          </w:tcPr>
          <w:p>
            <w:pPr>
              <w:pStyle w:val="TableContents"/>
              <w:spacing w:before="0" w:after="0"/>
              <w:ind w:left="0" w:right="0" w:hanging="0"/>
              <w:rPr/>
            </w:pPr>
            <w:r>
              <w:rPr/>
              <w:t> </w:t>
            </w:r>
          </w:p>
        </w:tc>
        <w:tc>
          <w:tcPr>
            <w:tcW w:w="108" w:type="dxa"/>
            <w:tcBorders/>
            <w:shd w:fill="auto" w:val="clear"/>
            <w:vAlign w:val="bottom"/>
          </w:tcPr>
          <w:p>
            <w:pPr>
              <w:pStyle w:val="TableContents"/>
              <w:spacing w:before="0" w:after="0"/>
              <w:ind w:left="0" w:right="0" w:hanging="0"/>
              <w:rPr/>
            </w:pPr>
            <w:r>
              <w:rPr/>
              <w:t> </w:t>
            </w:r>
          </w:p>
        </w:tc>
        <w:tc>
          <w:tcPr>
            <w:tcW w:w="1208" w:type="dxa"/>
            <w:gridSpan w:val="2"/>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40,672</w:t>
            </w:r>
          </w:p>
        </w:tc>
        <w:tc>
          <w:tcPr>
            <w:tcW w:w="110"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37,907</w:t>
            </w:r>
          </w:p>
        </w:tc>
        <w:tc>
          <w:tcPr>
            <w:tcW w:w="117" w:type="dxa"/>
            <w:tcBorders/>
            <w:shd w:fill="auto" w:val="clear"/>
            <w:vAlign w:val="bottom"/>
          </w:tcPr>
          <w:p>
            <w:pPr>
              <w:pStyle w:val="TableContents"/>
              <w:spacing w:before="0" w:after="0"/>
              <w:ind w:left="0" w:right="0" w:hanging="0"/>
              <w:rPr/>
            </w:pPr>
            <w:r>
              <w:rPr/>
              <w:t> </w:t>
            </w:r>
          </w:p>
        </w:tc>
      </w:tr>
      <w:tr>
        <w:trPr/>
        <w:tc>
          <w:tcPr>
            <w:tcW w:w="745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Less accumulated depreciation</w:t>
            </w:r>
          </w:p>
        </w:tc>
        <w:tc>
          <w:tcPr>
            <w:tcW w:w="108" w:type="dxa"/>
            <w:tcBorders/>
            <w:shd w:fill="CCEEFF" w:val="clear"/>
            <w:vAlign w:val="bottom"/>
          </w:tcPr>
          <w:p>
            <w:pPr>
              <w:pStyle w:val="TableContents"/>
              <w:spacing w:before="0" w:after="0"/>
              <w:ind w:left="0" w:right="0" w:hanging="0"/>
              <w:rPr/>
            </w:pPr>
            <w:r>
              <w:rPr/>
              <w:t> </w:t>
            </w:r>
          </w:p>
        </w:tc>
        <w:tc>
          <w:tcPr>
            <w:tcW w:w="120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(27,317</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(25,636</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property and equipment</w:t>
            </w:r>
          </w:p>
        </w:tc>
        <w:tc>
          <w:tcPr>
            <w:tcW w:w="108" w:type="dxa"/>
            <w:tcBorders/>
            <w:shd w:fill="auto" w:val="clear"/>
            <w:vAlign w:val="bottom"/>
          </w:tcPr>
          <w:p>
            <w:pPr>
              <w:pStyle w:val="TableContents"/>
              <w:spacing w:before="0" w:after="0"/>
              <w:ind w:left="0" w:right="0" w:hanging="0"/>
              <w:rPr/>
            </w:pPr>
            <w:r>
              <w:rPr/>
              <w:t> </w:t>
            </w:r>
          </w:p>
        </w:tc>
        <w:tc>
          <w:tcPr>
            <w:tcW w:w="120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13,355</w:t>
            </w:r>
          </w:p>
        </w:tc>
        <w:tc>
          <w:tcPr>
            <w:tcW w:w="110" w:type="dxa"/>
            <w:tcBorders/>
            <w:shd w:fill="auto" w:val="clear"/>
            <w:vAlign w:val="bottom"/>
          </w:tcPr>
          <w:p>
            <w:pPr>
              <w:pStyle w:val="TableContents"/>
              <w:spacing w:before="0" w:after="0"/>
              <w:ind w:left="0" w:right="0" w:hanging="0"/>
              <w:rPr/>
            </w:pPr>
            <w:r>
              <w:rPr/>
              <w:t> </w:t>
            </w:r>
          </w:p>
        </w:tc>
        <w:tc>
          <w:tcPr>
            <w:tcW w:w="120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12,271</w:t>
            </w:r>
          </w:p>
        </w:tc>
        <w:tc>
          <w:tcPr>
            <w:tcW w:w="117" w:type="dxa"/>
            <w:tcBorders/>
            <w:shd w:fill="auto" w:val="clear"/>
            <w:vAlign w:val="bottom"/>
          </w:tcPr>
          <w:p>
            <w:pPr>
              <w:pStyle w:val="TableContents"/>
              <w:spacing w:before="0" w:after="0"/>
              <w:ind w:left="0" w:right="0" w:hanging="0"/>
              <w:rPr/>
            </w:pPr>
            <w:r>
              <w:rPr/>
              <w:t> </w:t>
            </w:r>
          </w:p>
        </w:tc>
      </w:tr>
      <w:tr>
        <w:trPr/>
        <w:tc>
          <w:tcPr>
            <w:tcW w:w="7454" w:type="dxa"/>
            <w:tcBorders/>
            <w:shd w:fill="CCEEFF" w:val="clear"/>
          </w:tcPr>
          <w:p>
            <w:pPr>
              <w:pStyle w:val="TableContents"/>
              <w:spacing w:before="0" w:after="0"/>
              <w:ind w:left="0" w:right="0" w:hanging="0"/>
              <w:rPr/>
            </w:pPr>
            <w:r>
              <w:rPr/>
              <w:t> </w:t>
            </w:r>
          </w:p>
        </w:tc>
        <w:tc>
          <w:tcPr>
            <w:tcW w:w="108"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pPr>
            <w:r>
              <w:rPr/>
              <w:t> </w:t>
            </w:r>
          </w:p>
        </w:tc>
        <w:tc>
          <w:tcPr>
            <w:tcW w:w="117" w:type="dxa"/>
            <w:tcBorders/>
            <w:shd w:fill="CCEEFF" w:val="clear"/>
            <w:vAlign w:val="bottom"/>
          </w:tcPr>
          <w:p>
            <w:pPr>
              <w:pStyle w:val="TableContents"/>
              <w:spacing w:before="0" w:after="0"/>
              <w:ind w:left="0" w:right="0" w:hanging="0"/>
              <w:rPr/>
            </w:pPr>
            <w:r>
              <w:rPr/>
              <w:t> </w:t>
            </w:r>
          </w:p>
        </w:tc>
      </w:tr>
      <w:tr>
        <w:trPr/>
        <w:tc>
          <w:tcPr>
            <w:tcW w:w="7454"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OTHER ASSETS AND DEFERRED COSTS</w:t>
            </w:r>
          </w:p>
        </w:tc>
        <w:tc>
          <w:tcPr>
            <w:tcW w:w="108"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r>
      <w:tr>
        <w:trPr/>
        <w:tc>
          <w:tcPr>
            <w:tcW w:w="745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of accumulated amortization: July 2, 2005 - $1,282; January 1, 2005 - $1,193)</w:t>
            </w:r>
          </w:p>
        </w:tc>
        <w:tc>
          <w:tcPr>
            <w:tcW w:w="108"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1,002</w:t>
            </w:r>
          </w:p>
        </w:tc>
        <w:tc>
          <w:tcPr>
            <w:tcW w:w="110"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785</w:t>
            </w:r>
          </w:p>
        </w:tc>
        <w:tc>
          <w:tcPr>
            <w:tcW w:w="117" w:type="dxa"/>
            <w:tcBorders/>
            <w:shd w:fill="CCEEFF" w:val="clear"/>
            <w:vAlign w:val="bottom"/>
          </w:tcPr>
          <w:p>
            <w:pPr>
              <w:pStyle w:val="TableContents"/>
              <w:spacing w:before="0" w:after="0"/>
              <w:ind w:left="0" w:right="0" w:hanging="0"/>
              <w:rPr/>
            </w:pPr>
            <w:r>
              <w:rPr/>
              <w:t> </w:t>
            </w:r>
          </w:p>
        </w:tc>
      </w:tr>
      <w:tr>
        <w:trPr/>
        <w:tc>
          <w:tcPr>
            <w:tcW w:w="7454" w:type="dxa"/>
            <w:tcBorders/>
            <w:shd w:fill="auto" w:val="clear"/>
          </w:tcPr>
          <w:p>
            <w:pPr>
              <w:pStyle w:val="TableContents"/>
              <w:spacing w:before="0" w:after="0"/>
              <w:ind w:left="0" w:right="0" w:hanging="0"/>
              <w:rPr/>
            </w:pPr>
            <w:r>
              <w:rPr/>
              <w:t> </w:t>
            </w:r>
          </w:p>
        </w:tc>
        <w:tc>
          <w:tcPr>
            <w:tcW w:w="108"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r>
      <w:tr>
        <w:trPr/>
        <w:tc>
          <w:tcPr>
            <w:tcW w:w="7454"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INTANGIBLE VALUE OF CONTRACTUAL RIGHTS</w:t>
            </w:r>
          </w:p>
        </w:tc>
        <w:tc>
          <w:tcPr>
            <w:tcW w:w="108"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pPr>
            <w:r>
              <w:rPr/>
              <w:t> </w:t>
            </w:r>
          </w:p>
        </w:tc>
        <w:tc>
          <w:tcPr>
            <w:tcW w:w="117" w:type="dxa"/>
            <w:tcBorders/>
            <w:shd w:fill="CCEEFF" w:val="clear"/>
            <w:vAlign w:val="bottom"/>
          </w:tcPr>
          <w:p>
            <w:pPr>
              <w:pStyle w:val="TableContents"/>
              <w:spacing w:before="0" w:after="0"/>
              <w:ind w:left="0" w:right="0" w:hanging="0"/>
              <w:rPr/>
            </w:pPr>
            <w:r>
              <w:rPr/>
              <w:t> </w:t>
            </w:r>
          </w:p>
        </w:tc>
      </w:tr>
      <w:tr>
        <w:trPr/>
        <w:tc>
          <w:tcPr>
            <w:tcW w:w="7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of accumulated amortization: July 2, 2005 - $30,729; January 1, 2005 - $26,974)</w:t>
            </w:r>
          </w:p>
        </w:tc>
        <w:tc>
          <w:tcPr>
            <w:tcW w:w="108" w:type="dxa"/>
            <w:tcBorders/>
            <w:shd w:fill="auto" w:val="clear"/>
            <w:vAlign w:val="bottom"/>
          </w:tcPr>
          <w:p>
            <w:pPr>
              <w:pStyle w:val="TableContents"/>
              <w:spacing w:before="0" w:after="0"/>
              <w:ind w:left="0" w:right="0" w:hanging="0"/>
              <w:rPr/>
            </w:pPr>
            <w:r>
              <w:rPr/>
              <w:t> </w:t>
            </w:r>
          </w:p>
        </w:tc>
        <w:tc>
          <w:tcPr>
            <w:tcW w:w="120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82,016</w:t>
            </w:r>
          </w:p>
        </w:tc>
        <w:tc>
          <w:tcPr>
            <w:tcW w:w="110" w:type="dxa"/>
            <w:tcBorders/>
            <w:shd w:fill="auto" w:val="clear"/>
            <w:vAlign w:val="bottom"/>
          </w:tcPr>
          <w:p>
            <w:pPr>
              <w:pStyle w:val="TableContents"/>
              <w:spacing w:before="0" w:after="0"/>
              <w:ind w:left="0" w:right="0" w:hanging="0"/>
              <w:rPr/>
            </w:pPr>
            <w:r>
              <w:rPr/>
              <w:t> </w:t>
            </w:r>
          </w:p>
        </w:tc>
        <w:tc>
          <w:tcPr>
            <w:tcW w:w="120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85,771</w:t>
            </w:r>
          </w:p>
        </w:tc>
        <w:tc>
          <w:tcPr>
            <w:tcW w:w="117" w:type="dxa"/>
            <w:tcBorders/>
            <w:shd w:fill="auto" w:val="clear"/>
            <w:vAlign w:val="bottom"/>
          </w:tcPr>
          <w:p>
            <w:pPr>
              <w:pStyle w:val="TableContents"/>
              <w:spacing w:before="0" w:after="0"/>
              <w:ind w:left="0" w:right="0" w:hanging="0"/>
              <w:rPr/>
            </w:pPr>
            <w:r>
              <w:rPr/>
              <w:t> </w:t>
            </w:r>
          </w:p>
        </w:tc>
      </w:tr>
      <w:tr>
        <w:trPr/>
        <w:tc>
          <w:tcPr>
            <w:tcW w:w="7454" w:type="dxa"/>
            <w:tcBorders/>
            <w:shd w:fill="CCEEFF" w:val="clear"/>
          </w:tcPr>
          <w:p>
            <w:pPr>
              <w:pStyle w:val="TableContents"/>
              <w:spacing w:before="0" w:after="0"/>
              <w:ind w:left="0" w:right="0" w:hanging="0"/>
              <w:rPr/>
            </w:pPr>
            <w:r>
              <w:rPr/>
              <w:t> </w:t>
            </w:r>
          </w:p>
        </w:tc>
        <w:tc>
          <w:tcPr>
            <w:tcW w:w="108" w:type="dxa"/>
            <w:tcBorders/>
            <w:shd w:fill="CCEEFF" w:val="clear"/>
            <w:vAlign w:val="bottom"/>
          </w:tcPr>
          <w:p>
            <w:pPr>
              <w:pStyle w:val="TableContents"/>
              <w:spacing w:before="0" w:after="0"/>
              <w:ind w:left="0" w:right="0" w:hanging="0"/>
              <w:rPr/>
            </w:pPr>
            <w:r>
              <w:rPr/>
              <w:t> </w:t>
            </w:r>
          </w:p>
        </w:tc>
        <w:tc>
          <w:tcPr>
            <w:tcW w:w="112"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128,528</w:t>
            </w:r>
          </w:p>
        </w:tc>
        <w:tc>
          <w:tcPr>
            <w:tcW w:w="110" w:type="dxa"/>
            <w:tcBorders/>
            <w:shd w:fill="CCEEFF" w:val="clear"/>
            <w:vAlign w:val="bottom"/>
          </w:tcPr>
          <w:p>
            <w:pPr>
              <w:pStyle w:val="TableContents"/>
              <w:spacing w:before="0" w:after="0"/>
              <w:ind w:left="0" w:right="0" w:hanging="0"/>
              <w:rPr/>
            </w:pPr>
            <w:r>
              <w:rPr/>
              <w:t> </w:t>
            </w:r>
          </w:p>
        </w:tc>
        <w:tc>
          <w:tcPr>
            <w:tcW w:w="112"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135,110</w:t>
            </w:r>
          </w:p>
        </w:tc>
        <w:tc>
          <w:tcPr>
            <w:tcW w:w="117"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p>
    <w:p>
      <w:pPr>
        <w:pStyle w:val="HorizontalLine"/>
        <w:pBdr>
          <w:bottom w:val="single" w:sz="12"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NATIONAL VISION, INC.</w:t>
      </w:r>
    </w:p>
    <w:p>
      <w:pPr>
        <w:pStyle w:val="Heading5"/>
        <w:spacing w:before="0" w:after="0"/>
        <w:ind w:left="0" w:right="0" w:hanging="0"/>
        <w:rPr>
          <w:rFonts w:ascii="Times New Roman" w:hAnsi="Times New Roman"/>
          <w:b/>
          <w:sz w:val="17"/>
        </w:rPr>
      </w:pPr>
      <w:r>
        <w:rPr>
          <w:rFonts w:ascii="Times New Roman" w:hAnsi="Times New Roman"/>
          <w:b/>
          <w:sz w:val="17"/>
        </w:rPr>
        <w:t>CONDENSED CONSOLIDATED BALANCE SHEETS</w:t>
      </w:r>
    </w:p>
    <w:p>
      <w:pPr>
        <w:pStyle w:val="Heading1"/>
        <w:spacing w:before="0" w:after="0"/>
        <w:ind w:left="0" w:right="0" w:hanging="0"/>
        <w:jc w:val="center"/>
        <w:rPr>
          <w:rFonts w:ascii="Times New Roman" w:hAnsi="Times New Roman"/>
          <w:b/>
          <w:sz w:val="17"/>
        </w:rPr>
      </w:pPr>
      <w:r>
        <w:rPr>
          <w:rFonts w:ascii="Times New Roman" w:hAnsi="Times New Roman"/>
          <w:b/>
          <w:sz w:val="17"/>
        </w:rPr>
        <w:t>July 2, 2005 and January 1, 2005</w:t>
      </w:r>
    </w:p>
    <w:p>
      <w:pPr>
        <w:pStyle w:val="TextBody"/>
        <w:spacing w:before="0" w:after="0"/>
        <w:ind w:left="0" w:right="0" w:hanging="0"/>
        <w:jc w:val="center"/>
        <w:rPr>
          <w:rFonts w:ascii="Times New Roman" w:hAnsi="Times New Roman"/>
          <w:b/>
          <w:sz w:val="17"/>
        </w:rPr>
      </w:pPr>
      <w:r>
        <w:rPr>
          <w:rFonts w:ascii="Times New Roman" w:hAnsi="Times New Roman"/>
          <w:b/>
          <w:sz w:val="17"/>
        </w:rPr>
        <w:t>(in thousands except share and par value information)</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458"/>
        <w:gridCol w:w="108"/>
        <w:gridCol w:w="112"/>
        <w:gridCol w:w="1095"/>
        <w:gridCol w:w="110"/>
        <w:gridCol w:w="112"/>
        <w:gridCol w:w="1095"/>
        <w:gridCol w:w="115"/>
      </w:tblGrid>
      <w:tr>
        <w:trPr/>
        <w:tc>
          <w:tcPr>
            <w:tcW w:w="7458" w:type="dxa"/>
            <w:tcBorders/>
            <w:shd w:fill="auto" w:val="clear"/>
            <w:vAlign w:val="bottom"/>
          </w:tcPr>
          <w:p>
            <w:pPr>
              <w:pStyle w:val="TableContents"/>
              <w:spacing w:before="0" w:after="0"/>
              <w:ind w:left="0" w:right="0" w:hanging="0"/>
              <w:jc w:val="center"/>
              <w:rPr/>
            </w:pPr>
            <w:r>
              <w:rPr/>
              <w:t> </w:t>
            </w:r>
          </w:p>
        </w:tc>
        <w:tc>
          <w:tcPr>
            <w:tcW w:w="108" w:type="dxa"/>
            <w:tcBorders/>
            <w:shd w:fill="auto" w:val="clear"/>
            <w:vAlign w:val="bottom"/>
          </w:tcPr>
          <w:p>
            <w:pPr>
              <w:pStyle w:val="TableContents"/>
              <w:spacing w:before="0" w:after="0"/>
              <w:ind w:left="0" w:right="0" w:hanging="0"/>
              <w:rPr/>
            </w:pPr>
            <w:r>
              <w:rPr/>
              <w:t> </w:t>
            </w:r>
          </w:p>
        </w:tc>
        <w:tc>
          <w:tcPr>
            <w:tcW w:w="120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2, 2005</w:t>
              <w:br/>
              <w:t>(Unaudited)</w:t>
            </w:r>
          </w:p>
        </w:tc>
        <w:tc>
          <w:tcPr>
            <w:tcW w:w="110" w:type="dxa"/>
            <w:tcBorders/>
            <w:shd w:fill="auto" w:val="clear"/>
            <w:vAlign w:val="bottom"/>
          </w:tcPr>
          <w:p>
            <w:pPr>
              <w:pStyle w:val="TableContents"/>
              <w:spacing w:before="0" w:after="0"/>
              <w:ind w:left="0" w:right="0" w:hanging="0"/>
              <w:rPr/>
            </w:pPr>
            <w:r>
              <w:rPr/>
              <w:t> </w:t>
            </w:r>
          </w:p>
        </w:tc>
        <w:tc>
          <w:tcPr>
            <w:tcW w:w="120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January 1, 2005</w:t>
            </w:r>
          </w:p>
        </w:tc>
        <w:tc>
          <w:tcPr>
            <w:tcW w:w="115" w:type="dxa"/>
            <w:tcBorders/>
            <w:shd w:fill="auto" w:val="clear"/>
            <w:vAlign w:val="bottom"/>
          </w:tcPr>
          <w:p>
            <w:pPr>
              <w:pStyle w:val="TableContents"/>
              <w:spacing w:before="0" w:after="0"/>
              <w:ind w:left="0" w:right="0" w:hanging="0"/>
              <w:rPr/>
            </w:pPr>
            <w:r>
              <w:rPr/>
              <w:t> </w:t>
            </w:r>
          </w:p>
        </w:tc>
      </w:tr>
      <w:tr>
        <w:trPr/>
        <w:tc>
          <w:tcPr>
            <w:tcW w:w="7458" w:type="dxa"/>
            <w:tcBorders/>
            <w:shd w:fill="auto" w:val="clear"/>
            <w:vAlign w:val="bottom"/>
          </w:tcPr>
          <w:p>
            <w:pPr>
              <w:pStyle w:val="TableContents"/>
              <w:spacing w:before="0" w:after="0"/>
              <w:ind w:left="0" w:right="0" w:hanging="0"/>
              <w:jc w:val="center"/>
              <w:rPr/>
            </w:pPr>
            <w:r>
              <w:rPr/>
              <w:t> </w:t>
            </w:r>
          </w:p>
        </w:tc>
        <w:tc>
          <w:tcPr>
            <w:tcW w:w="108" w:type="dxa"/>
            <w:tcBorders/>
            <w:shd w:fill="auto" w:val="clear"/>
            <w:vAlign w:val="bottom"/>
          </w:tcPr>
          <w:p>
            <w:pPr>
              <w:pStyle w:val="TableContents"/>
              <w:spacing w:before="0" w:after="0"/>
              <w:ind w:left="0" w:right="0" w:hanging="0"/>
              <w:rPr/>
            </w:pPr>
            <w:r>
              <w:rPr/>
              <w:t> </w:t>
            </w:r>
          </w:p>
        </w:tc>
        <w:tc>
          <w:tcPr>
            <w:tcW w:w="1207" w:type="dxa"/>
            <w:gridSpan w:val="2"/>
            <w:tcBorders/>
            <w:shd w:fill="auto" w:val="clear"/>
            <w:vAlign w:val="bottom"/>
          </w:tcPr>
          <w:p>
            <w:pPr>
              <w:pStyle w:val="TableContents"/>
              <w:spacing w:before="0" w:after="0"/>
              <w:ind w:left="0" w:right="0" w:hanging="0"/>
              <w:jc w:val="center"/>
              <w:rPr/>
            </w:pPr>
            <w:r>
              <w:rPr/>
              <w:t> </w:t>
            </w:r>
          </w:p>
        </w:tc>
        <w:tc>
          <w:tcPr>
            <w:tcW w:w="110" w:type="dxa"/>
            <w:tcBorders/>
            <w:shd w:fill="auto" w:val="clear"/>
            <w:vAlign w:val="bottom"/>
          </w:tcPr>
          <w:p>
            <w:pPr>
              <w:pStyle w:val="TableContents"/>
              <w:spacing w:before="0" w:after="0"/>
              <w:ind w:left="0" w:right="0" w:hanging="0"/>
              <w:rPr/>
            </w:pPr>
            <w:r>
              <w:rPr/>
              <w:t> </w:t>
            </w:r>
          </w:p>
        </w:tc>
        <w:tc>
          <w:tcPr>
            <w:tcW w:w="1207" w:type="dxa"/>
            <w:gridSpan w:val="2"/>
            <w:tcBorders/>
            <w:shd w:fill="auto" w:val="clear"/>
            <w:vAlign w:val="bottom"/>
          </w:tcPr>
          <w:p>
            <w:pPr>
              <w:pStyle w:val="TableContents"/>
              <w:spacing w:before="0" w:after="0"/>
              <w:ind w:left="0" w:right="0" w:hanging="0"/>
              <w:jc w:val="center"/>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7458"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LIABILITIES AND SHAREHOLDERS EQUITY</w:t>
            </w:r>
          </w:p>
        </w:tc>
        <w:tc>
          <w:tcPr>
            <w:tcW w:w="108" w:type="dxa"/>
            <w:tcBorders/>
            <w:shd w:fill="CCEEFF" w:val="clear"/>
            <w:vAlign w:val="bottom"/>
          </w:tcPr>
          <w:p>
            <w:pPr>
              <w:pStyle w:val="TableContents"/>
              <w:spacing w:before="0" w:after="0"/>
              <w:ind w:left="0" w:right="0" w:hanging="0"/>
              <w:rPr/>
            </w:pPr>
            <w:r>
              <w:rPr/>
              <w:t> </w:t>
            </w:r>
          </w:p>
        </w:tc>
        <w:tc>
          <w:tcPr>
            <w:tcW w:w="1207" w:type="dxa"/>
            <w:gridSpan w:val="2"/>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1207"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7458" w:type="dxa"/>
            <w:tcBorders/>
            <w:shd w:fill="auto" w:val="clear"/>
          </w:tcPr>
          <w:p>
            <w:pPr>
              <w:pStyle w:val="TableContents"/>
              <w:spacing w:before="0" w:after="0"/>
              <w:ind w:left="0" w:right="0" w:hanging="0"/>
              <w:rPr/>
            </w:pPr>
            <w:r>
              <w:rPr/>
              <w:t> </w:t>
            </w:r>
          </w:p>
        </w:tc>
        <w:tc>
          <w:tcPr>
            <w:tcW w:w="108" w:type="dxa"/>
            <w:tcBorders/>
            <w:shd w:fill="auto" w:val="clear"/>
            <w:vAlign w:val="bottom"/>
          </w:tcPr>
          <w:p>
            <w:pPr>
              <w:pStyle w:val="TableContents"/>
              <w:spacing w:before="0" w:after="0"/>
              <w:ind w:left="0" w:right="0" w:hanging="0"/>
              <w:rPr/>
            </w:pPr>
            <w:r>
              <w:rPr/>
              <w:t> </w:t>
            </w:r>
          </w:p>
        </w:tc>
        <w:tc>
          <w:tcPr>
            <w:tcW w:w="1207" w:type="dxa"/>
            <w:gridSpan w:val="2"/>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1207"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7458"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CURRENT LIABILITIES:</w:t>
            </w:r>
          </w:p>
        </w:tc>
        <w:tc>
          <w:tcPr>
            <w:tcW w:w="108" w:type="dxa"/>
            <w:tcBorders/>
            <w:shd w:fill="CCEEFF" w:val="clear"/>
            <w:vAlign w:val="bottom"/>
          </w:tcPr>
          <w:p>
            <w:pPr>
              <w:pStyle w:val="TableContents"/>
              <w:spacing w:before="0" w:after="0"/>
              <w:ind w:left="0" w:right="0" w:hanging="0"/>
              <w:rPr/>
            </w:pPr>
            <w:r>
              <w:rPr/>
              <w:t> </w:t>
            </w:r>
          </w:p>
        </w:tc>
        <w:tc>
          <w:tcPr>
            <w:tcW w:w="1207" w:type="dxa"/>
            <w:gridSpan w:val="2"/>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1207"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74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Accounts payable</w:t>
            </w:r>
          </w:p>
        </w:tc>
        <w:tc>
          <w:tcPr>
            <w:tcW w:w="108"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3,677</w:t>
            </w:r>
          </w:p>
        </w:tc>
        <w:tc>
          <w:tcPr>
            <w:tcW w:w="110"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3,446</w:t>
            </w:r>
          </w:p>
        </w:tc>
        <w:tc>
          <w:tcPr>
            <w:tcW w:w="115" w:type="dxa"/>
            <w:tcBorders/>
            <w:shd w:fill="auto" w:val="clear"/>
            <w:vAlign w:val="bottom"/>
          </w:tcPr>
          <w:p>
            <w:pPr>
              <w:pStyle w:val="TableContents"/>
              <w:spacing w:before="0" w:after="0"/>
              <w:ind w:left="0" w:right="0" w:hanging="0"/>
              <w:rPr/>
            </w:pPr>
            <w:r>
              <w:rPr/>
              <w:t> </w:t>
            </w:r>
          </w:p>
        </w:tc>
      </w:tr>
      <w:tr>
        <w:trPr/>
        <w:tc>
          <w:tcPr>
            <w:tcW w:w="745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Accrued expenses and other current liabilities</w:t>
            </w:r>
          </w:p>
        </w:tc>
        <w:tc>
          <w:tcPr>
            <w:tcW w:w="108" w:type="dxa"/>
            <w:tcBorders/>
            <w:shd w:fill="CCEEFF" w:val="clear"/>
            <w:vAlign w:val="bottom"/>
          </w:tcPr>
          <w:p>
            <w:pPr>
              <w:pStyle w:val="TableContents"/>
              <w:spacing w:before="0" w:after="0"/>
              <w:ind w:left="0" w:right="0" w:hanging="0"/>
              <w:rPr/>
            </w:pPr>
            <w:r>
              <w:rPr/>
              <w:t> </w:t>
            </w:r>
          </w:p>
        </w:tc>
        <w:tc>
          <w:tcPr>
            <w:tcW w:w="12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23,052</w:t>
            </w:r>
          </w:p>
        </w:tc>
        <w:tc>
          <w:tcPr>
            <w:tcW w:w="110" w:type="dxa"/>
            <w:tcBorders/>
            <w:shd w:fill="CCEEFF" w:val="clear"/>
            <w:vAlign w:val="bottom"/>
          </w:tcPr>
          <w:p>
            <w:pPr>
              <w:pStyle w:val="TableContents"/>
              <w:spacing w:before="0" w:after="0"/>
              <w:ind w:left="0" w:right="0" w:hanging="0"/>
              <w:rPr/>
            </w:pPr>
            <w:r>
              <w:rPr/>
              <w:t> </w:t>
            </w:r>
          </w:p>
        </w:tc>
        <w:tc>
          <w:tcPr>
            <w:tcW w:w="12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23,772</w:t>
            </w:r>
          </w:p>
        </w:tc>
        <w:tc>
          <w:tcPr>
            <w:tcW w:w="115" w:type="dxa"/>
            <w:tcBorders/>
            <w:shd w:fill="CCEEFF" w:val="clear"/>
            <w:vAlign w:val="bottom"/>
          </w:tcPr>
          <w:p>
            <w:pPr>
              <w:pStyle w:val="TableContents"/>
              <w:spacing w:before="0" w:after="0"/>
              <w:ind w:left="0" w:right="0" w:hanging="0"/>
              <w:rPr/>
            </w:pPr>
            <w:r>
              <w:rPr/>
              <w:t> </w:t>
            </w:r>
          </w:p>
        </w:tc>
      </w:tr>
      <w:tr>
        <w:trPr/>
        <w:tc>
          <w:tcPr>
            <w:tcW w:w="74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Current portion of long-term debt</w:t>
            </w:r>
          </w:p>
        </w:tc>
        <w:tc>
          <w:tcPr>
            <w:tcW w:w="108" w:type="dxa"/>
            <w:tcBorders/>
            <w:shd w:fill="auto" w:val="clear"/>
            <w:vAlign w:val="bottom"/>
          </w:tcPr>
          <w:p>
            <w:pPr>
              <w:pStyle w:val="TableContents"/>
              <w:spacing w:before="0" w:after="0"/>
              <w:ind w:left="0" w:right="0" w:hanging="0"/>
              <w:rPr/>
            </w:pPr>
            <w:r>
              <w:rPr/>
              <w:t> </w:t>
            </w:r>
          </w:p>
        </w:tc>
        <w:tc>
          <w:tcPr>
            <w:tcW w:w="120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3,009</w:t>
            </w:r>
          </w:p>
        </w:tc>
        <w:tc>
          <w:tcPr>
            <w:tcW w:w="110" w:type="dxa"/>
            <w:tcBorders/>
            <w:shd w:fill="auto" w:val="clear"/>
            <w:vAlign w:val="bottom"/>
          </w:tcPr>
          <w:p>
            <w:pPr>
              <w:pStyle w:val="TableContents"/>
              <w:spacing w:before="0" w:after="0"/>
              <w:ind w:left="0" w:right="0" w:hanging="0"/>
              <w:rPr/>
            </w:pPr>
            <w:r>
              <w:rPr/>
              <w:t> </w:t>
            </w:r>
          </w:p>
        </w:tc>
        <w:tc>
          <w:tcPr>
            <w:tcW w:w="120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4,858</w:t>
            </w:r>
          </w:p>
        </w:tc>
        <w:tc>
          <w:tcPr>
            <w:tcW w:w="115" w:type="dxa"/>
            <w:tcBorders/>
            <w:shd w:fill="auto" w:val="clear"/>
            <w:vAlign w:val="bottom"/>
          </w:tcPr>
          <w:p>
            <w:pPr>
              <w:pStyle w:val="TableContents"/>
              <w:spacing w:before="0" w:after="0"/>
              <w:ind w:left="0" w:right="0" w:hanging="0"/>
              <w:rPr/>
            </w:pPr>
            <w:r>
              <w:rPr/>
              <w:t> </w:t>
            </w:r>
          </w:p>
        </w:tc>
      </w:tr>
      <w:tr>
        <w:trPr/>
        <w:tc>
          <w:tcPr>
            <w:tcW w:w="745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current liabilities</w:t>
            </w:r>
          </w:p>
        </w:tc>
        <w:tc>
          <w:tcPr>
            <w:tcW w:w="108" w:type="dxa"/>
            <w:tcBorders/>
            <w:shd w:fill="CCEEFF" w:val="clear"/>
            <w:vAlign w:val="bottom"/>
          </w:tcPr>
          <w:p>
            <w:pPr>
              <w:pStyle w:val="TableContents"/>
              <w:spacing w:before="0" w:after="0"/>
              <w:ind w:left="0" w:right="0" w:hanging="0"/>
              <w:rPr/>
            </w:pPr>
            <w:r>
              <w:rPr/>
              <w:t> </w:t>
            </w:r>
          </w:p>
        </w:tc>
        <w:tc>
          <w:tcPr>
            <w:tcW w:w="12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29,738</w:t>
            </w:r>
          </w:p>
        </w:tc>
        <w:tc>
          <w:tcPr>
            <w:tcW w:w="110" w:type="dxa"/>
            <w:tcBorders/>
            <w:shd w:fill="CCEEFF" w:val="clear"/>
            <w:vAlign w:val="bottom"/>
          </w:tcPr>
          <w:p>
            <w:pPr>
              <w:pStyle w:val="TableContents"/>
              <w:spacing w:before="0" w:after="0"/>
              <w:ind w:left="0" w:right="0" w:hanging="0"/>
              <w:rPr/>
            </w:pPr>
            <w:r>
              <w:rPr/>
              <w:t> </w:t>
            </w:r>
          </w:p>
        </w:tc>
        <w:tc>
          <w:tcPr>
            <w:tcW w:w="12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32,076</w:t>
            </w:r>
          </w:p>
        </w:tc>
        <w:tc>
          <w:tcPr>
            <w:tcW w:w="115" w:type="dxa"/>
            <w:tcBorders/>
            <w:shd w:fill="CCEEFF" w:val="clear"/>
            <w:vAlign w:val="bottom"/>
          </w:tcPr>
          <w:p>
            <w:pPr>
              <w:pStyle w:val="TableContents"/>
              <w:spacing w:before="0" w:after="0"/>
              <w:ind w:left="0" w:right="0" w:hanging="0"/>
              <w:rPr/>
            </w:pPr>
            <w:r>
              <w:rPr/>
              <w:t> </w:t>
            </w:r>
          </w:p>
        </w:tc>
      </w:tr>
      <w:tr>
        <w:trPr/>
        <w:tc>
          <w:tcPr>
            <w:tcW w:w="7458" w:type="dxa"/>
            <w:tcBorders/>
            <w:shd w:fill="auto" w:val="clear"/>
          </w:tcPr>
          <w:p>
            <w:pPr>
              <w:pStyle w:val="TableContents"/>
              <w:spacing w:before="0" w:after="0"/>
              <w:ind w:left="0" w:right="0" w:hanging="0"/>
              <w:rPr/>
            </w:pPr>
            <w:r>
              <w:rPr/>
              <w:t> </w:t>
            </w:r>
          </w:p>
        </w:tc>
        <w:tc>
          <w:tcPr>
            <w:tcW w:w="108" w:type="dxa"/>
            <w:tcBorders/>
            <w:shd w:fill="auto" w:val="clear"/>
            <w:vAlign w:val="bottom"/>
          </w:tcPr>
          <w:p>
            <w:pPr>
              <w:pStyle w:val="TableContents"/>
              <w:spacing w:before="0" w:after="0"/>
              <w:ind w:left="0" w:right="0" w:hanging="0"/>
              <w:rPr/>
            </w:pPr>
            <w:r>
              <w:rPr/>
              <w:t> </w:t>
            </w:r>
          </w:p>
        </w:tc>
        <w:tc>
          <w:tcPr>
            <w:tcW w:w="1207" w:type="dxa"/>
            <w:gridSpan w:val="2"/>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1207"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7458"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DEFERRED INCOME TAX LIABILITY</w:t>
            </w:r>
          </w:p>
        </w:tc>
        <w:tc>
          <w:tcPr>
            <w:tcW w:w="108" w:type="dxa"/>
            <w:tcBorders/>
            <w:shd w:fill="CCEEFF" w:val="clear"/>
            <w:vAlign w:val="bottom"/>
          </w:tcPr>
          <w:p>
            <w:pPr>
              <w:pStyle w:val="TableContents"/>
              <w:spacing w:before="0" w:after="0"/>
              <w:ind w:left="0" w:right="0" w:hanging="0"/>
              <w:rPr/>
            </w:pPr>
            <w:r>
              <w:rPr/>
              <w:t> </w:t>
            </w:r>
          </w:p>
        </w:tc>
        <w:tc>
          <w:tcPr>
            <w:tcW w:w="12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8,807</w:t>
            </w:r>
          </w:p>
        </w:tc>
        <w:tc>
          <w:tcPr>
            <w:tcW w:w="110" w:type="dxa"/>
            <w:tcBorders/>
            <w:shd w:fill="CCEEFF" w:val="clear"/>
            <w:vAlign w:val="bottom"/>
          </w:tcPr>
          <w:p>
            <w:pPr>
              <w:pStyle w:val="TableContents"/>
              <w:spacing w:before="0" w:after="0"/>
              <w:ind w:left="0" w:right="0" w:hanging="0"/>
              <w:rPr/>
            </w:pPr>
            <w:r>
              <w:rPr/>
              <w:t> </w:t>
            </w:r>
          </w:p>
        </w:tc>
        <w:tc>
          <w:tcPr>
            <w:tcW w:w="12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8,191</w:t>
            </w:r>
          </w:p>
        </w:tc>
        <w:tc>
          <w:tcPr>
            <w:tcW w:w="115" w:type="dxa"/>
            <w:tcBorders/>
            <w:shd w:fill="CCEEFF" w:val="clear"/>
            <w:vAlign w:val="bottom"/>
          </w:tcPr>
          <w:p>
            <w:pPr>
              <w:pStyle w:val="TableContents"/>
              <w:spacing w:before="0" w:after="0"/>
              <w:ind w:left="0" w:right="0" w:hanging="0"/>
              <w:rPr/>
            </w:pPr>
            <w:r>
              <w:rPr/>
              <w:t> </w:t>
            </w:r>
          </w:p>
        </w:tc>
      </w:tr>
      <w:tr>
        <w:trPr/>
        <w:tc>
          <w:tcPr>
            <w:tcW w:w="7458" w:type="dxa"/>
            <w:tcBorders/>
            <w:shd w:fill="auto" w:val="clear"/>
          </w:tcPr>
          <w:p>
            <w:pPr>
              <w:pStyle w:val="TableContents"/>
              <w:spacing w:before="0" w:after="0"/>
              <w:ind w:left="0" w:right="0" w:hanging="0"/>
              <w:rPr/>
            </w:pPr>
            <w:r>
              <w:rPr/>
              <w:t> </w:t>
            </w:r>
          </w:p>
        </w:tc>
        <w:tc>
          <w:tcPr>
            <w:tcW w:w="108" w:type="dxa"/>
            <w:tcBorders/>
            <w:shd w:fill="auto" w:val="clear"/>
            <w:vAlign w:val="bottom"/>
          </w:tcPr>
          <w:p>
            <w:pPr>
              <w:pStyle w:val="TableContents"/>
              <w:spacing w:before="0" w:after="0"/>
              <w:ind w:left="0" w:right="0" w:hanging="0"/>
              <w:rPr/>
            </w:pPr>
            <w:r>
              <w:rPr/>
              <w:t> </w:t>
            </w:r>
          </w:p>
        </w:tc>
        <w:tc>
          <w:tcPr>
            <w:tcW w:w="1207" w:type="dxa"/>
            <w:gridSpan w:val="2"/>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1207"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7458"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SENIOR SUBORDINATED NOTES</w:t>
            </w:r>
          </w:p>
        </w:tc>
        <w:tc>
          <w:tcPr>
            <w:tcW w:w="108" w:type="dxa"/>
            <w:tcBorders/>
            <w:shd w:fill="CCEEFF" w:val="clear"/>
            <w:vAlign w:val="bottom"/>
          </w:tcPr>
          <w:p>
            <w:pPr>
              <w:pStyle w:val="TableContents"/>
              <w:spacing w:before="0" w:after="0"/>
              <w:ind w:left="0" w:right="0" w:hanging="0"/>
              <w:rPr/>
            </w:pPr>
            <w:r>
              <w:rPr/>
              <w:t> </w:t>
            </w:r>
          </w:p>
        </w:tc>
        <w:tc>
          <w:tcPr>
            <w:tcW w:w="12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63,902</w:t>
            </w:r>
          </w:p>
        </w:tc>
        <w:tc>
          <w:tcPr>
            <w:tcW w:w="110" w:type="dxa"/>
            <w:tcBorders/>
            <w:shd w:fill="CCEEFF" w:val="clear"/>
            <w:vAlign w:val="bottom"/>
          </w:tcPr>
          <w:p>
            <w:pPr>
              <w:pStyle w:val="TableContents"/>
              <w:spacing w:before="0" w:after="0"/>
              <w:ind w:left="0" w:right="0" w:hanging="0"/>
              <w:rPr/>
            </w:pPr>
            <w:r>
              <w:rPr/>
              <w:t> </w:t>
            </w:r>
          </w:p>
        </w:tc>
        <w:tc>
          <w:tcPr>
            <w:tcW w:w="12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72,930</w:t>
            </w:r>
          </w:p>
        </w:tc>
        <w:tc>
          <w:tcPr>
            <w:tcW w:w="115" w:type="dxa"/>
            <w:tcBorders/>
            <w:shd w:fill="CCEEFF" w:val="clear"/>
            <w:vAlign w:val="bottom"/>
          </w:tcPr>
          <w:p>
            <w:pPr>
              <w:pStyle w:val="TableContents"/>
              <w:spacing w:before="0" w:after="0"/>
              <w:ind w:left="0" w:right="0" w:hanging="0"/>
              <w:rPr/>
            </w:pPr>
            <w:r>
              <w:rPr/>
              <w:t> </w:t>
            </w:r>
          </w:p>
        </w:tc>
      </w:tr>
      <w:tr>
        <w:trPr/>
        <w:tc>
          <w:tcPr>
            <w:tcW w:w="7458" w:type="dxa"/>
            <w:tcBorders/>
            <w:shd w:fill="auto" w:val="clear"/>
          </w:tcPr>
          <w:p>
            <w:pPr>
              <w:pStyle w:val="TableContents"/>
              <w:spacing w:before="0" w:after="0"/>
              <w:ind w:left="0" w:right="0" w:hanging="0"/>
              <w:rPr/>
            </w:pPr>
            <w:r>
              <w:rPr/>
              <w:t> </w:t>
            </w:r>
          </w:p>
        </w:tc>
        <w:tc>
          <w:tcPr>
            <w:tcW w:w="108" w:type="dxa"/>
            <w:tcBorders/>
            <w:shd w:fill="auto" w:val="clear"/>
            <w:vAlign w:val="bottom"/>
          </w:tcPr>
          <w:p>
            <w:pPr>
              <w:pStyle w:val="TableContents"/>
              <w:spacing w:before="0" w:after="0"/>
              <w:ind w:left="0" w:right="0" w:hanging="0"/>
              <w:rPr/>
            </w:pPr>
            <w:r>
              <w:rPr/>
              <w:t> </w:t>
            </w:r>
          </w:p>
        </w:tc>
        <w:tc>
          <w:tcPr>
            <w:tcW w:w="1207" w:type="dxa"/>
            <w:gridSpan w:val="2"/>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1207"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7458"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OTHER NON-CURRENT LIABILITIES</w:t>
            </w:r>
          </w:p>
        </w:tc>
        <w:tc>
          <w:tcPr>
            <w:tcW w:w="108" w:type="dxa"/>
            <w:tcBorders/>
            <w:shd w:fill="CCEEFF" w:val="clear"/>
            <w:vAlign w:val="bottom"/>
          </w:tcPr>
          <w:p>
            <w:pPr>
              <w:pStyle w:val="TableContents"/>
              <w:spacing w:before="0" w:after="0"/>
              <w:ind w:left="0" w:right="0" w:hanging="0"/>
              <w:rPr/>
            </w:pPr>
            <w:r>
              <w:rPr/>
              <w:t> </w:t>
            </w:r>
          </w:p>
        </w:tc>
        <w:tc>
          <w:tcPr>
            <w:tcW w:w="12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568</w:t>
            </w:r>
          </w:p>
        </w:tc>
        <w:tc>
          <w:tcPr>
            <w:tcW w:w="110" w:type="dxa"/>
            <w:tcBorders/>
            <w:shd w:fill="CCEEFF" w:val="clear"/>
            <w:vAlign w:val="bottom"/>
          </w:tcPr>
          <w:p>
            <w:pPr>
              <w:pStyle w:val="TableContents"/>
              <w:spacing w:before="0" w:after="0"/>
              <w:ind w:left="0" w:right="0" w:hanging="0"/>
              <w:rPr/>
            </w:pPr>
            <w:r>
              <w:rPr/>
              <w:t> </w:t>
            </w:r>
          </w:p>
        </w:tc>
        <w:tc>
          <w:tcPr>
            <w:tcW w:w="12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491</w:t>
            </w:r>
          </w:p>
        </w:tc>
        <w:tc>
          <w:tcPr>
            <w:tcW w:w="115" w:type="dxa"/>
            <w:tcBorders/>
            <w:shd w:fill="CCEEFF" w:val="clear"/>
            <w:vAlign w:val="bottom"/>
          </w:tcPr>
          <w:p>
            <w:pPr>
              <w:pStyle w:val="TableContents"/>
              <w:spacing w:before="0" w:after="0"/>
              <w:ind w:left="0" w:right="0" w:hanging="0"/>
              <w:rPr/>
            </w:pPr>
            <w:r>
              <w:rPr/>
              <w:t> </w:t>
            </w:r>
          </w:p>
        </w:tc>
      </w:tr>
      <w:tr>
        <w:trPr/>
        <w:tc>
          <w:tcPr>
            <w:tcW w:w="7458" w:type="dxa"/>
            <w:tcBorders/>
            <w:shd w:fill="auto" w:val="clear"/>
          </w:tcPr>
          <w:p>
            <w:pPr>
              <w:pStyle w:val="TableContents"/>
              <w:spacing w:before="0" w:after="0"/>
              <w:ind w:left="0" w:right="0" w:hanging="0"/>
              <w:rPr/>
            </w:pPr>
            <w:r>
              <w:rPr/>
              <w:t> </w:t>
            </w:r>
          </w:p>
        </w:tc>
        <w:tc>
          <w:tcPr>
            <w:tcW w:w="108" w:type="dxa"/>
            <w:tcBorders/>
            <w:shd w:fill="auto" w:val="clear"/>
            <w:vAlign w:val="bottom"/>
          </w:tcPr>
          <w:p>
            <w:pPr>
              <w:pStyle w:val="TableContents"/>
              <w:spacing w:before="0" w:after="0"/>
              <w:ind w:left="0" w:right="0" w:hanging="0"/>
              <w:rPr/>
            </w:pPr>
            <w:r>
              <w:rPr/>
              <w:t> </w:t>
            </w:r>
          </w:p>
        </w:tc>
        <w:tc>
          <w:tcPr>
            <w:tcW w:w="1207" w:type="dxa"/>
            <w:gridSpan w:val="2"/>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1207"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7458"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COMMITMENTS AND CONTINGENCIES</w:t>
            </w:r>
          </w:p>
        </w:tc>
        <w:tc>
          <w:tcPr>
            <w:tcW w:w="108" w:type="dxa"/>
            <w:tcBorders/>
            <w:shd w:fill="CCEEFF" w:val="clear"/>
            <w:vAlign w:val="bottom"/>
          </w:tcPr>
          <w:p>
            <w:pPr>
              <w:pStyle w:val="TableContents"/>
              <w:spacing w:before="0" w:after="0"/>
              <w:ind w:left="0" w:right="0" w:hanging="0"/>
              <w:rPr/>
            </w:pPr>
            <w:r>
              <w:rPr/>
              <w:t> </w:t>
            </w:r>
          </w:p>
        </w:tc>
        <w:tc>
          <w:tcPr>
            <w:tcW w:w="1207" w:type="dxa"/>
            <w:gridSpan w:val="2"/>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1207"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7458" w:type="dxa"/>
            <w:tcBorders/>
            <w:shd w:fill="auto" w:val="clear"/>
          </w:tcPr>
          <w:p>
            <w:pPr>
              <w:pStyle w:val="TableContents"/>
              <w:spacing w:before="0" w:after="0"/>
              <w:ind w:left="0" w:right="0" w:hanging="0"/>
              <w:rPr/>
            </w:pPr>
            <w:r>
              <w:rPr/>
              <w:t> </w:t>
            </w:r>
          </w:p>
        </w:tc>
        <w:tc>
          <w:tcPr>
            <w:tcW w:w="108" w:type="dxa"/>
            <w:tcBorders/>
            <w:shd w:fill="auto" w:val="clear"/>
            <w:vAlign w:val="bottom"/>
          </w:tcPr>
          <w:p>
            <w:pPr>
              <w:pStyle w:val="TableContents"/>
              <w:spacing w:before="0" w:after="0"/>
              <w:ind w:left="0" w:right="0" w:hanging="0"/>
              <w:rPr/>
            </w:pPr>
            <w:r>
              <w:rPr/>
              <w:t> </w:t>
            </w:r>
          </w:p>
        </w:tc>
        <w:tc>
          <w:tcPr>
            <w:tcW w:w="1207" w:type="dxa"/>
            <w:gridSpan w:val="2"/>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1207"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7458"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SHAREHOLDERS EQUITY:</w:t>
            </w:r>
          </w:p>
        </w:tc>
        <w:tc>
          <w:tcPr>
            <w:tcW w:w="108" w:type="dxa"/>
            <w:tcBorders/>
            <w:shd w:fill="CCEEFF" w:val="clear"/>
            <w:vAlign w:val="bottom"/>
          </w:tcPr>
          <w:p>
            <w:pPr>
              <w:pStyle w:val="TableContents"/>
              <w:spacing w:before="0" w:after="0"/>
              <w:ind w:left="0" w:right="0" w:hanging="0"/>
              <w:rPr/>
            </w:pPr>
            <w:r>
              <w:rPr/>
              <w:t> </w:t>
            </w:r>
          </w:p>
        </w:tc>
        <w:tc>
          <w:tcPr>
            <w:tcW w:w="1207" w:type="dxa"/>
            <w:gridSpan w:val="2"/>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1207"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74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Preferred stock, $1 par value; 5,000,000 shares authorized; none issued</w:t>
            </w:r>
          </w:p>
        </w:tc>
        <w:tc>
          <w:tcPr>
            <w:tcW w:w="108" w:type="dxa"/>
            <w:tcBorders/>
            <w:shd w:fill="auto" w:val="clear"/>
            <w:vAlign w:val="bottom"/>
          </w:tcPr>
          <w:p>
            <w:pPr>
              <w:pStyle w:val="TableContents"/>
              <w:spacing w:before="0" w:after="0"/>
              <w:ind w:left="0" w:right="0" w:hanging="0"/>
              <w:rPr/>
            </w:pPr>
            <w:r>
              <w:rPr/>
              <w:t> </w:t>
            </w:r>
          </w:p>
        </w:tc>
        <w:tc>
          <w:tcPr>
            <w:tcW w:w="1207" w:type="dxa"/>
            <w:gridSpan w:val="2"/>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1207"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745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Common stock, $0.01 par value; 10,000,000 shares authorized, 5,460,668 and 5,390,679 shares issued and outstanding at July 2, 2005 and January 1, 2005, respectively</w:t>
            </w:r>
          </w:p>
        </w:tc>
        <w:tc>
          <w:tcPr>
            <w:tcW w:w="108" w:type="dxa"/>
            <w:tcBorders/>
            <w:shd w:fill="CCEEFF" w:val="clear"/>
            <w:vAlign w:val="bottom"/>
          </w:tcPr>
          <w:p>
            <w:pPr>
              <w:pStyle w:val="TableContents"/>
              <w:spacing w:before="0" w:after="0"/>
              <w:ind w:left="0" w:right="0" w:hanging="0"/>
              <w:rPr/>
            </w:pPr>
            <w:r>
              <w:rPr/>
              <w:t> </w:t>
            </w:r>
          </w:p>
        </w:tc>
        <w:tc>
          <w:tcPr>
            <w:tcW w:w="12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10" w:type="dxa"/>
            <w:tcBorders/>
            <w:shd w:fill="CCEEFF" w:val="clear"/>
            <w:vAlign w:val="bottom"/>
          </w:tcPr>
          <w:p>
            <w:pPr>
              <w:pStyle w:val="TableContents"/>
              <w:spacing w:before="0" w:after="0"/>
              <w:ind w:left="0" w:right="0" w:hanging="0"/>
              <w:rPr/>
            </w:pPr>
            <w:r>
              <w:rPr/>
              <w:t> </w:t>
            </w:r>
          </w:p>
        </w:tc>
        <w:tc>
          <w:tcPr>
            <w:tcW w:w="12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15" w:type="dxa"/>
            <w:tcBorders/>
            <w:shd w:fill="CCEEFF" w:val="clear"/>
            <w:vAlign w:val="bottom"/>
          </w:tcPr>
          <w:p>
            <w:pPr>
              <w:pStyle w:val="TableContents"/>
              <w:spacing w:before="0" w:after="0"/>
              <w:ind w:left="0" w:right="0" w:hanging="0"/>
              <w:rPr/>
            </w:pPr>
            <w:r>
              <w:rPr/>
              <w:t> </w:t>
            </w:r>
          </w:p>
        </w:tc>
      </w:tr>
      <w:tr>
        <w:trPr/>
        <w:tc>
          <w:tcPr>
            <w:tcW w:w="74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Additional paid-in capital</w:t>
            </w:r>
          </w:p>
        </w:tc>
        <w:tc>
          <w:tcPr>
            <w:tcW w:w="108" w:type="dxa"/>
            <w:tcBorders/>
            <w:shd w:fill="auto" w:val="clear"/>
            <w:vAlign w:val="bottom"/>
          </w:tcPr>
          <w:p>
            <w:pPr>
              <w:pStyle w:val="TableContents"/>
              <w:spacing w:before="0" w:after="0"/>
              <w:ind w:left="0" w:right="0" w:hanging="0"/>
              <w:rPr/>
            </w:pPr>
            <w:r>
              <w:rPr/>
              <w:t> </w:t>
            </w:r>
          </w:p>
        </w:tc>
        <w:tc>
          <w:tcPr>
            <w:tcW w:w="12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25,910</w:t>
            </w:r>
          </w:p>
        </w:tc>
        <w:tc>
          <w:tcPr>
            <w:tcW w:w="110" w:type="dxa"/>
            <w:tcBorders/>
            <w:shd w:fill="auto" w:val="clear"/>
            <w:vAlign w:val="bottom"/>
          </w:tcPr>
          <w:p>
            <w:pPr>
              <w:pStyle w:val="TableContents"/>
              <w:spacing w:before="0" w:after="0"/>
              <w:ind w:left="0" w:right="0" w:hanging="0"/>
              <w:rPr/>
            </w:pPr>
            <w:r>
              <w:rPr/>
              <w:t> </w:t>
            </w:r>
          </w:p>
        </w:tc>
        <w:tc>
          <w:tcPr>
            <w:tcW w:w="12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25,592</w:t>
            </w:r>
          </w:p>
        </w:tc>
        <w:tc>
          <w:tcPr>
            <w:tcW w:w="115" w:type="dxa"/>
            <w:tcBorders/>
            <w:shd w:fill="auto" w:val="clear"/>
            <w:vAlign w:val="bottom"/>
          </w:tcPr>
          <w:p>
            <w:pPr>
              <w:pStyle w:val="TableContents"/>
              <w:spacing w:before="0" w:after="0"/>
              <w:ind w:left="0" w:right="0" w:hanging="0"/>
              <w:rPr/>
            </w:pPr>
            <w:r>
              <w:rPr/>
              <w:t> </w:t>
            </w:r>
          </w:p>
        </w:tc>
      </w:tr>
      <w:tr>
        <w:trPr/>
        <w:tc>
          <w:tcPr>
            <w:tcW w:w="745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Deferred stock compensation</w:t>
            </w:r>
          </w:p>
        </w:tc>
        <w:tc>
          <w:tcPr>
            <w:tcW w:w="108" w:type="dxa"/>
            <w:tcBorders/>
            <w:shd w:fill="CCEEFF" w:val="clear"/>
            <w:vAlign w:val="bottom"/>
          </w:tcPr>
          <w:p>
            <w:pPr>
              <w:pStyle w:val="TableContents"/>
              <w:spacing w:before="0" w:after="0"/>
              <w:ind w:left="0" w:right="0" w:hanging="0"/>
              <w:rPr/>
            </w:pPr>
            <w:r>
              <w:rPr/>
              <w:t> </w:t>
            </w:r>
          </w:p>
        </w:tc>
        <w:tc>
          <w:tcPr>
            <w:tcW w:w="12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(339</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(407</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4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Retained earnings (deficit)</w:t>
            </w:r>
          </w:p>
        </w:tc>
        <w:tc>
          <w:tcPr>
            <w:tcW w:w="108" w:type="dxa"/>
            <w:tcBorders/>
            <w:shd w:fill="auto" w:val="clear"/>
            <w:vAlign w:val="bottom"/>
          </w:tcPr>
          <w:p>
            <w:pPr>
              <w:pStyle w:val="TableContents"/>
              <w:spacing w:before="0" w:after="0"/>
              <w:ind w:left="0" w:right="0" w:hanging="0"/>
              <w:rPr/>
            </w:pPr>
            <w:r>
              <w:rPr/>
              <w:t> </w:t>
            </w:r>
          </w:p>
        </w:tc>
        <w:tc>
          <w:tcPr>
            <w:tcW w:w="12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10" w:type="dxa"/>
            <w:tcBorders/>
            <w:shd w:fill="auto" w:val="clear"/>
            <w:vAlign w:val="bottom"/>
          </w:tcPr>
          <w:p>
            <w:pPr>
              <w:pStyle w:val="TableContents"/>
              <w:spacing w:before="0" w:after="0"/>
              <w:ind w:left="0" w:right="0" w:hanging="0"/>
              <w:rPr/>
            </w:pPr>
            <w:r>
              <w:rPr/>
              <w:t> </w:t>
            </w:r>
          </w:p>
        </w:tc>
        <w:tc>
          <w:tcPr>
            <w:tcW w:w="12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(3,557</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45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Accumulated other comprehensive loss</w:t>
            </w:r>
          </w:p>
        </w:tc>
        <w:tc>
          <w:tcPr>
            <w:tcW w:w="108" w:type="dxa"/>
            <w:tcBorders/>
            <w:shd w:fill="CCEEFF" w:val="clear"/>
            <w:vAlign w:val="bottom"/>
          </w:tcPr>
          <w:p>
            <w:pPr>
              <w:pStyle w:val="TableContents"/>
              <w:spacing w:before="0" w:after="0"/>
              <w:ind w:left="0" w:right="0" w:hanging="0"/>
              <w:rPr/>
            </w:pPr>
            <w:r>
              <w:rPr/>
              <w:t> </w:t>
            </w:r>
          </w:p>
        </w:tc>
        <w:tc>
          <w:tcPr>
            <w:tcW w:w="12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(248</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4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shareholders equity</w:t>
            </w:r>
          </w:p>
        </w:tc>
        <w:tc>
          <w:tcPr>
            <w:tcW w:w="108" w:type="dxa"/>
            <w:tcBorders/>
            <w:shd w:fill="auto" w:val="clear"/>
            <w:vAlign w:val="bottom"/>
          </w:tcPr>
          <w:p>
            <w:pPr>
              <w:pStyle w:val="TableContents"/>
              <w:spacing w:before="0" w:after="0"/>
              <w:ind w:left="0" w:right="0" w:hanging="0"/>
              <w:rPr/>
            </w:pPr>
            <w:r>
              <w:rPr/>
              <w:t> </w:t>
            </w:r>
          </w:p>
        </w:tc>
        <w:tc>
          <w:tcPr>
            <w:tcW w:w="120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25,513</w:t>
            </w:r>
          </w:p>
        </w:tc>
        <w:tc>
          <w:tcPr>
            <w:tcW w:w="110" w:type="dxa"/>
            <w:tcBorders/>
            <w:shd w:fill="auto" w:val="clear"/>
            <w:vAlign w:val="bottom"/>
          </w:tcPr>
          <w:p>
            <w:pPr>
              <w:pStyle w:val="TableContents"/>
              <w:spacing w:before="0" w:after="0"/>
              <w:ind w:left="0" w:right="0" w:hanging="0"/>
              <w:rPr/>
            </w:pPr>
            <w:r>
              <w:rPr/>
              <w:t> </w:t>
            </w:r>
          </w:p>
        </w:tc>
        <w:tc>
          <w:tcPr>
            <w:tcW w:w="120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21,422</w:t>
            </w:r>
          </w:p>
        </w:tc>
        <w:tc>
          <w:tcPr>
            <w:tcW w:w="115" w:type="dxa"/>
            <w:tcBorders/>
            <w:shd w:fill="auto" w:val="clear"/>
            <w:vAlign w:val="bottom"/>
          </w:tcPr>
          <w:p>
            <w:pPr>
              <w:pStyle w:val="TableContents"/>
              <w:spacing w:before="0" w:after="0"/>
              <w:ind w:left="0" w:right="0" w:hanging="0"/>
              <w:rPr/>
            </w:pPr>
            <w:r>
              <w:rPr/>
              <w:t> </w:t>
            </w:r>
          </w:p>
        </w:tc>
      </w:tr>
      <w:tr>
        <w:trPr/>
        <w:tc>
          <w:tcPr>
            <w:tcW w:w="7458" w:type="dxa"/>
            <w:tcBorders/>
            <w:shd w:fill="CCEEFF" w:val="clear"/>
          </w:tcPr>
          <w:p>
            <w:pPr>
              <w:pStyle w:val="TableContents"/>
              <w:spacing w:before="0" w:after="0"/>
              <w:ind w:left="0" w:right="0" w:hanging="0"/>
              <w:rPr/>
            </w:pPr>
            <w:r>
              <w:rPr/>
              <w:t> </w:t>
            </w:r>
          </w:p>
        </w:tc>
        <w:tc>
          <w:tcPr>
            <w:tcW w:w="108" w:type="dxa"/>
            <w:tcBorders/>
            <w:shd w:fill="CCEEFF" w:val="clear"/>
            <w:vAlign w:val="bottom"/>
          </w:tcPr>
          <w:p>
            <w:pPr>
              <w:pStyle w:val="TableContents"/>
              <w:spacing w:before="0" w:after="0"/>
              <w:ind w:left="0" w:right="0" w:hanging="0"/>
              <w:rPr/>
            </w:pPr>
            <w:r>
              <w:rPr/>
              <w:t> </w:t>
            </w:r>
          </w:p>
        </w:tc>
        <w:tc>
          <w:tcPr>
            <w:tcW w:w="112"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5"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128,528</w:t>
            </w:r>
          </w:p>
        </w:tc>
        <w:tc>
          <w:tcPr>
            <w:tcW w:w="110" w:type="dxa"/>
            <w:tcBorders/>
            <w:shd w:fill="CCEEFF" w:val="clear"/>
            <w:vAlign w:val="bottom"/>
          </w:tcPr>
          <w:p>
            <w:pPr>
              <w:pStyle w:val="TableContents"/>
              <w:spacing w:before="0" w:after="0"/>
              <w:ind w:left="0" w:right="0" w:hanging="0"/>
              <w:rPr/>
            </w:pPr>
            <w:r>
              <w:rPr/>
              <w:t> </w:t>
            </w:r>
          </w:p>
        </w:tc>
        <w:tc>
          <w:tcPr>
            <w:tcW w:w="112"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5"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135,110</w:t>
            </w:r>
          </w:p>
        </w:tc>
        <w:tc>
          <w:tcPr>
            <w:tcW w:w="115"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p>
    <w:p>
      <w:pPr>
        <w:pStyle w:val="HorizontalLine"/>
        <w:pBdr>
          <w:bottom w:val="single" w:sz="12"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NATIONAL VISION, INC.</w:t>
      </w:r>
    </w:p>
    <w:p>
      <w:pPr>
        <w:pStyle w:val="Heading5"/>
        <w:spacing w:before="0" w:after="0"/>
        <w:ind w:left="0" w:right="0" w:hanging="0"/>
        <w:rPr>
          <w:rFonts w:ascii="Times New Roman" w:hAnsi="Times New Roman"/>
          <w:b/>
          <w:sz w:val="17"/>
        </w:rPr>
      </w:pPr>
      <w:bookmarkStart w:id="5" w:name="CondensedConsolidatedStatementsOf_102310"/>
      <w:bookmarkEnd w:id="5"/>
      <w:r>
        <w:rPr>
          <w:rFonts w:ascii="Times New Roman" w:hAnsi="Times New Roman"/>
          <w:b/>
          <w:sz w:val="17"/>
        </w:rPr>
        <w:t>CONDENSED CONSOLIDATED STATEMENTS OF OPERATIONS</w:t>
      </w:r>
    </w:p>
    <w:p>
      <w:pPr>
        <w:pStyle w:val="TextBody"/>
        <w:spacing w:before="0" w:after="0"/>
        <w:ind w:left="0" w:right="0" w:hanging="0"/>
        <w:jc w:val="center"/>
        <w:rPr>
          <w:rFonts w:ascii="Times New Roman" w:hAnsi="Times New Roman"/>
          <w:b/>
          <w:sz w:val="17"/>
        </w:rPr>
      </w:pPr>
      <w:r>
        <w:rPr>
          <w:rFonts w:ascii="Times New Roman" w:hAnsi="Times New Roman"/>
          <w:b/>
          <w:sz w:val="17"/>
        </w:rPr>
        <w:t>(in thousands except per share information)</w:t>
      </w:r>
    </w:p>
    <w:p>
      <w:pPr>
        <w:pStyle w:val="TextBody"/>
        <w:spacing w:before="0" w:after="0"/>
        <w:ind w:left="0" w:right="0" w:hanging="0"/>
        <w:jc w:val="center"/>
        <w:rPr>
          <w:rFonts w:ascii="Times New Roman" w:hAnsi="Times New Roman"/>
          <w:b/>
          <w:sz w:val="17"/>
        </w:rPr>
      </w:pPr>
      <w:r>
        <w:rPr>
          <w:rFonts w:ascii="Times New Roman" w:hAnsi="Times New Roman"/>
          <w:b/>
          <w:sz w:val="17"/>
        </w:rPr>
        <w:t>(Unaudited)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750"/>
        <w:gridCol w:w="110"/>
        <w:gridCol w:w="111"/>
        <w:gridCol w:w="1111"/>
        <w:gridCol w:w="111"/>
        <w:gridCol w:w="111"/>
        <w:gridCol w:w="1111"/>
        <w:gridCol w:w="111"/>
        <w:gridCol w:w="111"/>
        <w:gridCol w:w="1112"/>
        <w:gridCol w:w="111"/>
        <w:gridCol w:w="111"/>
        <w:gridCol w:w="1113"/>
        <w:gridCol w:w="121"/>
      </w:tblGrid>
      <w:tr>
        <w:trPr/>
        <w:tc>
          <w:tcPr>
            <w:tcW w:w="4750" w:type="dxa"/>
            <w:tcBorders/>
            <w:shd w:fill="auto" w:val="clear"/>
            <w:vAlign w:val="bottom"/>
          </w:tcPr>
          <w:p>
            <w:pPr>
              <w:pStyle w:val="TableContents"/>
              <w:spacing w:before="0" w:after="0"/>
              <w:ind w:left="0" w:right="0" w:hanging="0"/>
              <w:jc w:val="center"/>
              <w:rPr/>
            </w:pPr>
            <w:r>
              <w:rPr/>
              <w:t> </w:t>
            </w:r>
          </w:p>
        </w:tc>
        <w:tc>
          <w:tcPr>
            <w:tcW w:w="110" w:type="dxa"/>
            <w:tcBorders/>
            <w:shd w:fill="auto" w:val="clear"/>
            <w:vAlign w:val="bottom"/>
          </w:tcPr>
          <w:p>
            <w:pPr>
              <w:pStyle w:val="TableContents"/>
              <w:spacing w:before="0" w:after="0"/>
              <w:ind w:left="0" w:right="0" w:hanging="0"/>
              <w:rPr/>
            </w:pPr>
            <w:r>
              <w:rPr/>
              <w:t> </w:t>
            </w:r>
          </w:p>
        </w:tc>
        <w:tc>
          <w:tcPr>
            <w:tcW w:w="255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11" w:type="dxa"/>
            <w:tcBorders/>
            <w:shd w:fill="auto" w:val="clear"/>
            <w:vAlign w:val="bottom"/>
          </w:tcPr>
          <w:p>
            <w:pPr>
              <w:pStyle w:val="TableContents"/>
              <w:spacing w:before="0" w:after="0"/>
              <w:ind w:left="0" w:right="0" w:hanging="0"/>
              <w:rPr/>
            </w:pPr>
            <w:r>
              <w:rPr/>
              <w:t> </w:t>
            </w:r>
          </w:p>
        </w:tc>
        <w:tc>
          <w:tcPr>
            <w:tcW w:w="255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21" w:type="dxa"/>
            <w:tcBorders/>
            <w:shd w:fill="auto" w:val="clear"/>
            <w:vAlign w:val="bottom"/>
          </w:tcPr>
          <w:p>
            <w:pPr>
              <w:pStyle w:val="TableContents"/>
              <w:spacing w:before="0" w:after="0"/>
              <w:ind w:left="0" w:right="0" w:hanging="0"/>
              <w:rPr/>
            </w:pPr>
            <w:r>
              <w:rPr/>
              <w:t> </w:t>
            </w:r>
          </w:p>
        </w:tc>
      </w:tr>
      <w:tr>
        <w:trPr/>
        <w:tc>
          <w:tcPr>
            <w:tcW w:w="4750" w:type="dxa"/>
            <w:tcBorders/>
            <w:shd w:fill="auto" w:val="clear"/>
            <w:vAlign w:val="bottom"/>
          </w:tcPr>
          <w:p>
            <w:pPr>
              <w:pStyle w:val="TableContents"/>
              <w:spacing w:before="0" w:after="0"/>
              <w:ind w:left="0" w:right="0" w:hanging="0"/>
              <w:jc w:val="center"/>
              <w:rPr/>
            </w:pPr>
            <w:r>
              <w:rPr/>
              <w:t> </w:t>
            </w:r>
          </w:p>
        </w:tc>
        <w:tc>
          <w:tcPr>
            <w:tcW w:w="110" w:type="dxa"/>
            <w:tcBorders/>
            <w:shd w:fill="auto" w:val="clear"/>
            <w:vAlign w:val="bottom"/>
          </w:tcPr>
          <w:p>
            <w:pPr>
              <w:pStyle w:val="TableContents"/>
              <w:spacing w:before="0" w:after="0"/>
              <w:ind w:left="0" w:right="0" w:hanging="0"/>
              <w:rPr/>
            </w:pPr>
            <w:r>
              <w:rPr/>
              <w:t> </w:t>
            </w:r>
          </w:p>
        </w:tc>
        <w:tc>
          <w:tcPr>
            <w:tcW w:w="122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2, 2005</w:t>
            </w:r>
          </w:p>
        </w:tc>
        <w:tc>
          <w:tcPr>
            <w:tcW w:w="111" w:type="dxa"/>
            <w:tcBorders>
              <w:top w:val="single" w:sz="8" w:space="0" w:color="000000"/>
            </w:tcBorders>
            <w:shd w:fill="auto" w:val="clear"/>
            <w:tcMar>
              <w:top w:w="28" w:type="dxa"/>
            </w:tcMar>
            <w:vAlign w:val="bottom"/>
          </w:tcPr>
          <w:p>
            <w:pPr>
              <w:pStyle w:val="TableContents"/>
              <w:spacing w:before="0" w:after="0"/>
              <w:ind w:left="0" w:right="0" w:hanging="0"/>
              <w:rPr/>
            </w:pPr>
            <w:r>
              <w:rPr/>
              <w:t> </w:t>
            </w:r>
          </w:p>
        </w:tc>
        <w:tc>
          <w:tcPr>
            <w:tcW w:w="122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3, 2004</w:t>
            </w:r>
          </w:p>
        </w:tc>
        <w:tc>
          <w:tcPr>
            <w:tcW w:w="111" w:type="dxa"/>
            <w:tcBorders/>
            <w:shd w:fill="auto" w:val="clear"/>
            <w:vAlign w:val="bottom"/>
          </w:tcPr>
          <w:p>
            <w:pPr>
              <w:pStyle w:val="TableContents"/>
              <w:spacing w:before="0" w:after="0"/>
              <w:ind w:left="0" w:right="0" w:hanging="0"/>
              <w:rPr/>
            </w:pPr>
            <w:r>
              <w:rPr/>
              <w:t> </w:t>
            </w:r>
          </w:p>
        </w:tc>
        <w:tc>
          <w:tcPr>
            <w:tcW w:w="122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2, 2005</w:t>
            </w:r>
          </w:p>
        </w:tc>
        <w:tc>
          <w:tcPr>
            <w:tcW w:w="111" w:type="dxa"/>
            <w:tcBorders>
              <w:top w:val="single" w:sz="8" w:space="0" w:color="000000"/>
            </w:tcBorders>
            <w:shd w:fill="auto" w:val="clear"/>
            <w:tcMar>
              <w:top w:w="28" w:type="dxa"/>
            </w:tcMar>
            <w:vAlign w:val="bottom"/>
          </w:tcPr>
          <w:p>
            <w:pPr>
              <w:pStyle w:val="TableContents"/>
              <w:spacing w:before="0" w:after="0"/>
              <w:ind w:left="0" w:right="0" w:hanging="0"/>
              <w:rPr/>
            </w:pPr>
            <w:r>
              <w:rPr/>
              <w:t> </w:t>
            </w:r>
          </w:p>
        </w:tc>
        <w:tc>
          <w:tcPr>
            <w:tcW w:w="122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3, 2004</w:t>
            </w:r>
          </w:p>
        </w:tc>
        <w:tc>
          <w:tcPr>
            <w:tcW w:w="121" w:type="dxa"/>
            <w:tcBorders/>
            <w:shd w:fill="auto" w:val="clear"/>
            <w:vAlign w:val="bottom"/>
          </w:tcPr>
          <w:p>
            <w:pPr>
              <w:pStyle w:val="TableContents"/>
              <w:spacing w:before="0" w:after="0"/>
              <w:ind w:left="0" w:right="0" w:hanging="0"/>
              <w:rPr/>
            </w:pPr>
            <w:r>
              <w:rPr/>
              <w:t> </w:t>
            </w:r>
          </w:p>
        </w:tc>
      </w:tr>
      <w:tr>
        <w:trPr/>
        <w:tc>
          <w:tcPr>
            <w:tcW w:w="4750" w:type="dxa"/>
            <w:tcBorders/>
            <w:shd w:fill="auto" w:val="clear"/>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pPr>
            <w:r>
              <w:rPr/>
              <w:t> </w:t>
            </w:r>
          </w:p>
        </w:tc>
        <w:tc>
          <w:tcPr>
            <w:tcW w:w="1222"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c>
          <w:tcPr>
            <w:tcW w:w="1222"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475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Sales of optical products and services</w:t>
            </w:r>
          </w:p>
        </w:tc>
        <w:tc>
          <w:tcPr>
            <w:tcW w:w="110"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56,128</w:t>
            </w:r>
          </w:p>
        </w:tc>
        <w:tc>
          <w:tcPr>
            <w:tcW w:w="111"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54,421</w:t>
            </w:r>
          </w:p>
        </w:tc>
        <w:tc>
          <w:tcPr>
            <w:tcW w:w="111"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113,677</w:t>
            </w:r>
          </w:p>
        </w:tc>
        <w:tc>
          <w:tcPr>
            <w:tcW w:w="111"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110,025</w:t>
            </w:r>
          </w:p>
        </w:tc>
        <w:tc>
          <w:tcPr>
            <w:tcW w:w="121" w:type="dxa"/>
            <w:tcBorders/>
            <w:shd w:fill="CCEEFF" w:val="clear"/>
            <w:vAlign w:val="bottom"/>
          </w:tcPr>
          <w:p>
            <w:pPr>
              <w:pStyle w:val="TableContents"/>
              <w:spacing w:before="0" w:after="0"/>
              <w:ind w:left="0" w:right="0" w:hanging="0"/>
              <w:rPr/>
            </w:pPr>
            <w:r>
              <w:rPr/>
              <w:t> </w:t>
            </w:r>
          </w:p>
        </w:tc>
      </w:tr>
      <w:tr>
        <w:trPr/>
        <w:tc>
          <w:tcPr>
            <w:tcW w:w="4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Fees from managed vision care services</w:t>
            </w:r>
          </w:p>
        </w:tc>
        <w:tc>
          <w:tcPr>
            <w:tcW w:w="110" w:type="dxa"/>
            <w:tcBorders/>
            <w:shd w:fill="auto" w:val="clear"/>
            <w:vAlign w:val="bottom"/>
          </w:tcPr>
          <w:p>
            <w:pPr>
              <w:pStyle w:val="TableContents"/>
              <w:spacing w:before="0" w:after="0"/>
              <w:ind w:left="0" w:right="0" w:hanging="0"/>
              <w:rPr/>
            </w:pPr>
            <w:r>
              <w:rPr/>
              <w:t> </w:t>
            </w:r>
          </w:p>
        </w:tc>
        <w:tc>
          <w:tcPr>
            <w:tcW w:w="12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2,601</w:t>
            </w:r>
          </w:p>
        </w:tc>
        <w:tc>
          <w:tcPr>
            <w:tcW w:w="111" w:type="dxa"/>
            <w:tcBorders/>
            <w:shd w:fill="auto" w:val="clear"/>
            <w:vAlign w:val="bottom"/>
          </w:tcPr>
          <w:p>
            <w:pPr>
              <w:pStyle w:val="TableContents"/>
              <w:spacing w:before="0" w:after="0"/>
              <w:ind w:left="0" w:right="0" w:hanging="0"/>
              <w:rPr/>
            </w:pPr>
            <w:r>
              <w:rPr/>
              <w:t> </w:t>
            </w:r>
          </w:p>
        </w:tc>
        <w:tc>
          <w:tcPr>
            <w:tcW w:w="12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1,909</w:t>
            </w:r>
          </w:p>
        </w:tc>
        <w:tc>
          <w:tcPr>
            <w:tcW w:w="111" w:type="dxa"/>
            <w:tcBorders/>
            <w:shd w:fill="auto" w:val="clear"/>
            <w:vAlign w:val="bottom"/>
          </w:tcPr>
          <w:p>
            <w:pPr>
              <w:pStyle w:val="TableContents"/>
              <w:spacing w:before="0" w:after="0"/>
              <w:ind w:left="0" w:right="0" w:hanging="0"/>
              <w:rPr/>
            </w:pPr>
            <w:r>
              <w:rPr/>
              <w:t> </w:t>
            </w:r>
          </w:p>
        </w:tc>
        <w:tc>
          <w:tcPr>
            <w:tcW w:w="12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5,101</w:t>
            </w:r>
          </w:p>
        </w:tc>
        <w:tc>
          <w:tcPr>
            <w:tcW w:w="111" w:type="dxa"/>
            <w:tcBorders/>
            <w:shd w:fill="auto" w:val="clear"/>
            <w:vAlign w:val="bottom"/>
          </w:tcPr>
          <w:p>
            <w:pPr>
              <w:pStyle w:val="TableContents"/>
              <w:spacing w:before="0" w:after="0"/>
              <w:ind w:left="0" w:right="0" w:hanging="0"/>
              <w:rPr/>
            </w:pPr>
            <w:r>
              <w:rPr/>
              <w:t> </w:t>
            </w:r>
          </w:p>
        </w:tc>
        <w:tc>
          <w:tcPr>
            <w:tcW w:w="122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3,836</w:t>
            </w:r>
          </w:p>
        </w:tc>
        <w:tc>
          <w:tcPr>
            <w:tcW w:w="121" w:type="dxa"/>
            <w:tcBorders/>
            <w:shd w:fill="auto" w:val="clear"/>
            <w:vAlign w:val="bottom"/>
          </w:tcPr>
          <w:p>
            <w:pPr>
              <w:pStyle w:val="TableContents"/>
              <w:spacing w:before="0" w:after="0"/>
              <w:ind w:left="0" w:right="0" w:hanging="0"/>
              <w:rPr/>
            </w:pPr>
            <w:r>
              <w:rPr/>
              <w:t> </w:t>
            </w:r>
          </w:p>
        </w:tc>
      </w:tr>
      <w:tr>
        <w:trPr/>
        <w:tc>
          <w:tcPr>
            <w:tcW w:w="475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net revenue</w:t>
            </w:r>
          </w:p>
        </w:tc>
        <w:tc>
          <w:tcPr>
            <w:tcW w:w="110" w:type="dxa"/>
            <w:tcBorders/>
            <w:shd w:fill="CCEEFF" w:val="clear"/>
            <w:vAlign w:val="bottom"/>
          </w:tcPr>
          <w:p>
            <w:pPr>
              <w:pStyle w:val="TableContents"/>
              <w:spacing w:before="0" w:after="0"/>
              <w:ind w:left="0" w:right="0" w:hanging="0"/>
              <w:rPr/>
            </w:pPr>
            <w:r>
              <w:rPr/>
              <w:t> </w:t>
            </w:r>
          </w:p>
        </w:tc>
        <w:tc>
          <w:tcPr>
            <w:tcW w:w="12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58,729</w:t>
            </w:r>
          </w:p>
        </w:tc>
        <w:tc>
          <w:tcPr>
            <w:tcW w:w="111" w:type="dxa"/>
            <w:tcBorders/>
            <w:shd w:fill="CCEEFF" w:val="clear"/>
            <w:vAlign w:val="bottom"/>
          </w:tcPr>
          <w:p>
            <w:pPr>
              <w:pStyle w:val="TableContents"/>
              <w:spacing w:before="0" w:after="0"/>
              <w:ind w:left="0" w:right="0" w:hanging="0"/>
              <w:rPr/>
            </w:pPr>
            <w:r>
              <w:rPr/>
              <w:t> </w:t>
            </w:r>
          </w:p>
        </w:tc>
        <w:tc>
          <w:tcPr>
            <w:tcW w:w="12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56,330</w:t>
            </w:r>
          </w:p>
        </w:tc>
        <w:tc>
          <w:tcPr>
            <w:tcW w:w="111"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118,778</w:t>
            </w:r>
          </w:p>
        </w:tc>
        <w:tc>
          <w:tcPr>
            <w:tcW w:w="111"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113,861</w:t>
            </w:r>
          </w:p>
        </w:tc>
        <w:tc>
          <w:tcPr>
            <w:tcW w:w="121" w:type="dxa"/>
            <w:tcBorders/>
            <w:shd w:fill="CCEEFF" w:val="clear"/>
            <w:vAlign w:val="bottom"/>
          </w:tcPr>
          <w:p>
            <w:pPr>
              <w:pStyle w:val="TableContents"/>
              <w:spacing w:before="0" w:after="0"/>
              <w:ind w:left="0" w:right="0" w:hanging="0"/>
              <w:rPr/>
            </w:pPr>
            <w:r>
              <w:rPr/>
              <w:t> </w:t>
            </w:r>
          </w:p>
        </w:tc>
      </w:tr>
      <w:tr>
        <w:trPr/>
        <w:tc>
          <w:tcPr>
            <w:tcW w:w="4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Cost of goods sold, including occupancy costs</w:t>
            </w:r>
          </w:p>
        </w:tc>
        <w:tc>
          <w:tcPr>
            <w:tcW w:w="110" w:type="dxa"/>
            <w:tcBorders/>
            <w:shd w:fill="auto" w:val="clear"/>
            <w:vAlign w:val="bottom"/>
          </w:tcPr>
          <w:p>
            <w:pPr>
              <w:pStyle w:val="TableContents"/>
              <w:spacing w:before="0" w:after="0"/>
              <w:ind w:left="0" w:right="0" w:hanging="0"/>
              <w:rPr/>
            </w:pPr>
            <w:r>
              <w:rPr/>
              <w:t> </w:t>
            </w:r>
          </w:p>
        </w:tc>
        <w:tc>
          <w:tcPr>
            <w:tcW w:w="12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26,880</w:t>
            </w:r>
          </w:p>
        </w:tc>
        <w:tc>
          <w:tcPr>
            <w:tcW w:w="111" w:type="dxa"/>
            <w:tcBorders/>
            <w:shd w:fill="auto" w:val="clear"/>
            <w:vAlign w:val="bottom"/>
          </w:tcPr>
          <w:p>
            <w:pPr>
              <w:pStyle w:val="TableContents"/>
              <w:spacing w:before="0" w:after="0"/>
              <w:ind w:left="0" w:right="0" w:hanging="0"/>
              <w:rPr/>
            </w:pPr>
            <w:r>
              <w:rPr/>
              <w:t> </w:t>
            </w:r>
          </w:p>
        </w:tc>
        <w:tc>
          <w:tcPr>
            <w:tcW w:w="12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25,409</w:t>
            </w:r>
          </w:p>
        </w:tc>
        <w:tc>
          <w:tcPr>
            <w:tcW w:w="111" w:type="dxa"/>
            <w:tcBorders/>
            <w:shd w:fill="auto" w:val="clear"/>
            <w:vAlign w:val="bottom"/>
          </w:tcPr>
          <w:p>
            <w:pPr>
              <w:pStyle w:val="TableContents"/>
              <w:spacing w:before="0" w:after="0"/>
              <w:ind w:left="0" w:right="0" w:hanging="0"/>
              <w:rPr/>
            </w:pPr>
            <w:r>
              <w:rPr/>
              <w:t> </w:t>
            </w:r>
          </w:p>
        </w:tc>
        <w:tc>
          <w:tcPr>
            <w:tcW w:w="12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52,730</w:t>
            </w:r>
          </w:p>
        </w:tc>
        <w:tc>
          <w:tcPr>
            <w:tcW w:w="111" w:type="dxa"/>
            <w:tcBorders/>
            <w:shd w:fill="auto" w:val="clear"/>
            <w:vAlign w:val="bottom"/>
          </w:tcPr>
          <w:p>
            <w:pPr>
              <w:pStyle w:val="TableContents"/>
              <w:spacing w:before="0" w:after="0"/>
              <w:ind w:left="0" w:right="0" w:hanging="0"/>
              <w:rPr/>
            </w:pPr>
            <w:r>
              <w:rPr/>
              <w:t> </w:t>
            </w:r>
          </w:p>
        </w:tc>
        <w:tc>
          <w:tcPr>
            <w:tcW w:w="122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49,244</w:t>
            </w:r>
          </w:p>
        </w:tc>
        <w:tc>
          <w:tcPr>
            <w:tcW w:w="121" w:type="dxa"/>
            <w:tcBorders/>
            <w:shd w:fill="auto" w:val="clear"/>
            <w:vAlign w:val="bottom"/>
          </w:tcPr>
          <w:p>
            <w:pPr>
              <w:pStyle w:val="TableContents"/>
              <w:spacing w:before="0" w:after="0"/>
              <w:ind w:left="0" w:right="0" w:hanging="0"/>
              <w:rPr/>
            </w:pPr>
            <w:r>
              <w:rPr/>
              <w:t> </w:t>
            </w:r>
          </w:p>
        </w:tc>
      </w:tr>
      <w:tr>
        <w:trPr/>
        <w:tc>
          <w:tcPr>
            <w:tcW w:w="475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Gross profit</w:t>
            </w:r>
          </w:p>
        </w:tc>
        <w:tc>
          <w:tcPr>
            <w:tcW w:w="110" w:type="dxa"/>
            <w:tcBorders/>
            <w:shd w:fill="CCEEFF" w:val="clear"/>
            <w:vAlign w:val="bottom"/>
          </w:tcPr>
          <w:p>
            <w:pPr>
              <w:pStyle w:val="TableContents"/>
              <w:spacing w:before="0" w:after="0"/>
              <w:ind w:left="0" w:right="0" w:hanging="0"/>
              <w:rPr/>
            </w:pPr>
            <w:r>
              <w:rPr/>
              <w:t> </w:t>
            </w:r>
          </w:p>
        </w:tc>
        <w:tc>
          <w:tcPr>
            <w:tcW w:w="12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31,849</w:t>
            </w:r>
          </w:p>
        </w:tc>
        <w:tc>
          <w:tcPr>
            <w:tcW w:w="111" w:type="dxa"/>
            <w:tcBorders/>
            <w:shd w:fill="CCEEFF" w:val="clear"/>
            <w:vAlign w:val="bottom"/>
          </w:tcPr>
          <w:p>
            <w:pPr>
              <w:pStyle w:val="TableContents"/>
              <w:spacing w:before="0" w:after="0"/>
              <w:ind w:left="0" w:right="0" w:hanging="0"/>
              <w:rPr/>
            </w:pPr>
            <w:r>
              <w:rPr/>
              <w:t> </w:t>
            </w:r>
          </w:p>
        </w:tc>
        <w:tc>
          <w:tcPr>
            <w:tcW w:w="12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30,921</w:t>
            </w:r>
          </w:p>
        </w:tc>
        <w:tc>
          <w:tcPr>
            <w:tcW w:w="111"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66,048</w:t>
            </w:r>
          </w:p>
        </w:tc>
        <w:tc>
          <w:tcPr>
            <w:tcW w:w="111"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64,617</w:t>
            </w:r>
          </w:p>
        </w:tc>
        <w:tc>
          <w:tcPr>
            <w:tcW w:w="121" w:type="dxa"/>
            <w:tcBorders/>
            <w:shd w:fill="CCEEFF" w:val="clear"/>
            <w:vAlign w:val="bottom"/>
          </w:tcPr>
          <w:p>
            <w:pPr>
              <w:pStyle w:val="TableContents"/>
              <w:spacing w:before="0" w:after="0"/>
              <w:ind w:left="0" w:right="0" w:hanging="0"/>
              <w:rPr/>
            </w:pPr>
            <w:r>
              <w:rPr/>
              <w:t> </w:t>
            </w:r>
          </w:p>
        </w:tc>
      </w:tr>
      <w:tr>
        <w:trPr/>
        <w:tc>
          <w:tcPr>
            <w:tcW w:w="4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Selling, general and administrative expense</w:t>
            </w:r>
          </w:p>
        </w:tc>
        <w:tc>
          <w:tcPr>
            <w:tcW w:w="110" w:type="dxa"/>
            <w:tcBorders/>
            <w:shd w:fill="auto" w:val="clear"/>
            <w:vAlign w:val="bottom"/>
          </w:tcPr>
          <w:p>
            <w:pPr>
              <w:pStyle w:val="TableContents"/>
              <w:spacing w:before="0" w:after="0"/>
              <w:ind w:left="0" w:right="0" w:hanging="0"/>
              <w:rPr/>
            </w:pPr>
            <w:r>
              <w:rPr/>
              <w:t> </w:t>
            </w:r>
          </w:p>
        </w:tc>
        <w:tc>
          <w:tcPr>
            <w:tcW w:w="12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28,040</w:t>
            </w:r>
          </w:p>
        </w:tc>
        <w:tc>
          <w:tcPr>
            <w:tcW w:w="111" w:type="dxa"/>
            <w:tcBorders/>
            <w:shd w:fill="auto" w:val="clear"/>
            <w:vAlign w:val="bottom"/>
          </w:tcPr>
          <w:p>
            <w:pPr>
              <w:pStyle w:val="TableContents"/>
              <w:spacing w:before="0" w:after="0"/>
              <w:ind w:left="0" w:right="0" w:hanging="0"/>
              <w:rPr/>
            </w:pPr>
            <w:r>
              <w:rPr/>
              <w:t> </w:t>
            </w:r>
          </w:p>
        </w:tc>
        <w:tc>
          <w:tcPr>
            <w:tcW w:w="12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27,000</w:t>
            </w:r>
          </w:p>
        </w:tc>
        <w:tc>
          <w:tcPr>
            <w:tcW w:w="111" w:type="dxa"/>
            <w:tcBorders/>
            <w:shd w:fill="auto" w:val="clear"/>
            <w:vAlign w:val="bottom"/>
          </w:tcPr>
          <w:p>
            <w:pPr>
              <w:pStyle w:val="TableContents"/>
              <w:spacing w:before="0" w:after="0"/>
              <w:ind w:left="0" w:right="0" w:hanging="0"/>
              <w:rPr/>
            </w:pPr>
            <w:r>
              <w:rPr/>
              <w:t> </w:t>
            </w:r>
          </w:p>
        </w:tc>
        <w:tc>
          <w:tcPr>
            <w:tcW w:w="12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55,497</w:t>
            </w:r>
          </w:p>
        </w:tc>
        <w:tc>
          <w:tcPr>
            <w:tcW w:w="111" w:type="dxa"/>
            <w:tcBorders/>
            <w:shd w:fill="auto" w:val="clear"/>
            <w:vAlign w:val="bottom"/>
          </w:tcPr>
          <w:p>
            <w:pPr>
              <w:pStyle w:val="TableContents"/>
              <w:spacing w:before="0" w:after="0"/>
              <w:ind w:left="0" w:right="0" w:hanging="0"/>
              <w:rPr/>
            </w:pPr>
            <w:r>
              <w:rPr/>
              <w:t> </w:t>
            </w:r>
          </w:p>
        </w:tc>
        <w:tc>
          <w:tcPr>
            <w:tcW w:w="122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55,891</w:t>
            </w:r>
          </w:p>
        </w:tc>
        <w:tc>
          <w:tcPr>
            <w:tcW w:w="121" w:type="dxa"/>
            <w:tcBorders/>
            <w:shd w:fill="auto" w:val="clear"/>
            <w:vAlign w:val="bottom"/>
          </w:tcPr>
          <w:p>
            <w:pPr>
              <w:pStyle w:val="TableContents"/>
              <w:spacing w:before="0" w:after="0"/>
              <w:ind w:left="0" w:right="0" w:hanging="0"/>
              <w:rPr/>
            </w:pPr>
            <w:r>
              <w:rPr/>
              <w:t> </w:t>
            </w:r>
          </w:p>
        </w:tc>
      </w:tr>
      <w:tr>
        <w:trPr/>
        <w:tc>
          <w:tcPr>
            <w:tcW w:w="475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Operating income from continuing operations</w:t>
            </w:r>
          </w:p>
        </w:tc>
        <w:tc>
          <w:tcPr>
            <w:tcW w:w="110" w:type="dxa"/>
            <w:tcBorders/>
            <w:shd w:fill="CCEEFF" w:val="clear"/>
            <w:vAlign w:val="bottom"/>
          </w:tcPr>
          <w:p>
            <w:pPr>
              <w:pStyle w:val="TableContents"/>
              <w:spacing w:before="0" w:after="0"/>
              <w:ind w:left="0" w:right="0" w:hanging="0"/>
              <w:rPr/>
            </w:pPr>
            <w:r>
              <w:rPr/>
              <w:t> </w:t>
            </w:r>
          </w:p>
        </w:tc>
        <w:tc>
          <w:tcPr>
            <w:tcW w:w="12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3,809</w:t>
            </w:r>
          </w:p>
        </w:tc>
        <w:tc>
          <w:tcPr>
            <w:tcW w:w="111" w:type="dxa"/>
            <w:tcBorders/>
            <w:shd w:fill="CCEEFF" w:val="clear"/>
            <w:vAlign w:val="bottom"/>
          </w:tcPr>
          <w:p>
            <w:pPr>
              <w:pStyle w:val="TableContents"/>
              <w:spacing w:before="0" w:after="0"/>
              <w:ind w:left="0" w:right="0" w:hanging="0"/>
              <w:rPr/>
            </w:pPr>
            <w:r>
              <w:rPr/>
              <w:t> </w:t>
            </w:r>
          </w:p>
        </w:tc>
        <w:tc>
          <w:tcPr>
            <w:tcW w:w="12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3,921</w:t>
            </w:r>
          </w:p>
        </w:tc>
        <w:tc>
          <w:tcPr>
            <w:tcW w:w="111"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10,551</w:t>
            </w:r>
          </w:p>
        </w:tc>
        <w:tc>
          <w:tcPr>
            <w:tcW w:w="111"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8,726</w:t>
            </w:r>
          </w:p>
        </w:tc>
        <w:tc>
          <w:tcPr>
            <w:tcW w:w="121" w:type="dxa"/>
            <w:tcBorders/>
            <w:shd w:fill="CCEEFF" w:val="clear"/>
            <w:vAlign w:val="bottom"/>
          </w:tcPr>
          <w:p>
            <w:pPr>
              <w:pStyle w:val="TableContents"/>
              <w:spacing w:before="0" w:after="0"/>
              <w:ind w:left="0" w:right="0" w:hanging="0"/>
              <w:rPr/>
            </w:pPr>
            <w:r>
              <w:rPr/>
              <w:t> </w:t>
            </w:r>
          </w:p>
        </w:tc>
      </w:tr>
      <w:tr>
        <w:trPr/>
        <w:tc>
          <w:tcPr>
            <w:tcW w:w="4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income (expense):</w:t>
            </w:r>
          </w:p>
        </w:tc>
        <w:tc>
          <w:tcPr>
            <w:tcW w:w="110" w:type="dxa"/>
            <w:tcBorders/>
            <w:shd w:fill="auto" w:val="clear"/>
            <w:vAlign w:val="bottom"/>
          </w:tcPr>
          <w:p>
            <w:pPr>
              <w:pStyle w:val="TableContents"/>
              <w:spacing w:before="0" w:after="0"/>
              <w:ind w:left="0" w:right="0" w:hanging="0"/>
              <w:rPr/>
            </w:pPr>
            <w:r>
              <w:rPr/>
              <w:t> </w:t>
            </w:r>
          </w:p>
        </w:tc>
        <w:tc>
          <w:tcPr>
            <w:tcW w:w="1222"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c>
          <w:tcPr>
            <w:tcW w:w="1222"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475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10" w:type="dxa"/>
            <w:tcBorders/>
            <w:shd w:fill="CCEEFF" w:val="clear"/>
            <w:vAlign w:val="bottom"/>
          </w:tcPr>
          <w:p>
            <w:pPr>
              <w:pStyle w:val="TableContents"/>
              <w:spacing w:before="0" w:after="0"/>
              <w:ind w:left="0" w:right="0" w:hanging="0"/>
              <w:rPr/>
            </w:pPr>
            <w:r>
              <w:rPr/>
              <w:t> </w:t>
            </w:r>
          </w:p>
        </w:tc>
        <w:tc>
          <w:tcPr>
            <w:tcW w:w="12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(2,180</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(2,842</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(4,553</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(5,754</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Gain on repurchase of Senior Subordinated Notes</w:t>
            </w:r>
          </w:p>
        </w:tc>
        <w:tc>
          <w:tcPr>
            <w:tcW w:w="110" w:type="dxa"/>
            <w:tcBorders/>
            <w:shd w:fill="auto" w:val="clear"/>
            <w:vAlign w:val="bottom"/>
          </w:tcPr>
          <w:p>
            <w:pPr>
              <w:pStyle w:val="TableContents"/>
              <w:spacing w:before="0" w:after="0"/>
              <w:ind w:left="0" w:right="0" w:hanging="0"/>
              <w:rPr/>
            </w:pPr>
            <w:r>
              <w:rPr/>
              <w:t> </w:t>
            </w:r>
          </w:p>
        </w:tc>
        <w:tc>
          <w:tcPr>
            <w:tcW w:w="12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11" w:type="dxa"/>
            <w:tcBorders/>
            <w:shd w:fill="auto" w:val="clear"/>
            <w:vAlign w:val="bottom"/>
          </w:tcPr>
          <w:p>
            <w:pPr>
              <w:pStyle w:val="TableContents"/>
              <w:spacing w:before="0" w:after="0"/>
              <w:ind w:left="0" w:right="0" w:hanging="0"/>
              <w:rPr/>
            </w:pPr>
            <w:r>
              <w:rPr/>
              <w:t> </w:t>
            </w:r>
          </w:p>
        </w:tc>
        <w:tc>
          <w:tcPr>
            <w:tcW w:w="12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2,902</w:t>
            </w:r>
          </w:p>
        </w:tc>
        <w:tc>
          <w:tcPr>
            <w:tcW w:w="111"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11"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2,902</w:t>
            </w:r>
          </w:p>
        </w:tc>
        <w:tc>
          <w:tcPr>
            <w:tcW w:w="121" w:type="dxa"/>
            <w:tcBorders/>
            <w:shd w:fill="auto" w:val="clear"/>
            <w:vAlign w:val="bottom"/>
          </w:tcPr>
          <w:p>
            <w:pPr>
              <w:pStyle w:val="TableContents"/>
              <w:spacing w:before="0" w:after="0"/>
              <w:ind w:left="0" w:right="0" w:hanging="0"/>
              <w:rPr/>
            </w:pPr>
            <w:r>
              <w:rPr/>
              <w:t> </w:t>
            </w:r>
          </w:p>
        </w:tc>
      </w:tr>
      <w:tr>
        <w:trPr/>
        <w:tc>
          <w:tcPr>
            <w:tcW w:w="475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110" w:type="dxa"/>
            <w:tcBorders/>
            <w:shd w:fill="CCEEFF" w:val="clear"/>
            <w:vAlign w:val="bottom"/>
          </w:tcPr>
          <w:p>
            <w:pPr>
              <w:pStyle w:val="TableContents"/>
              <w:spacing w:before="0" w:after="0"/>
              <w:ind w:left="0" w:right="0" w:hanging="0"/>
              <w:rPr/>
            </w:pPr>
            <w:r>
              <w:rPr/>
              <w:t> </w:t>
            </w:r>
          </w:p>
        </w:tc>
        <w:tc>
          <w:tcPr>
            <w:tcW w:w="122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11" w:type="dxa"/>
            <w:tcBorders/>
            <w:shd w:fill="CCEEFF" w:val="clear"/>
            <w:vAlign w:val="bottom"/>
          </w:tcPr>
          <w:p>
            <w:pPr>
              <w:pStyle w:val="TableContents"/>
              <w:spacing w:before="0" w:after="0"/>
              <w:ind w:left="0" w:right="0" w:hanging="0"/>
              <w:rPr/>
            </w:pPr>
            <w:r>
              <w:rPr/>
              <w:t> </w:t>
            </w:r>
          </w:p>
        </w:tc>
        <w:tc>
          <w:tcPr>
            <w:tcW w:w="122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11" w:type="dxa"/>
            <w:tcBorders/>
            <w:shd w:fill="CCEEFF" w:val="clear"/>
            <w:vAlign w:val="bottom"/>
          </w:tcPr>
          <w:p>
            <w:pPr>
              <w:pStyle w:val="TableContents"/>
              <w:spacing w:before="0" w:after="0"/>
              <w:ind w:left="0" w:right="0" w:hanging="0"/>
              <w:rPr/>
            </w:pPr>
            <w:r>
              <w:rPr/>
              <w:t> </w:t>
            </w:r>
          </w:p>
        </w:tc>
        <w:tc>
          <w:tcPr>
            <w:tcW w:w="12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252</w:t>
            </w:r>
          </w:p>
        </w:tc>
        <w:tc>
          <w:tcPr>
            <w:tcW w:w="111" w:type="dxa"/>
            <w:tcBorders/>
            <w:shd w:fill="CCEEFF" w:val="clear"/>
            <w:vAlign w:val="bottom"/>
          </w:tcPr>
          <w:p>
            <w:pPr>
              <w:pStyle w:val="TableContents"/>
              <w:spacing w:before="0" w:after="0"/>
              <w:ind w:left="0" w:right="0" w:hanging="0"/>
              <w:rPr/>
            </w:pPr>
            <w:r>
              <w:rPr/>
              <w:t> </w:t>
            </w:r>
          </w:p>
        </w:tc>
        <w:tc>
          <w:tcPr>
            <w:tcW w:w="12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121" w:type="dxa"/>
            <w:tcBorders/>
            <w:shd w:fill="CCEEFF" w:val="clear"/>
            <w:vAlign w:val="bottom"/>
          </w:tcPr>
          <w:p>
            <w:pPr>
              <w:pStyle w:val="TableContents"/>
              <w:spacing w:before="0" w:after="0"/>
              <w:ind w:left="0" w:right="0" w:hanging="0"/>
              <w:rPr/>
            </w:pPr>
            <w:r>
              <w:rPr/>
              <w:t> </w:t>
            </w:r>
          </w:p>
        </w:tc>
      </w:tr>
      <w:tr>
        <w:trPr/>
        <w:tc>
          <w:tcPr>
            <w:tcW w:w="4750" w:type="dxa"/>
            <w:tcBorders/>
            <w:shd w:fill="auto" w:val="clear"/>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pPr>
            <w:r>
              <w:rPr/>
              <w:t> </w:t>
            </w:r>
          </w:p>
        </w:tc>
        <w:tc>
          <w:tcPr>
            <w:tcW w:w="1222"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c>
          <w:tcPr>
            <w:tcW w:w="1222"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475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income taxes and discontinued operations</w:t>
            </w:r>
          </w:p>
        </w:tc>
        <w:tc>
          <w:tcPr>
            <w:tcW w:w="110" w:type="dxa"/>
            <w:tcBorders/>
            <w:shd w:fill="CCEEFF" w:val="clear"/>
            <w:vAlign w:val="bottom"/>
          </w:tcPr>
          <w:p>
            <w:pPr>
              <w:pStyle w:val="TableContents"/>
              <w:spacing w:before="0" w:after="0"/>
              <w:ind w:left="0" w:right="0" w:hanging="0"/>
              <w:rPr/>
            </w:pPr>
            <w:r>
              <w:rPr/>
              <w:t> </w:t>
            </w:r>
          </w:p>
        </w:tc>
        <w:tc>
          <w:tcPr>
            <w:tcW w:w="12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1,696</w:t>
            </w:r>
          </w:p>
        </w:tc>
        <w:tc>
          <w:tcPr>
            <w:tcW w:w="111" w:type="dxa"/>
            <w:tcBorders/>
            <w:shd w:fill="CCEEFF" w:val="clear"/>
            <w:vAlign w:val="bottom"/>
          </w:tcPr>
          <w:p>
            <w:pPr>
              <w:pStyle w:val="TableContents"/>
              <w:spacing w:before="0" w:after="0"/>
              <w:ind w:left="0" w:right="0" w:hanging="0"/>
              <w:rPr/>
            </w:pPr>
            <w:r>
              <w:rPr/>
              <w:t> </w:t>
            </w:r>
          </w:p>
        </w:tc>
        <w:tc>
          <w:tcPr>
            <w:tcW w:w="12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4,011</w:t>
            </w:r>
          </w:p>
        </w:tc>
        <w:tc>
          <w:tcPr>
            <w:tcW w:w="111"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6,273</w:t>
            </w:r>
          </w:p>
        </w:tc>
        <w:tc>
          <w:tcPr>
            <w:tcW w:w="111"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5,944</w:t>
            </w:r>
          </w:p>
        </w:tc>
        <w:tc>
          <w:tcPr>
            <w:tcW w:w="121" w:type="dxa"/>
            <w:tcBorders/>
            <w:shd w:fill="CCEEFF" w:val="clear"/>
            <w:vAlign w:val="bottom"/>
          </w:tcPr>
          <w:p>
            <w:pPr>
              <w:pStyle w:val="TableContents"/>
              <w:spacing w:before="0" w:after="0"/>
              <w:ind w:left="0" w:right="0" w:hanging="0"/>
              <w:rPr/>
            </w:pPr>
            <w:r>
              <w:rPr/>
              <w:t> </w:t>
            </w:r>
          </w:p>
        </w:tc>
      </w:tr>
      <w:tr>
        <w:trPr/>
        <w:tc>
          <w:tcPr>
            <w:tcW w:w="4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110" w:type="dxa"/>
            <w:tcBorders/>
            <w:shd w:fill="auto" w:val="clear"/>
            <w:vAlign w:val="bottom"/>
          </w:tcPr>
          <w:p>
            <w:pPr>
              <w:pStyle w:val="TableContents"/>
              <w:spacing w:before="0" w:after="0"/>
              <w:ind w:left="0" w:right="0" w:hanging="0"/>
              <w:rPr/>
            </w:pPr>
            <w:r>
              <w:rPr/>
              <w:t> </w:t>
            </w:r>
          </w:p>
        </w:tc>
        <w:tc>
          <w:tcPr>
            <w:tcW w:w="12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848</w:t>
            </w:r>
          </w:p>
        </w:tc>
        <w:tc>
          <w:tcPr>
            <w:tcW w:w="111" w:type="dxa"/>
            <w:tcBorders/>
            <w:shd w:fill="auto" w:val="clear"/>
            <w:vAlign w:val="bottom"/>
          </w:tcPr>
          <w:p>
            <w:pPr>
              <w:pStyle w:val="TableContents"/>
              <w:spacing w:before="0" w:after="0"/>
              <w:ind w:left="0" w:right="0" w:hanging="0"/>
              <w:rPr/>
            </w:pPr>
            <w:r>
              <w:rPr/>
              <w:t> </w:t>
            </w:r>
          </w:p>
        </w:tc>
        <w:tc>
          <w:tcPr>
            <w:tcW w:w="12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w:t>
            </w:r>
          </w:p>
        </w:tc>
        <w:tc>
          <w:tcPr>
            <w:tcW w:w="111" w:type="dxa"/>
            <w:tcBorders/>
            <w:shd w:fill="auto" w:val="clear"/>
            <w:vAlign w:val="bottom"/>
          </w:tcPr>
          <w:p>
            <w:pPr>
              <w:pStyle w:val="TableContents"/>
              <w:spacing w:before="0" w:after="0"/>
              <w:ind w:left="0" w:right="0" w:hanging="0"/>
              <w:rPr/>
            </w:pPr>
            <w:r>
              <w:rPr/>
              <w:t> </w:t>
            </w:r>
          </w:p>
        </w:tc>
        <w:tc>
          <w:tcPr>
            <w:tcW w:w="12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2,659</w:t>
            </w:r>
          </w:p>
        </w:tc>
        <w:tc>
          <w:tcPr>
            <w:tcW w:w="111" w:type="dxa"/>
            <w:tcBorders/>
            <w:shd w:fill="auto" w:val="clear"/>
            <w:vAlign w:val="bottom"/>
          </w:tcPr>
          <w:p>
            <w:pPr>
              <w:pStyle w:val="TableContents"/>
              <w:spacing w:before="0" w:after="0"/>
              <w:ind w:left="0" w:right="0" w:hanging="0"/>
              <w:rPr/>
            </w:pPr>
            <w:r>
              <w:rPr/>
              <w:t> </w:t>
            </w:r>
          </w:p>
        </w:tc>
        <w:tc>
          <w:tcPr>
            <w:tcW w:w="122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121" w:type="dxa"/>
            <w:tcBorders/>
            <w:shd w:fill="auto" w:val="clear"/>
            <w:vAlign w:val="bottom"/>
          </w:tcPr>
          <w:p>
            <w:pPr>
              <w:pStyle w:val="TableContents"/>
              <w:spacing w:before="0" w:after="0"/>
              <w:ind w:left="0" w:right="0" w:hanging="0"/>
              <w:rPr/>
            </w:pPr>
            <w:r>
              <w:rPr/>
              <w:t> </w:t>
            </w:r>
          </w:p>
        </w:tc>
      </w:tr>
      <w:tr>
        <w:trPr/>
        <w:tc>
          <w:tcPr>
            <w:tcW w:w="4750" w:type="dxa"/>
            <w:tcBorders/>
            <w:shd w:fill="CCEEFF" w:val="clear"/>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pPr>
            <w:r>
              <w:rPr/>
              <w:t> </w:t>
            </w:r>
          </w:p>
        </w:tc>
        <w:tc>
          <w:tcPr>
            <w:tcW w:w="1222" w:type="dxa"/>
            <w:gridSpan w:val="2"/>
            <w:tcBorders/>
            <w:shd w:fill="CCEEFF" w:val="clear"/>
            <w:vAlign w:val="bottom"/>
          </w:tcPr>
          <w:p>
            <w:pPr>
              <w:pStyle w:val="TableContents"/>
              <w:spacing w:before="0" w:after="0"/>
              <w:ind w:left="0" w:right="0" w:hanging="0"/>
              <w:jc w:val="right"/>
              <w:rPr/>
            </w:pPr>
            <w:r>
              <w:rPr/>
              <w:t> </w:t>
            </w:r>
          </w:p>
        </w:tc>
        <w:tc>
          <w:tcPr>
            <w:tcW w:w="111" w:type="dxa"/>
            <w:tcBorders/>
            <w:shd w:fill="CCEEFF" w:val="clear"/>
            <w:vAlign w:val="bottom"/>
          </w:tcPr>
          <w:p>
            <w:pPr>
              <w:pStyle w:val="TableContents"/>
              <w:spacing w:before="0" w:after="0"/>
              <w:ind w:left="0" w:right="0" w:hanging="0"/>
              <w:rPr/>
            </w:pPr>
            <w:r>
              <w:rPr/>
              <w:t> </w:t>
            </w:r>
          </w:p>
        </w:tc>
        <w:tc>
          <w:tcPr>
            <w:tcW w:w="1222" w:type="dxa"/>
            <w:gridSpan w:val="2"/>
            <w:tcBorders/>
            <w:shd w:fill="CCEEFF" w:val="clear"/>
            <w:vAlign w:val="bottom"/>
          </w:tcPr>
          <w:p>
            <w:pPr>
              <w:pStyle w:val="TableContents"/>
              <w:spacing w:before="0" w:after="0"/>
              <w:ind w:left="0" w:right="0" w:hanging="0"/>
              <w:jc w:val="right"/>
              <w:rPr/>
            </w:pPr>
            <w:r>
              <w:rPr/>
              <w:t> </w:t>
            </w:r>
          </w:p>
        </w:tc>
        <w:tc>
          <w:tcPr>
            <w:tcW w:w="111"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pPr>
            <w:r>
              <w:rPr/>
              <w:t> </w:t>
            </w:r>
          </w:p>
        </w:tc>
        <w:tc>
          <w:tcPr>
            <w:tcW w:w="111"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4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earnings before discontinued operations</w:t>
            </w:r>
          </w:p>
        </w:tc>
        <w:tc>
          <w:tcPr>
            <w:tcW w:w="110" w:type="dxa"/>
            <w:tcBorders/>
            <w:shd w:fill="auto" w:val="clear"/>
            <w:vAlign w:val="bottom"/>
          </w:tcPr>
          <w:p>
            <w:pPr>
              <w:pStyle w:val="TableContents"/>
              <w:spacing w:before="0" w:after="0"/>
              <w:ind w:left="0" w:right="0" w:hanging="0"/>
              <w:rPr/>
            </w:pPr>
            <w:r>
              <w:rPr/>
              <w:t> </w:t>
            </w:r>
          </w:p>
        </w:tc>
        <w:tc>
          <w:tcPr>
            <w:tcW w:w="12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848</w:t>
            </w:r>
          </w:p>
        </w:tc>
        <w:tc>
          <w:tcPr>
            <w:tcW w:w="111" w:type="dxa"/>
            <w:tcBorders/>
            <w:shd w:fill="auto" w:val="clear"/>
            <w:vAlign w:val="bottom"/>
          </w:tcPr>
          <w:p>
            <w:pPr>
              <w:pStyle w:val="TableContents"/>
              <w:spacing w:before="0" w:after="0"/>
              <w:ind w:left="0" w:right="0" w:hanging="0"/>
              <w:rPr/>
            </w:pPr>
            <w:r>
              <w:rPr/>
              <w:t> </w:t>
            </w:r>
          </w:p>
        </w:tc>
        <w:tc>
          <w:tcPr>
            <w:tcW w:w="12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3,824</w:t>
            </w:r>
          </w:p>
        </w:tc>
        <w:tc>
          <w:tcPr>
            <w:tcW w:w="111"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3,614</w:t>
            </w:r>
          </w:p>
        </w:tc>
        <w:tc>
          <w:tcPr>
            <w:tcW w:w="111"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5,644</w:t>
            </w:r>
          </w:p>
        </w:tc>
        <w:tc>
          <w:tcPr>
            <w:tcW w:w="121" w:type="dxa"/>
            <w:tcBorders/>
            <w:shd w:fill="auto" w:val="clear"/>
            <w:vAlign w:val="bottom"/>
          </w:tcPr>
          <w:p>
            <w:pPr>
              <w:pStyle w:val="TableContents"/>
              <w:spacing w:before="0" w:after="0"/>
              <w:ind w:left="0" w:right="0" w:hanging="0"/>
              <w:rPr/>
            </w:pPr>
            <w:r>
              <w:rPr/>
              <w:t> </w:t>
            </w:r>
          </w:p>
        </w:tc>
      </w:tr>
      <w:tr>
        <w:trPr/>
        <w:tc>
          <w:tcPr>
            <w:tcW w:w="475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Income from discontinued operations, net of tax</w:t>
            </w:r>
          </w:p>
        </w:tc>
        <w:tc>
          <w:tcPr>
            <w:tcW w:w="110" w:type="dxa"/>
            <w:tcBorders/>
            <w:shd w:fill="CCEEFF" w:val="clear"/>
            <w:vAlign w:val="bottom"/>
          </w:tcPr>
          <w:p>
            <w:pPr>
              <w:pStyle w:val="TableContents"/>
              <w:spacing w:before="0" w:after="0"/>
              <w:ind w:left="0" w:right="0" w:hanging="0"/>
              <w:rPr/>
            </w:pPr>
            <w:r>
              <w:rPr/>
              <w:t> </w:t>
            </w:r>
          </w:p>
        </w:tc>
        <w:tc>
          <w:tcPr>
            <w:tcW w:w="122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11" w:type="dxa"/>
            <w:tcBorders/>
            <w:shd w:fill="CCEEFF" w:val="clear"/>
            <w:vAlign w:val="bottom"/>
          </w:tcPr>
          <w:p>
            <w:pPr>
              <w:pStyle w:val="TableContents"/>
              <w:spacing w:before="0" w:after="0"/>
              <w:ind w:left="0" w:right="0" w:hanging="0"/>
              <w:rPr/>
            </w:pPr>
            <w:r>
              <w:rPr/>
              <w:t> </w:t>
            </w:r>
          </w:p>
        </w:tc>
        <w:tc>
          <w:tcPr>
            <w:tcW w:w="122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954</w:t>
            </w:r>
          </w:p>
        </w:tc>
        <w:tc>
          <w:tcPr>
            <w:tcW w:w="111" w:type="dxa"/>
            <w:tcBorders/>
            <w:shd w:fill="CCEEFF" w:val="clear"/>
            <w:vAlign w:val="bottom"/>
          </w:tcPr>
          <w:p>
            <w:pPr>
              <w:pStyle w:val="TableContents"/>
              <w:spacing w:before="0" w:after="0"/>
              <w:ind w:left="0" w:right="0" w:hanging="0"/>
              <w:rPr/>
            </w:pPr>
            <w:r>
              <w:rPr/>
              <w:t> </w:t>
            </w:r>
          </w:p>
        </w:tc>
        <w:tc>
          <w:tcPr>
            <w:tcW w:w="12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111" w:type="dxa"/>
            <w:tcBorders/>
            <w:shd w:fill="CCEEFF" w:val="clear"/>
            <w:vAlign w:val="bottom"/>
          </w:tcPr>
          <w:p>
            <w:pPr>
              <w:pStyle w:val="TableContents"/>
              <w:spacing w:before="0" w:after="0"/>
              <w:ind w:left="0" w:right="0" w:hanging="0"/>
              <w:rPr/>
            </w:pPr>
            <w:r>
              <w:rPr/>
              <w:t> </w:t>
            </w:r>
          </w:p>
        </w:tc>
        <w:tc>
          <w:tcPr>
            <w:tcW w:w="12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2,225</w:t>
            </w:r>
          </w:p>
        </w:tc>
        <w:tc>
          <w:tcPr>
            <w:tcW w:w="121" w:type="dxa"/>
            <w:tcBorders/>
            <w:shd w:fill="CCEEFF" w:val="clear"/>
            <w:vAlign w:val="bottom"/>
          </w:tcPr>
          <w:p>
            <w:pPr>
              <w:pStyle w:val="TableContents"/>
              <w:spacing w:before="0" w:after="0"/>
              <w:ind w:left="0" w:right="0" w:hanging="0"/>
              <w:rPr/>
            </w:pPr>
            <w:r>
              <w:rPr/>
              <w:t> </w:t>
            </w:r>
          </w:p>
        </w:tc>
      </w:tr>
      <w:tr>
        <w:trPr/>
        <w:tc>
          <w:tcPr>
            <w:tcW w:w="4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earnings</w:t>
            </w:r>
          </w:p>
        </w:tc>
        <w:tc>
          <w:tcPr>
            <w:tcW w:w="110" w:type="dxa"/>
            <w:tcBorders/>
            <w:shd w:fill="auto" w:val="clear"/>
            <w:vAlign w:val="bottom"/>
          </w:tcPr>
          <w:p>
            <w:pPr>
              <w:pStyle w:val="TableContents"/>
              <w:spacing w:before="0" w:after="0"/>
              <w:ind w:left="0" w:right="0" w:hanging="0"/>
              <w:rPr/>
            </w:pPr>
            <w:r>
              <w:rPr/>
              <w:t> </w:t>
            </w:r>
          </w:p>
        </w:tc>
        <w:tc>
          <w:tcPr>
            <w:tcW w:w="111"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864</w:t>
            </w:r>
          </w:p>
        </w:tc>
        <w:tc>
          <w:tcPr>
            <w:tcW w:w="111" w:type="dxa"/>
            <w:tcBorders/>
            <w:shd w:fill="auto" w:val="clear"/>
            <w:vAlign w:val="bottom"/>
          </w:tcPr>
          <w:p>
            <w:pPr>
              <w:pStyle w:val="TableContents"/>
              <w:spacing w:before="0" w:after="0"/>
              <w:ind w:left="0" w:right="0" w:hanging="0"/>
              <w:rPr/>
            </w:pPr>
            <w:r>
              <w:rPr/>
              <w:t> </w:t>
            </w:r>
          </w:p>
        </w:tc>
        <w:tc>
          <w:tcPr>
            <w:tcW w:w="111"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4,778</w:t>
            </w:r>
          </w:p>
        </w:tc>
        <w:tc>
          <w:tcPr>
            <w:tcW w:w="111" w:type="dxa"/>
            <w:tcBorders/>
            <w:shd w:fill="auto" w:val="clear"/>
            <w:vAlign w:val="bottom"/>
          </w:tcPr>
          <w:p>
            <w:pPr>
              <w:pStyle w:val="TableContents"/>
              <w:spacing w:before="0" w:after="0"/>
              <w:ind w:left="0" w:right="0" w:hanging="0"/>
              <w:rPr/>
            </w:pPr>
            <w:r>
              <w:rPr/>
              <w:t> </w:t>
            </w:r>
          </w:p>
        </w:tc>
        <w:tc>
          <w:tcPr>
            <w:tcW w:w="111"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3,693</w:t>
            </w:r>
          </w:p>
        </w:tc>
        <w:tc>
          <w:tcPr>
            <w:tcW w:w="111" w:type="dxa"/>
            <w:tcBorders/>
            <w:shd w:fill="auto" w:val="clear"/>
            <w:vAlign w:val="bottom"/>
          </w:tcPr>
          <w:p>
            <w:pPr>
              <w:pStyle w:val="TableContents"/>
              <w:spacing w:before="0" w:after="0"/>
              <w:ind w:left="0" w:right="0" w:hanging="0"/>
              <w:rPr/>
            </w:pPr>
            <w:r>
              <w:rPr/>
              <w:t> </w:t>
            </w:r>
          </w:p>
        </w:tc>
        <w:tc>
          <w:tcPr>
            <w:tcW w:w="111"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7,869</w:t>
            </w:r>
          </w:p>
        </w:tc>
        <w:tc>
          <w:tcPr>
            <w:tcW w:w="121" w:type="dxa"/>
            <w:tcBorders/>
            <w:shd w:fill="auto" w:val="clear"/>
            <w:vAlign w:val="bottom"/>
          </w:tcPr>
          <w:p>
            <w:pPr>
              <w:pStyle w:val="TableContents"/>
              <w:spacing w:before="0" w:after="0"/>
              <w:ind w:left="0" w:right="0" w:hanging="0"/>
              <w:rPr/>
            </w:pPr>
            <w:r>
              <w:rPr/>
              <w:t> </w:t>
            </w:r>
          </w:p>
        </w:tc>
      </w:tr>
      <w:tr>
        <w:trPr/>
        <w:tc>
          <w:tcPr>
            <w:tcW w:w="4750" w:type="dxa"/>
            <w:tcBorders/>
            <w:shd w:fill="CCEEFF" w:val="clear"/>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pPr>
            <w:r>
              <w:rPr/>
              <w:t> </w:t>
            </w:r>
          </w:p>
        </w:tc>
        <w:tc>
          <w:tcPr>
            <w:tcW w:w="1222" w:type="dxa"/>
            <w:gridSpan w:val="2"/>
            <w:tcBorders/>
            <w:shd w:fill="CCEEFF" w:val="clear"/>
            <w:vAlign w:val="bottom"/>
          </w:tcPr>
          <w:p>
            <w:pPr>
              <w:pStyle w:val="TableContents"/>
              <w:spacing w:before="0" w:after="0"/>
              <w:ind w:left="0" w:right="0" w:hanging="0"/>
              <w:jc w:val="right"/>
              <w:rPr/>
            </w:pPr>
            <w:r>
              <w:rPr/>
              <w:t> </w:t>
            </w:r>
          </w:p>
        </w:tc>
        <w:tc>
          <w:tcPr>
            <w:tcW w:w="111" w:type="dxa"/>
            <w:tcBorders/>
            <w:shd w:fill="CCEEFF" w:val="clear"/>
            <w:vAlign w:val="bottom"/>
          </w:tcPr>
          <w:p>
            <w:pPr>
              <w:pStyle w:val="TableContents"/>
              <w:spacing w:before="0" w:after="0"/>
              <w:ind w:left="0" w:right="0" w:hanging="0"/>
              <w:rPr/>
            </w:pPr>
            <w:r>
              <w:rPr/>
              <w:t> </w:t>
            </w:r>
          </w:p>
        </w:tc>
        <w:tc>
          <w:tcPr>
            <w:tcW w:w="1222" w:type="dxa"/>
            <w:gridSpan w:val="2"/>
            <w:tcBorders/>
            <w:shd w:fill="CCEEFF" w:val="clear"/>
            <w:vAlign w:val="bottom"/>
          </w:tcPr>
          <w:p>
            <w:pPr>
              <w:pStyle w:val="TableContents"/>
              <w:spacing w:before="0" w:after="0"/>
              <w:ind w:left="0" w:right="0" w:hanging="0"/>
              <w:jc w:val="right"/>
              <w:rPr/>
            </w:pPr>
            <w:r>
              <w:rPr/>
              <w:t> </w:t>
            </w:r>
          </w:p>
        </w:tc>
        <w:tc>
          <w:tcPr>
            <w:tcW w:w="111"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pPr>
            <w:r>
              <w:rPr/>
              <w:t> </w:t>
            </w:r>
          </w:p>
        </w:tc>
        <w:tc>
          <w:tcPr>
            <w:tcW w:w="111"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4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Basic earnings per share:</w:t>
            </w:r>
          </w:p>
        </w:tc>
        <w:tc>
          <w:tcPr>
            <w:tcW w:w="110" w:type="dxa"/>
            <w:tcBorders/>
            <w:shd w:fill="auto" w:val="clear"/>
            <w:vAlign w:val="bottom"/>
          </w:tcPr>
          <w:p>
            <w:pPr>
              <w:pStyle w:val="TableContents"/>
              <w:spacing w:before="0" w:after="0"/>
              <w:ind w:left="0" w:right="0" w:hanging="0"/>
              <w:rPr/>
            </w:pPr>
            <w:r>
              <w:rPr/>
              <w:t> </w:t>
            </w:r>
          </w:p>
        </w:tc>
        <w:tc>
          <w:tcPr>
            <w:tcW w:w="1222"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c>
          <w:tcPr>
            <w:tcW w:w="1222"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475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Income from continuing operations</w:t>
            </w:r>
          </w:p>
        </w:tc>
        <w:tc>
          <w:tcPr>
            <w:tcW w:w="110"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0.16</w:t>
            </w:r>
          </w:p>
        </w:tc>
        <w:tc>
          <w:tcPr>
            <w:tcW w:w="111"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0.75</w:t>
            </w:r>
          </w:p>
        </w:tc>
        <w:tc>
          <w:tcPr>
            <w:tcW w:w="111"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0.69</w:t>
            </w:r>
          </w:p>
        </w:tc>
        <w:tc>
          <w:tcPr>
            <w:tcW w:w="111"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121" w:type="dxa"/>
            <w:tcBorders/>
            <w:shd w:fill="CCEEFF" w:val="clear"/>
            <w:vAlign w:val="bottom"/>
          </w:tcPr>
          <w:p>
            <w:pPr>
              <w:pStyle w:val="TableContents"/>
              <w:spacing w:before="0" w:after="0"/>
              <w:ind w:left="0" w:right="0" w:hanging="0"/>
              <w:rPr/>
            </w:pPr>
            <w:r>
              <w:rPr/>
              <w:t> </w:t>
            </w:r>
          </w:p>
        </w:tc>
      </w:tr>
      <w:tr>
        <w:trPr/>
        <w:tc>
          <w:tcPr>
            <w:tcW w:w="4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Income from discontinued operations</w:t>
            </w:r>
          </w:p>
        </w:tc>
        <w:tc>
          <w:tcPr>
            <w:tcW w:w="110" w:type="dxa"/>
            <w:tcBorders/>
            <w:shd w:fill="auto" w:val="clear"/>
            <w:vAlign w:val="bottom"/>
          </w:tcPr>
          <w:p>
            <w:pPr>
              <w:pStyle w:val="TableContents"/>
              <w:spacing w:before="0" w:after="0"/>
              <w:ind w:left="0" w:right="0" w:hanging="0"/>
              <w:rPr/>
            </w:pPr>
            <w:r>
              <w:rPr/>
              <w:t> </w:t>
            </w:r>
          </w:p>
        </w:tc>
        <w:tc>
          <w:tcPr>
            <w:tcW w:w="12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1" w:type="dxa"/>
            <w:tcBorders/>
            <w:shd w:fill="auto" w:val="clear"/>
            <w:vAlign w:val="bottom"/>
          </w:tcPr>
          <w:p>
            <w:pPr>
              <w:pStyle w:val="TableContents"/>
              <w:spacing w:before="0" w:after="0"/>
              <w:ind w:left="0" w:right="0" w:hanging="0"/>
              <w:rPr/>
            </w:pPr>
            <w:r>
              <w:rPr/>
              <w:t> </w:t>
            </w:r>
          </w:p>
        </w:tc>
        <w:tc>
          <w:tcPr>
            <w:tcW w:w="12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0.19</w:t>
            </w:r>
          </w:p>
        </w:tc>
        <w:tc>
          <w:tcPr>
            <w:tcW w:w="111" w:type="dxa"/>
            <w:tcBorders/>
            <w:shd w:fill="auto" w:val="clear"/>
            <w:vAlign w:val="bottom"/>
          </w:tcPr>
          <w:p>
            <w:pPr>
              <w:pStyle w:val="TableContents"/>
              <w:spacing w:before="0" w:after="0"/>
              <w:ind w:left="0" w:right="0" w:hanging="0"/>
              <w:rPr/>
            </w:pPr>
            <w:r>
              <w:rPr/>
              <w:t> </w:t>
            </w:r>
          </w:p>
        </w:tc>
        <w:tc>
          <w:tcPr>
            <w:tcW w:w="12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0.02</w:t>
            </w:r>
          </w:p>
        </w:tc>
        <w:tc>
          <w:tcPr>
            <w:tcW w:w="111" w:type="dxa"/>
            <w:tcBorders/>
            <w:shd w:fill="auto" w:val="clear"/>
            <w:vAlign w:val="bottom"/>
          </w:tcPr>
          <w:p>
            <w:pPr>
              <w:pStyle w:val="TableContents"/>
              <w:spacing w:before="0" w:after="0"/>
              <w:ind w:left="0" w:right="0" w:hanging="0"/>
              <w:rPr/>
            </w:pPr>
            <w:r>
              <w:rPr/>
              <w:t> </w:t>
            </w:r>
          </w:p>
        </w:tc>
        <w:tc>
          <w:tcPr>
            <w:tcW w:w="122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0.44</w:t>
            </w:r>
          </w:p>
        </w:tc>
        <w:tc>
          <w:tcPr>
            <w:tcW w:w="121" w:type="dxa"/>
            <w:tcBorders/>
            <w:shd w:fill="auto" w:val="clear"/>
            <w:vAlign w:val="bottom"/>
          </w:tcPr>
          <w:p>
            <w:pPr>
              <w:pStyle w:val="TableContents"/>
              <w:spacing w:before="0" w:after="0"/>
              <w:ind w:left="0" w:right="0" w:hanging="0"/>
              <w:rPr/>
            </w:pPr>
            <w:r>
              <w:rPr/>
              <w:t> </w:t>
            </w:r>
          </w:p>
        </w:tc>
      </w:tr>
      <w:tr>
        <w:trPr/>
        <w:tc>
          <w:tcPr>
            <w:tcW w:w="475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earnings per basic share</w:t>
            </w:r>
          </w:p>
        </w:tc>
        <w:tc>
          <w:tcPr>
            <w:tcW w:w="110" w:type="dxa"/>
            <w:tcBorders/>
            <w:shd w:fill="CCEEFF" w:val="clear"/>
            <w:vAlign w:val="bottom"/>
          </w:tcPr>
          <w:p>
            <w:pPr>
              <w:pStyle w:val="TableContents"/>
              <w:spacing w:before="0" w:after="0"/>
              <w:ind w:left="0" w:right="0" w:hanging="0"/>
              <w:rPr/>
            </w:pPr>
            <w:r>
              <w:rPr/>
              <w:t> </w:t>
            </w:r>
          </w:p>
        </w:tc>
        <w:tc>
          <w:tcPr>
            <w:tcW w:w="111"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0.16</w:t>
            </w:r>
          </w:p>
        </w:tc>
        <w:tc>
          <w:tcPr>
            <w:tcW w:w="111" w:type="dxa"/>
            <w:tcBorders/>
            <w:shd w:fill="CCEEFF" w:val="clear"/>
            <w:vAlign w:val="bottom"/>
          </w:tcPr>
          <w:p>
            <w:pPr>
              <w:pStyle w:val="TableContents"/>
              <w:spacing w:before="0" w:after="0"/>
              <w:ind w:left="0" w:right="0" w:hanging="0"/>
              <w:rPr/>
            </w:pPr>
            <w:r>
              <w:rPr/>
              <w:t> </w:t>
            </w:r>
          </w:p>
        </w:tc>
        <w:tc>
          <w:tcPr>
            <w:tcW w:w="111"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0.94</w:t>
            </w:r>
          </w:p>
        </w:tc>
        <w:tc>
          <w:tcPr>
            <w:tcW w:w="111" w:type="dxa"/>
            <w:tcBorders/>
            <w:shd w:fill="CCEEFF" w:val="clear"/>
            <w:vAlign w:val="bottom"/>
          </w:tcPr>
          <w:p>
            <w:pPr>
              <w:pStyle w:val="TableContents"/>
              <w:spacing w:before="0" w:after="0"/>
              <w:ind w:left="0" w:right="0" w:hanging="0"/>
              <w:rPr/>
            </w:pPr>
            <w:r>
              <w:rPr/>
              <w:t> </w:t>
            </w:r>
          </w:p>
        </w:tc>
        <w:tc>
          <w:tcPr>
            <w:tcW w:w="111"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0.71</w:t>
            </w:r>
          </w:p>
        </w:tc>
        <w:tc>
          <w:tcPr>
            <w:tcW w:w="111" w:type="dxa"/>
            <w:tcBorders/>
            <w:shd w:fill="CCEEFF" w:val="clear"/>
            <w:vAlign w:val="bottom"/>
          </w:tcPr>
          <w:p>
            <w:pPr>
              <w:pStyle w:val="TableContents"/>
              <w:spacing w:before="0" w:after="0"/>
              <w:ind w:left="0" w:right="0" w:hanging="0"/>
              <w:rPr/>
            </w:pPr>
            <w:r>
              <w:rPr/>
              <w:t> </w:t>
            </w:r>
          </w:p>
        </w:tc>
        <w:tc>
          <w:tcPr>
            <w:tcW w:w="111"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121" w:type="dxa"/>
            <w:tcBorders/>
            <w:shd w:fill="CCEEFF" w:val="clear"/>
            <w:vAlign w:val="bottom"/>
          </w:tcPr>
          <w:p>
            <w:pPr>
              <w:pStyle w:val="TableContents"/>
              <w:spacing w:before="0" w:after="0"/>
              <w:ind w:left="0" w:right="0" w:hanging="0"/>
              <w:rPr/>
            </w:pPr>
            <w:r>
              <w:rPr/>
              <w:t> </w:t>
            </w:r>
          </w:p>
        </w:tc>
      </w:tr>
      <w:tr>
        <w:trPr/>
        <w:tc>
          <w:tcPr>
            <w:tcW w:w="4750" w:type="dxa"/>
            <w:tcBorders/>
            <w:shd w:fill="auto" w:val="clear"/>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pPr>
            <w:r>
              <w:rPr/>
              <w:t> </w:t>
            </w:r>
          </w:p>
        </w:tc>
        <w:tc>
          <w:tcPr>
            <w:tcW w:w="1222"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c>
          <w:tcPr>
            <w:tcW w:w="1222"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475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Diluted earnings per share:</w:t>
            </w:r>
          </w:p>
        </w:tc>
        <w:tc>
          <w:tcPr>
            <w:tcW w:w="110" w:type="dxa"/>
            <w:tcBorders/>
            <w:shd w:fill="CCEEFF" w:val="clear"/>
            <w:vAlign w:val="bottom"/>
          </w:tcPr>
          <w:p>
            <w:pPr>
              <w:pStyle w:val="TableContents"/>
              <w:spacing w:before="0" w:after="0"/>
              <w:ind w:left="0" w:right="0" w:hanging="0"/>
              <w:rPr/>
            </w:pPr>
            <w:r>
              <w:rPr/>
              <w:t> </w:t>
            </w:r>
          </w:p>
        </w:tc>
        <w:tc>
          <w:tcPr>
            <w:tcW w:w="1222" w:type="dxa"/>
            <w:gridSpan w:val="2"/>
            <w:tcBorders/>
            <w:shd w:fill="CCEEFF" w:val="clear"/>
            <w:vAlign w:val="bottom"/>
          </w:tcPr>
          <w:p>
            <w:pPr>
              <w:pStyle w:val="TableContents"/>
              <w:spacing w:before="0" w:after="0"/>
              <w:ind w:left="0" w:right="0" w:hanging="0"/>
              <w:jc w:val="right"/>
              <w:rPr/>
            </w:pPr>
            <w:r>
              <w:rPr/>
              <w:t> </w:t>
            </w:r>
          </w:p>
        </w:tc>
        <w:tc>
          <w:tcPr>
            <w:tcW w:w="111" w:type="dxa"/>
            <w:tcBorders/>
            <w:shd w:fill="CCEEFF" w:val="clear"/>
            <w:vAlign w:val="bottom"/>
          </w:tcPr>
          <w:p>
            <w:pPr>
              <w:pStyle w:val="TableContents"/>
              <w:spacing w:before="0" w:after="0"/>
              <w:ind w:left="0" w:right="0" w:hanging="0"/>
              <w:rPr/>
            </w:pPr>
            <w:r>
              <w:rPr/>
              <w:t> </w:t>
            </w:r>
          </w:p>
        </w:tc>
        <w:tc>
          <w:tcPr>
            <w:tcW w:w="1222" w:type="dxa"/>
            <w:gridSpan w:val="2"/>
            <w:tcBorders/>
            <w:shd w:fill="CCEEFF" w:val="clear"/>
            <w:vAlign w:val="bottom"/>
          </w:tcPr>
          <w:p>
            <w:pPr>
              <w:pStyle w:val="TableContents"/>
              <w:spacing w:before="0" w:after="0"/>
              <w:ind w:left="0" w:right="0" w:hanging="0"/>
              <w:jc w:val="right"/>
              <w:rPr/>
            </w:pPr>
            <w:r>
              <w:rPr/>
              <w:t> </w:t>
            </w:r>
          </w:p>
        </w:tc>
        <w:tc>
          <w:tcPr>
            <w:tcW w:w="111"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pPr>
            <w:r>
              <w:rPr/>
              <w:t> </w:t>
            </w:r>
          </w:p>
        </w:tc>
        <w:tc>
          <w:tcPr>
            <w:tcW w:w="111"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4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Income from continuing operations</w:t>
            </w:r>
          </w:p>
        </w:tc>
        <w:tc>
          <w:tcPr>
            <w:tcW w:w="110"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0.15</w:t>
            </w:r>
          </w:p>
        </w:tc>
        <w:tc>
          <w:tcPr>
            <w:tcW w:w="111"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0.69</w:t>
            </w:r>
          </w:p>
        </w:tc>
        <w:tc>
          <w:tcPr>
            <w:tcW w:w="111"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0.65</w:t>
            </w:r>
          </w:p>
        </w:tc>
        <w:tc>
          <w:tcPr>
            <w:tcW w:w="111"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121" w:type="dxa"/>
            <w:tcBorders/>
            <w:shd w:fill="auto" w:val="clear"/>
            <w:vAlign w:val="bottom"/>
          </w:tcPr>
          <w:p>
            <w:pPr>
              <w:pStyle w:val="TableContents"/>
              <w:spacing w:before="0" w:after="0"/>
              <w:ind w:left="0" w:right="0" w:hanging="0"/>
              <w:rPr/>
            </w:pPr>
            <w:r>
              <w:rPr/>
              <w:t> </w:t>
            </w:r>
          </w:p>
        </w:tc>
      </w:tr>
      <w:tr>
        <w:trPr/>
        <w:tc>
          <w:tcPr>
            <w:tcW w:w="475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Income from discontinued operations</w:t>
            </w:r>
          </w:p>
        </w:tc>
        <w:tc>
          <w:tcPr>
            <w:tcW w:w="110" w:type="dxa"/>
            <w:tcBorders/>
            <w:shd w:fill="CCEEFF" w:val="clear"/>
            <w:vAlign w:val="bottom"/>
          </w:tcPr>
          <w:p>
            <w:pPr>
              <w:pStyle w:val="TableContents"/>
              <w:spacing w:before="0" w:after="0"/>
              <w:ind w:left="0" w:right="0" w:hanging="0"/>
              <w:rPr/>
            </w:pPr>
            <w:r>
              <w:rPr/>
              <w:t> </w:t>
            </w:r>
          </w:p>
        </w:tc>
        <w:tc>
          <w:tcPr>
            <w:tcW w:w="122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1" w:type="dxa"/>
            <w:tcBorders/>
            <w:shd w:fill="CCEEFF" w:val="clear"/>
            <w:vAlign w:val="bottom"/>
          </w:tcPr>
          <w:p>
            <w:pPr>
              <w:pStyle w:val="TableContents"/>
              <w:spacing w:before="0" w:after="0"/>
              <w:ind w:left="0" w:right="0" w:hanging="0"/>
              <w:rPr/>
            </w:pPr>
            <w:r>
              <w:rPr/>
              <w:t> </w:t>
            </w:r>
          </w:p>
        </w:tc>
        <w:tc>
          <w:tcPr>
            <w:tcW w:w="122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0.17</w:t>
            </w:r>
          </w:p>
        </w:tc>
        <w:tc>
          <w:tcPr>
            <w:tcW w:w="111" w:type="dxa"/>
            <w:tcBorders/>
            <w:shd w:fill="CCEEFF" w:val="clear"/>
            <w:vAlign w:val="bottom"/>
          </w:tcPr>
          <w:p>
            <w:pPr>
              <w:pStyle w:val="TableContents"/>
              <w:spacing w:before="0" w:after="0"/>
              <w:ind w:left="0" w:right="0" w:hanging="0"/>
              <w:rPr/>
            </w:pPr>
            <w:r>
              <w:rPr/>
              <w:t> </w:t>
            </w:r>
          </w:p>
        </w:tc>
        <w:tc>
          <w:tcPr>
            <w:tcW w:w="12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0.01</w:t>
            </w:r>
          </w:p>
        </w:tc>
        <w:tc>
          <w:tcPr>
            <w:tcW w:w="111" w:type="dxa"/>
            <w:tcBorders/>
            <w:shd w:fill="CCEEFF" w:val="clear"/>
            <w:vAlign w:val="bottom"/>
          </w:tcPr>
          <w:p>
            <w:pPr>
              <w:pStyle w:val="TableContents"/>
              <w:spacing w:before="0" w:after="0"/>
              <w:ind w:left="0" w:right="0" w:hanging="0"/>
              <w:rPr/>
            </w:pPr>
            <w:r>
              <w:rPr/>
              <w:t> </w:t>
            </w:r>
          </w:p>
        </w:tc>
        <w:tc>
          <w:tcPr>
            <w:tcW w:w="12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0.40</w:t>
            </w:r>
          </w:p>
        </w:tc>
        <w:tc>
          <w:tcPr>
            <w:tcW w:w="121" w:type="dxa"/>
            <w:tcBorders/>
            <w:shd w:fill="CCEEFF" w:val="clear"/>
            <w:vAlign w:val="bottom"/>
          </w:tcPr>
          <w:p>
            <w:pPr>
              <w:pStyle w:val="TableContents"/>
              <w:spacing w:before="0" w:after="0"/>
              <w:ind w:left="0" w:right="0" w:hanging="0"/>
              <w:rPr/>
            </w:pPr>
            <w:r>
              <w:rPr/>
              <w:t> </w:t>
            </w:r>
          </w:p>
        </w:tc>
      </w:tr>
      <w:tr>
        <w:trPr/>
        <w:tc>
          <w:tcPr>
            <w:tcW w:w="4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earnings per diluted share</w:t>
            </w:r>
          </w:p>
        </w:tc>
        <w:tc>
          <w:tcPr>
            <w:tcW w:w="110" w:type="dxa"/>
            <w:tcBorders/>
            <w:shd w:fill="auto" w:val="clear"/>
            <w:vAlign w:val="bottom"/>
          </w:tcPr>
          <w:p>
            <w:pPr>
              <w:pStyle w:val="TableContents"/>
              <w:spacing w:before="0" w:after="0"/>
              <w:ind w:left="0" w:right="0" w:hanging="0"/>
              <w:rPr/>
            </w:pPr>
            <w:r>
              <w:rPr/>
              <w:t> </w:t>
            </w:r>
          </w:p>
        </w:tc>
        <w:tc>
          <w:tcPr>
            <w:tcW w:w="111"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0.15</w:t>
            </w:r>
          </w:p>
        </w:tc>
        <w:tc>
          <w:tcPr>
            <w:tcW w:w="111" w:type="dxa"/>
            <w:tcBorders/>
            <w:shd w:fill="auto" w:val="clear"/>
            <w:vAlign w:val="bottom"/>
          </w:tcPr>
          <w:p>
            <w:pPr>
              <w:pStyle w:val="TableContents"/>
              <w:spacing w:before="0" w:after="0"/>
              <w:ind w:left="0" w:right="0" w:hanging="0"/>
              <w:rPr/>
            </w:pPr>
            <w:r>
              <w:rPr/>
              <w:t> </w:t>
            </w:r>
          </w:p>
        </w:tc>
        <w:tc>
          <w:tcPr>
            <w:tcW w:w="111"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0.86</w:t>
            </w:r>
          </w:p>
        </w:tc>
        <w:tc>
          <w:tcPr>
            <w:tcW w:w="111" w:type="dxa"/>
            <w:tcBorders/>
            <w:shd w:fill="auto" w:val="clear"/>
            <w:vAlign w:val="bottom"/>
          </w:tcPr>
          <w:p>
            <w:pPr>
              <w:pStyle w:val="TableContents"/>
              <w:spacing w:before="0" w:after="0"/>
              <w:ind w:left="0" w:right="0" w:hanging="0"/>
              <w:rPr/>
            </w:pPr>
            <w:r>
              <w:rPr/>
              <w:t> </w:t>
            </w:r>
          </w:p>
        </w:tc>
        <w:tc>
          <w:tcPr>
            <w:tcW w:w="111"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0.66</w:t>
            </w:r>
          </w:p>
        </w:tc>
        <w:tc>
          <w:tcPr>
            <w:tcW w:w="111" w:type="dxa"/>
            <w:tcBorders/>
            <w:shd w:fill="auto" w:val="clear"/>
            <w:vAlign w:val="bottom"/>
          </w:tcPr>
          <w:p>
            <w:pPr>
              <w:pStyle w:val="TableContents"/>
              <w:spacing w:before="0" w:after="0"/>
              <w:ind w:left="0" w:right="0" w:hanging="0"/>
              <w:rPr/>
            </w:pPr>
            <w:r>
              <w:rPr/>
              <w:t> </w:t>
            </w:r>
          </w:p>
        </w:tc>
        <w:tc>
          <w:tcPr>
            <w:tcW w:w="111"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21"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p>
    <w:p>
      <w:pPr>
        <w:pStyle w:val="HorizontalLine"/>
        <w:pBdr>
          <w:bottom w:val="single" w:sz="12"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NATIONAL VISION, INC.</w:t>
      </w:r>
    </w:p>
    <w:p>
      <w:pPr>
        <w:pStyle w:val="Heading5"/>
        <w:spacing w:before="0" w:after="0"/>
        <w:ind w:left="0" w:right="0" w:hanging="0"/>
        <w:rPr>
          <w:rFonts w:ascii="Times New Roman" w:hAnsi="Times New Roman"/>
          <w:b/>
          <w:sz w:val="17"/>
        </w:rPr>
      </w:pPr>
      <w:bookmarkStart w:id="6" w:name="CondensedConsolidatedStatementsOf_102314"/>
      <w:bookmarkEnd w:id="6"/>
      <w:r>
        <w:rPr>
          <w:rFonts w:ascii="Times New Roman" w:hAnsi="Times New Roman"/>
          <w:b/>
          <w:sz w:val="17"/>
        </w:rPr>
        <w:t>CONDENSED CONSOLIDATED STATEMENTS OF CASH FLOWS</w:t>
      </w:r>
    </w:p>
    <w:p>
      <w:pPr>
        <w:pStyle w:val="TextBody"/>
        <w:spacing w:before="0" w:after="0"/>
        <w:ind w:left="0" w:right="0" w:hanging="0"/>
        <w:jc w:val="center"/>
        <w:rPr>
          <w:rFonts w:ascii="Times New Roman" w:hAnsi="Times New Roman"/>
          <w:b/>
          <w:sz w:val="17"/>
        </w:rPr>
      </w:pPr>
      <w:r>
        <w:rPr>
          <w:rFonts w:ascii="Times New Roman" w:hAnsi="Times New Roman"/>
          <w:b/>
          <w:sz w:val="17"/>
        </w:rPr>
        <w:t>(in thousands)</w:t>
      </w:r>
    </w:p>
    <w:p>
      <w:pPr>
        <w:pStyle w:val="TextBody"/>
        <w:spacing w:before="0" w:after="0"/>
        <w:ind w:left="0" w:right="0" w:hanging="0"/>
        <w:jc w:val="center"/>
        <w:rPr>
          <w:rFonts w:ascii="Times New Roman" w:hAnsi="Times New Roman"/>
          <w:b/>
          <w:sz w:val="17"/>
        </w:rPr>
      </w:pPr>
      <w:r>
        <w:rPr>
          <w:rFonts w:ascii="Times New Roman" w:hAnsi="Times New Roman"/>
          <w:b/>
          <w:sz w:val="17"/>
        </w:rPr>
        <w:t>(Unaudited)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063"/>
        <w:gridCol w:w="119"/>
        <w:gridCol w:w="154"/>
        <w:gridCol w:w="1228"/>
        <w:gridCol w:w="127"/>
        <w:gridCol w:w="154"/>
        <w:gridCol w:w="1228"/>
        <w:gridCol w:w="132"/>
      </w:tblGrid>
      <w:tr>
        <w:trPr/>
        <w:tc>
          <w:tcPr>
            <w:tcW w:w="7063" w:type="dxa"/>
            <w:tcBorders/>
            <w:shd w:fill="auto" w:val="clear"/>
            <w:vAlign w:val="bottom"/>
          </w:tcPr>
          <w:p>
            <w:pPr>
              <w:pStyle w:val="TableContents"/>
              <w:spacing w:before="0" w:after="0"/>
              <w:ind w:left="0" w:right="0" w:hanging="0"/>
              <w:jc w:val="center"/>
              <w:rPr/>
            </w:pPr>
            <w:r>
              <w:rPr/>
              <w:t> </w:t>
            </w:r>
          </w:p>
        </w:tc>
        <w:tc>
          <w:tcPr>
            <w:tcW w:w="119" w:type="dxa"/>
            <w:tcBorders/>
            <w:shd w:fill="auto" w:val="clear"/>
            <w:vAlign w:val="bottom"/>
          </w:tcPr>
          <w:p>
            <w:pPr>
              <w:pStyle w:val="TableContents"/>
              <w:spacing w:before="0" w:after="0"/>
              <w:ind w:left="0" w:right="0" w:hanging="0"/>
              <w:rPr/>
            </w:pPr>
            <w:r>
              <w:rPr/>
              <w:t> </w:t>
            </w:r>
          </w:p>
        </w:tc>
        <w:tc>
          <w:tcPr>
            <w:tcW w:w="289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32" w:type="dxa"/>
            <w:tcBorders/>
            <w:shd w:fill="auto" w:val="clear"/>
            <w:vAlign w:val="bottom"/>
          </w:tcPr>
          <w:p>
            <w:pPr>
              <w:pStyle w:val="TableContents"/>
              <w:spacing w:before="0" w:after="0"/>
              <w:ind w:left="0" w:right="0" w:hanging="0"/>
              <w:rPr/>
            </w:pPr>
            <w:r>
              <w:rPr/>
              <w:t> </w:t>
            </w:r>
          </w:p>
        </w:tc>
      </w:tr>
      <w:tr>
        <w:trPr/>
        <w:tc>
          <w:tcPr>
            <w:tcW w:w="7063" w:type="dxa"/>
            <w:tcBorders/>
            <w:shd w:fill="auto" w:val="clear"/>
            <w:vAlign w:val="bottom"/>
          </w:tcPr>
          <w:p>
            <w:pPr>
              <w:pStyle w:val="TableContents"/>
              <w:spacing w:before="0" w:after="0"/>
              <w:ind w:left="0" w:right="0" w:hanging="0"/>
              <w:jc w:val="center"/>
              <w:rPr/>
            </w:pPr>
            <w:r>
              <w:rPr/>
              <w:t> </w:t>
            </w:r>
          </w:p>
        </w:tc>
        <w:tc>
          <w:tcPr>
            <w:tcW w:w="119" w:type="dxa"/>
            <w:tcBorders/>
            <w:shd w:fill="auto" w:val="clear"/>
            <w:vAlign w:val="bottom"/>
          </w:tcPr>
          <w:p>
            <w:pPr>
              <w:pStyle w:val="TableContents"/>
              <w:spacing w:before="0" w:after="0"/>
              <w:ind w:left="0" w:right="0" w:hanging="0"/>
              <w:rPr/>
            </w:pPr>
            <w:r>
              <w:rPr/>
              <w:t> </w:t>
            </w:r>
          </w:p>
        </w:tc>
        <w:tc>
          <w:tcPr>
            <w:tcW w:w="138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2, 2005</w:t>
            </w:r>
          </w:p>
        </w:tc>
        <w:tc>
          <w:tcPr>
            <w:tcW w:w="127" w:type="dxa"/>
            <w:tcBorders>
              <w:top w:val="single" w:sz="8" w:space="0" w:color="000000"/>
            </w:tcBorders>
            <w:shd w:fill="auto" w:val="clear"/>
            <w:tcMar>
              <w:top w:w="28" w:type="dxa"/>
            </w:tcMar>
            <w:vAlign w:val="bottom"/>
          </w:tcPr>
          <w:p>
            <w:pPr>
              <w:pStyle w:val="TableContents"/>
              <w:spacing w:before="0" w:after="0"/>
              <w:ind w:left="0" w:right="0" w:hanging="0"/>
              <w:rPr/>
            </w:pPr>
            <w:r>
              <w:rPr/>
              <w:t> </w:t>
            </w:r>
          </w:p>
        </w:tc>
        <w:tc>
          <w:tcPr>
            <w:tcW w:w="138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3, 2004</w:t>
            </w:r>
          </w:p>
        </w:tc>
        <w:tc>
          <w:tcPr>
            <w:tcW w:w="132" w:type="dxa"/>
            <w:tcBorders/>
            <w:shd w:fill="auto" w:val="clear"/>
            <w:vAlign w:val="bottom"/>
          </w:tcPr>
          <w:p>
            <w:pPr>
              <w:pStyle w:val="TableContents"/>
              <w:spacing w:before="0" w:after="0"/>
              <w:ind w:left="0" w:right="0" w:hanging="0"/>
              <w:rPr/>
            </w:pPr>
            <w:r>
              <w:rPr/>
              <w:t> </w:t>
            </w:r>
          </w:p>
        </w:tc>
      </w:tr>
      <w:tr>
        <w:trPr/>
        <w:tc>
          <w:tcPr>
            <w:tcW w:w="706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Cash flow from operating activities:</w:t>
            </w:r>
          </w:p>
        </w:tc>
        <w:tc>
          <w:tcPr>
            <w:tcW w:w="119" w:type="dxa"/>
            <w:tcBorders/>
            <w:shd w:fill="CCEEFF" w:val="clear"/>
            <w:vAlign w:val="bottom"/>
          </w:tcPr>
          <w:p>
            <w:pPr>
              <w:pStyle w:val="TableContents"/>
              <w:spacing w:before="0" w:after="0"/>
              <w:ind w:left="0" w:right="0" w:hanging="0"/>
              <w:rPr/>
            </w:pPr>
            <w:r>
              <w:rPr/>
              <w:t> </w:t>
            </w:r>
          </w:p>
        </w:tc>
        <w:tc>
          <w:tcPr>
            <w:tcW w:w="1382"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c>
          <w:tcPr>
            <w:tcW w:w="1382" w:type="dxa"/>
            <w:gridSpan w:val="2"/>
            <w:tcBorders/>
            <w:shd w:fill="CCEEFF" w:val="clear"/>
            <w:vAlign w:val="bottom"/>
          </w:tcPr>
          <w:p>
            <w:pPr>
              <w:pStyle w:val="TableContents"/>
              <w:spacing w:before="0" w:after="0"/>
              <w:ind w:left="0" w:right="0" w:hanging="0"/>
              <w:jc w:val="right"/>
              <w:rPr/>
            </w:pPr>
            <w:r>
              <w:rPr/>
              <w:t> </w:t>
            </w:r>
          </w:p>
        </w:tc>
        <w:tc>
          <w:tcPr>
            <w:tcW w:w="132" w:type="dxa"/>
            <w:tcBorders/>
            <w:shd w:fill="CCEEFF" w:val="clear"/>
            <w:vAlign w:val="bottom"/>
          </w:tcPr>
          <w:p>
            <w:pPr>
              <w:pStyle w:val="TableContents"/>
              <w:spacing w:before="0" w:after="0"/>
              <w:ind w:left="0" w:right="0" w:hanging="0"/>
              <w:rPr/>
            </w:pPr>
            <w:r>
              <w:rPr/>
              <w:t> </w:t>
            </w:r>
          </w:p>
        </w:tc>
      </w:tr>
      <w:tr>
        <w:trPr/>
        <w:tc>
          <w:tcPr>
            <w:tcW w:w="706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earnings</w:t>
            </w:r>
          </w:p>
        </w:tc>
        <w:tc>
          <w:tcPr>
            <w:tcW w:w="119" w:type="dxa"/>
            <w:tcBorders/>
            <w:shd w:fill="auto" w:val="clear"/>
            <w:vAlign w:val="bottom"/>
          </w:tcPr>
          <w:p>
            <w:pPr>
              <w:pStyle w:val="TableContents"/>
              <w:spacing w:before="0" w:after="0"/>
              <w:ind w:left="0" w:right="0" w:hanging="0"/>
              <w:rPr/>
            </w:pPr>
            <w:r>
              <w:rPr/>
              <w:t> </w:t>
            </w:r>
          </w:p>
        </w:tc>
        <w:tc>
          <w:tcPr>
            <w:tcW w:w="1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3,693</w:t>
            </w:r>
          </w:p>
        </w:tc>
        <w:tc>
          <w:tcPr>
            <w:tcW w:w="127" w:type="dxa"/>
            <w:tcBorders/>
            <w:shd w:fill="auto" w:val="clear"/>
            <w:vAlign w:val="bottom"/>
          </w:tcPr>
          <w:p>
            <w:pPr>
              <w:pStyle w:val="TableContents"/>
              <w:spacing w:before="0" w:after="0"/>
              <w:ind w:left="0" w:right="0" w:hanging="0"/>
              <w:rPr/>
            </w:pPr>
            <w:r>
              <w:rPr/>
              <w:t> </w:t>
            </w:r>
          </w:p>
        </w:tc>
        <w:tc>
          <w:tcPr>
            <w:tcW w:w="1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7,869</w:t>
            </w:r>
          </w:p>
        </w:tc>
        <w:tc>
          <w:tcPr>
            <w:tcW w:w="132" w:type="dxa"/>
            <w:tcBorders/>
            <w:shd w:fill="auto" w:val="clear"/>
            <w:vAlign w:val="bottom"/>
          </w:tcPr>
          <w:p>
            <w:pPr>
              <w:pStyle w:val="TableContents"/>
              <w:spacing w:before="0" w:after="0"/>
              <w:ind w:left="0" w:right="0" w:hanging="0"/>
              <w:rPr/>
            </w:pPr>
            <w:r>
              <w:rPr/>
              <w:t> </w:t>
            </w:r>
          </w:p>
        </w:tc>
      </w:tr>
      <w:tr>
        <w:trPr/>
        <w:tc>
          <w:tcPr>
            <w:tcW w:w="706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Adjustments to reconcile cash to net earnings:</w:t>
            </w:r>
          </w:p>
        </w:tc>
        <w:tc>
          <w:tcPr>
            <w:tcW w:w="119" w:type="dxa"/>
            <w:tcBorders/>
            <w:shd w:fill="CCEEFF" w:val="clear"/>
            <w:vAlign w:val="bottom"/>
          </w:tcPr>
          <w:p>
            <w:pPr>
              <w:pStyle w:val="TableContents"/>
              <w:spacing w:before="0" w:after="0"/>
              <w:ind w:left="0" w:right="0" w:hanging="0"/>
              <w:rPr/>
            </w:pPr>
            <w:r>
              <w:rPr/>
              <w:t> </w:t>
            </w:r>
          </w:p>
        </w:tc>
        <w:tc>
          <w:tcPr>
            <w:tcW w:w="1382"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c>
          <w:tcPr>
            <w:tcW w:w="1382" w:type="dxa"/>
            <w:gridSpan w:val="2"/>
            <w:tcBorders/>
            <w:shd w:fill="CCEEFF" w:val="clear"/>
            <w:vAlign w:val="bottom"/>
          </w:tcPr>
          <w:p>
            <w:pPr>
              <w:pStyle w:val="TableContents"/>
              <w:spacing w:before="0" w:after="0"/>
              <w:ind w:left="0" w:right="0" w:hanging="0"/>
              <w:jc w:val="right"/>
              <w:rPr/>
            </w:pPr>
            <w:r>
              <w:rPr/>
              <w:t> </w:t>
            </w:r>
          </w:p>
        </w:tc>
        <w:tc>
          <w:tcPr>
            <w:tcW w:w="132" w:type="dxa"/>
            <w:tcBorders/>
            <w:shd w:fill="CCEEFF" w:val="clear"/>
            <w:vAlign w:val="bottom"/>
          </w:tcPr>
          <w:p>
            <w:pPr>
              <w:pStyle w:val="TableContents"/>
              <w:spacing w:before="0" w:after="0"/>
              <w:ind w:left="0" w:right="0" w:hanging="0"/>
              <w:rPr/>
            </w:pPr>
            <w:r>
              <w:rPr/>
              <w:t> </w:t>
            </w:r>
          </w:p>
        </w:tc>
      </w:tr>
      <w:tr>
        <w:trPr/>
        <w:tc>
          <w:tcPr>
            <w:tcW w:w="706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119" w:type="dxa"/>
            <w:tcBorders/>
            <w:shd w:fill="auto" w:val="clear"/>
            <w:vAlign w:val="bottom"/>
          </w:tcPr>
          <w:p>
            <w:pPr>
              <w:pStyle w:val="TableContents"/>
              <w:spacing w:before="0" w:after="0"/>
              <w:ind w:left="0" w:right="0" w:hanging="0"/>
              <w:rPr/>
            </w:pPr>
            <w:r>
              <w:rPr/>
              <w:t> </w:t>
            </w:r>
          </w:p>
        </w:tc>
        <w:tc>
          <w:tcPr>
            <w:tcW w:w="13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6,086</w:t>
            </w:r>
          </w:p>
        </w:tc>
        <w:tc>
          <w:tcPr>
            <w:tcW w:w="127" w:type="dxa"/>
            <w:tcBorders/>
            <w:shd w:fill="auto" w:val="clear"/>
            <w:vAlign w:val="bottom"/>
          </w:tcPr>
          <w:p>
            <w:pPr>
              <w:pStyle w:val="TableContents"/>
              <w:spacing w:before="0" w:after="0"/>
              <w:ind w:left="0" w:right="0" w:hanging="0"/>
              <w:rPr/>
            </w:pPr>
            <w:r>
              <w:rPr/>
              <w:t> </w:t>
            </w:r>
          </w:p>
        </w:tc>
        <w:tc>
          <w:tcPr>
            <w:tcW w:w="13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6,850</w:t>
            </w:r>
          </w:p>
        </w:tc>
        <w:tc>
          <w:tcPr>
            <w:tcW w:w="132" w:type="dxa"/>
            <w:tcBorders/>
            <w:shd w:fill="auto" w:val="clear"/>
            <w:vAlign w:val="bottom"/>
          </w:tcPr>
          <w:p>
            <w:pPr>
              <w:pStyle w:val="TableContents"/>
              <w:spacing w:before="0" w:after="0"/>
              <w:ind w:left="0" w:right="0" w:hanging="0"/>
              <w:rPr/>
            </w:pPr>
            <w:r>
              <w:rPr/>
              <w:t> </w:t>
            </w:r>
          </w:p>
        </w:tc>
      </w:tr>
      <w:tr>
        <w:trPr/>
        <w:tc>
          <w:tcPr>
            <w:tcW w:w="706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Gain on repurchase of subordinated notes</w:t>
            </w:r>
          </w:p>
        </w:tc>
        <w:tc>
          <w:tcPr>
            <w:tcW w:w="119" w:type="dxa"/>
            <w:tcBorders/>
            <w:shd w:fill="CCEEFF" w:val="clear"/>
            <w:vAlign w:val="bottom"/>
          </w:tcPr>
          <w:p>
            <w:pPr>
              <w:pStyle w:val="TableContents"/>
              <w:spacing w:before="0" w:after="0"/>
              <w:ind w:left="0" w:right="0" w:hanging="0"/>
              <w:rPr/>
            </w:pPr>
            <w:r>
              <w:rPr/>
              <w:t> </w:t>
            </w:r>
          </w:p>
        </w:tc>
        <w:tc>
          <w:tcPr>
            <w:tcW w:w="13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(2,902</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Loss (gain) on disposal of equipment</w:t>
            </w:r>
          </w:p>
        </w:tc>
        <w:tc>
          <w:tcPr>
            <w:tcW w:w="119" w:type="dxa"/>
            <w:tcBorders/>
            <w:shd w:fill="auto" w:val="clear"/>
            <w:vAlign w:val="bottom"/>
          </w:tcPr>
          <w:p>
            <w:pPr>
              <w:pStyle w:val="TableContents"/>
              <w:spacing w:before="0" w:after="0"/>
              <w:ind w:left="0" w:right="0" w:hanging="0"/>
              <w:rPr/>
            </w:pPr>
            <w:r>
              <w:rPr/>
              <w:t> </w:t>
            </w:r>
          </w:p>
        </w:tc>
        <w:tc>
          <w:tcPr>
            <w:tcW w:w="13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32" w:type="dxa"/>
            <w:tcBorders/>
            <w:shd w:fill="auto" w:val="clear"/>
            <w:vAlign w:val="bottom"/>
          </w:tcPr>
          <w:p>
            <w:pPr>
              <w:pStyle w:val="TableContents"/>
              <w:spacing w:before="0" w:after="0"/>
              <w:ind w:left="0" w:right="0" w:hanging="0"/>
              <w:rPr/>
            </w:pPr>
            <w:r>
              <w:rPr/>
              <w:t> </w:t>
            </w:r>
          </w:p>
        </w:tc>
      </w:tr>
      <w:tr>
        <w:trPr/>
        <w:tc>
          <w:tcPr>
            <w:tcW w:w="706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Deferred income taxes</w:t>
            </w:r>
          </w:p>
        </w:tc>
        <w:tc>
          <w:tcPr>
            <w:tcW w:w="119" w:type="dxa"/>
            <w:tcBorders/>
            <w:shd w:fill="CCEEFF" w:val="clear"/>
            <w:vAlign w:val="bottom"/>
          </w:tcPr>
          <w:p>
            <w:pPr>
              <w:pStyle w:val="TableContents"/>
              <w:spacing w:before="0" w:after="0"/>
              <w:ind w:left="0" w:right="0" w:hanging="0"/>
              <w:rPr/>
            </w:pPr>
            <w:r>
              <w:rPr/>
              <w:t> </w:t>
            </w:r>
          </w:p>
        </w:tc>
        <w:tc>
          <w:tcPr>
            <w:tcW w:w="13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2,493</w:t>
            </w:r>
          </w:p>
        </w:tc>
        <w:tc>
          <w:tcPr>
            <w:tcW w:w="127" w:type="dxa"/>
            <w:tcBorders/>
            <w:shd w:fill="CCEEFF" w:val="clear"/>
            <w:vAlign w:val="bottom"/>
          </w:tcPr>
          <w:p>
            <w:pPr>
              <w:pStyle w:val="TableContents"/>
              <w:spacing w:before="0" w:after="0"/>
              <w:ind w:left="0" w:right="0" w:hanging="0"/>
              <w:rPr/>
            </w:pPr>
            <w:r>
              <w:rPr/>
              <w:t> </w:t>
            </w:r>
          </w:p>
        </w:tc>
        <w:tc>
          <w:tcPr>
            <w:tcW w:w="1382" w:type="dxa"/>
            <w:gridSpan w:val="2"/>
            <w:tcBorders/>
            <w:shd w:fill="CCEEFF" w:val="clear"/>
            <w:vAlign w:val="bottom"/>
          </w:tcPr>
          <w:p>
            <w:pPr>
              <w:pStyle w:val="TableContents"/>
              <w:spacing w:before="0" w:after="0"/>
              <w:ind w:left="0" w:right="0" w:hanging="0"/>
              <w:jc w:val="right"/>
              <w:rPr/>
            </w:pPr>
            <w:r>
              <w:rPr/>
              <w:t> </w:t>
            </w:r>
          </w:p>
        </w:tc>
        <w:tc>
          <w:tcPr>
            <w:tcW w:w="132" w:type="dxa"/>
            <w:tcBorders/>
            <w:shd w:fill="CCEEFF" w:val="clear"/>
            <w:vAlign w:val="bottom"/>
          </w:tcPr>
          <w:p>
            <w:pPr>
              <w:pStyle w:val="TableContents"/>
              <w:spacing w:before="0" w:after="0"/>
              <w:ind w:left="0" w:right="0" w:hanging="0"/>
              <w:rPr/>
            </w:pPr>
            <w:r>
              <w:rPr/>
              <w:t> </w:t>
            </w:r>
          </w:p>
        </w:tc>
      </w:tr>
      <w:tr>
        <w:trPr/>
        <w:tc>
          <w:tcPr>
            <w:tcW w:w="706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19" w:type="dxa"/>
            <w:tcBorders/>
            <w:shd w:fill="auto" w:val="clear"/>
            <w:vAlign w:val="bottom"/>
          </w:tcPr>
          <w:p>
            <w:pPr>
              <w:pStyle w:val="TableContents"/>
              <w:spacing w:before="0" w:after="0"/>
              <w:ind w:left="0" w:right="0" w:hanging="0"/>
              <w:rPr/>
            </w:pPr>
            <w:r>
              <w:rPr/>
              <w:t> </w:t>
            </w:r>
          </w:p>
        </w:tc>
        <w:tc>
          <w:tcPr>
            <w:tcW w:w="13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27" w:type="dxa"/>
            <w:tcBorders/>
            <w:shd w:fill="auto" w:val="clear"/>
            <w:vAlign w:val="bottom"/>
          </w:tcPr>
          <w:p>
            <w:pPr>
              <w:pStyle w:val="TableContents"/>
              <w:spacing w:before="0" w:after="0"/>
              <w:ind w:left="0" w:right="0" w:hanging="0"/>
              <w:rPr/>
            </w:pPr>
            <w:r>
              <w:rPr/>
              <w:t> </w:t>
            </w:r>
          </w:p>
        </w:tc>
        <w:tc>
          <w:tcPr>
            <w:tcW w:w="13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32" w:type="dxa"/>
            <w:tcBorders/>
            <w:shd w:fill="auto" w:val="clear"/>
            <w:vAlign w:val="bottom"/>
          </w:tcPr>
          <w:p>
            <w:pPr>
              <w:pStyle w:val="TableContents"/>
              <w:spacing w:before="0" w:after="0"/>
              <w:ind w:left="0" w:right="0" w:hanging="0"/>
              <w:rPr/>
            </w:pPr>
            <w:r>
              <w:rPr/>
              <w:t> </w:t>
            </w:r>
          </w:p>
        </w:tc>
      </w:tr>
      <w:tr>
        <w:trPr/>
        <w:tc>
          <w:tcPr>
            <w:tcW w:w="706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Changes in operating assets and liabilities:</w:t>
            </w:r>
          </w:p>
        </w:tc>
        <w:tc>
          <w:tcPr>
            <w:tcW w:w="119" w:type="dxa"/>
            <w:tcBorders/>
            <w:shd w:fill="CCEEFF" w:val="clear"/>
            <w:vAlign w:val="bottom"/>
          </w:tcPr>
          <w:p>
            <w:pPr>
              <w:pStyle w:val="TableContents"/>
              <w:spacing w:before="0" w:after="0"/>
              <w:ind w:left="0" w:right="0" w:hanging="0"/>
              <w:rPr/>
            </w:pPr>
            <w:r>
              <w:rPr/>
              <w:t> </w:t>
            </w:r>
          </w:p>
        </w:tc>
        <w:tc>
          <w:tcPr>
            <w:tcW w:w="1382"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c>
          <w:tcPr>
            <w:tcW w:w="1382" w:type="dxa"/>
            <w:gridSpan w:val="2"/>
            <w:tcBorders/>
            <w:shd w:fill="CCEEFF" w:val="clear"/>
            <w:vAlign w:val="bottom"/>
          </w:tcPr>
          <w:p>
            <w:pPr>
              <w:pStyle w:val="TableContents"/>
              <w:spacing w:before="0" w:after="0"/>
              <w:ind w:left="0" w:right="0" w:hanging="0"/>
              <w:jc w:val="right"/>
              <w:rPr/>
            </w:pPr>
            <w:r>
              <w:rPr/>
              <w:t> </w:t>
            </w:r>
          </w:p>
        </w:tc>
        <w:tc>
          <w:tcPr>
            <w:tcW w:w="132" w:type="dxa"/>
            <w:tcBorders/>
            <w:shd w:fill="CCEEFF" w:val="clear"/>
            <w:vAlign w:val="bottom"/>
          </w:tcPr>
          <w:p>
            <w:pPr>
              <w:pStyle w:val="TableContents"/>
              <w:spacing w:before="0" w:after="0"/>
              <w:ind w:left="0" w:right="0" w:hanging="0"/>
              <w:rPr/>
            </w:pPr>
            <w:r>
              <w:rPr/>
              <w:t> </w:t>
            </w:r>
          </w:p>
        </w:tc>
      </w:tr>
      <w:tr>
        <w:trPr/>
        <w:tc>
          <w:tcPr>
            <w:tcW w:w="706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Accounts receivable</w:t>
            </w:r>
          </w:p>
        </w:tc>
        <w:tc>
          <w:tcPr>
            <w:tcW w:w="119" w:type="dxa"/>
            <w:tcBorders/>
            <w:shd w:fill="auto" w:val="clear"/>
            <w:vAlign w:val="bottom"/>
          </w:tcPr>
          <w:p>
            <w:pPr>
              <w:pStyle w:val="TableContents"/>
              <w:spacing w:before="0" w:after="0"/>
              <w:ind w:left="0" w:right="0" w:hanging="0"/>
              <w:rPr/>
            </w:pPr>
            <w:r>
              <w:rPr/>
              <w:t> </w:t>
            </w:r>
          </w:p>
        </w:tc>
        <w:tc>
          <w:tcPr>
            <w:tcW w:w="13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(851</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Inventories</w:t>
            </w:r>
          </w:p>
        </w:tc>
        <w:tc>
          <w:tcPr>
            <w:tcW w:w="119" w:type="dxa"/>
            <w:tcBorders/>
            <w:shd w:fill="CCEEFF" w:val="clear"/>
            <w:vAlign w:val="bottom"/>
          </w:tcPr>
          <w:p>
            <w:pPr>
              <w:pStyle w:val="TableContents"/>
              <w:spacing w:before="0" w:after="0"/>
              <w:ind w:left="0" w:right="0" w:hanging="0"/>
              <w:rPr/>
            </w:pPr>
            <w:r>
              <w:rPr/>
              <w:t> </w:t>
            </w:r>
          </w:p>
        </w:tc>
        <w:tc>
          <w:tcPr>
            <w:tcW w:w="13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127" w:type="dxa"/>
            <w:tcBorders/>
            <w:shd w:fill="CCEEFF" w:val="clear"/>
            <w:vAlign w:val="bottom"/>
          </w:tcPr>
          <w:p>
            <w:pPr>
              <w:pStyle w:val="TableContents"/>
              <w:spacing w:before="0" w:after="0"/>
              <w:ind w:left="0" w:right="0" w:hanging="0"/>
              <w:rPr/>
            </w:pPr>
            <w:r>
              <w:rPr/>
              <w:t> </w:t>
            </w:r>
          </w:p>
        </w:tc>
        <w:tc>
          <w:tcPr>
            <w:tcW w:w="13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1,606</w:t>
            </w:r>
          </w:p>
        </w:tc>
        <w:tc>
          <w:tcPr>
            <w:tcW w:w="132" w:type="dxa"/>
            <w:tcBorders/>
            <w:shd w:fill="CCEEFF" w:val="clear"/>
            <w:vAlign w:val="bottom"/>
          </w:tcPr>
          <w:p>
            <w:pPr>
              <w:pStyle w:val="TableContents"/>
              <w:spacing w:before="0" w:after="0"/>
              <w:ind w:left="0" w:right="0" w:hanging="0"/>
              <w:rPr/>
            </w:pPr>
            <w:r>
              <w:rPr/>
              <w:t> </w:t>
            </w:r>
          </w:p>
        </w:tc>
      </w:tr>
      <w:tr>
        <w:trPr/>
        <w:tc>
          <w:tcPr>
            <w:tcW w:w="706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19" w:type="dxa"/>
            <w:tcBorders/>
            <w:shd w:fill="auto" w:val="clear"/>
            <w:vAlign w:val="bottom"/>
          </w:tcPr>
          <w:p>
            <w:pPr>
              <w:pStyle w:val="TableContents"/>
              <w:spacing w:before="0" w:after="0"/>
              <w:ind w:left="0" w:right="0" w:hanging="0"/>
              <w:rPr/>
            </w:pPr>
            <w:r>
              <w:rPr/>
              <w:t> </w:t>
            </w:r>
          </w:p>
        </w:tc>
        <w:tc>
          <w:tcPr>
            <w:tcW w:w="13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1,102</w:t>
            </w:r>
          </w:p>
        </w:tc>
        <w:tc>
          <w:tcPr>
            <w:tcW w:w="127" w:type="dxa"/>
            <w:tcBorders/>
            <w:shd w:fill="auto" w:val="clear"/>
            <w:vAlign w:val="bottom"/>
          </w:tcPr>
          <w:p>
            <w:pPr>
              <w:pStyle w:val="TableContents"/>
              <w:spacing w:before="0" w:after="0"/>
              <w:ind w:left="0" w:right="0" w:hanging="0"/>
              <w:rPr/>
            </w:pPr>
            <w:r>
              <w:rPr/>
              <w:t> </w:t>
            </w:r>
          </w:p>
        </w:tc>
        <w:tc>
          <w:tcPr>
            <w:tcW w:w="13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assets</w:t>
            </w:r>
          </w:p>
        </w:tc>
        <w:tc>
          <w:tcPr>
            <w:tcW w:w="119" w:type="dxa"/>
            <w:tcBorders/>
            <w:shd w:fill="CCEEFF" w:val="clear"/>
            <w:vAlign w:val="bottom"/>
          </w:tcPr>
          <w:p>
            <w:pPr>
              <w:pStyle w:val="TableContents"/>
              <w:spacing w:before="0" w:after="0"/>
              <w:ind w:left="0" w:right="0" w:hanging="0"/>
              <w:rPr/>
            </w:pPr>
            <w:r>
              <w:rPr/>
              <w:t> </w:t>
            </w:r>
          </w:p>
        </w:tc>
        <w:tc>
          <w:tcPr>
            <w:tcW w:w="13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127" w:type="dxa"/>
            <w:tcBorders/>
            <w:shd w:fill="CCEEFF" w:val="clear"/>
            <w:vAlign w:val="bottom"/>
          </w:tcPr>
          <w:p>
            <w:pPr>
              <w:pStyle w:val="TableContents"/>
              <w:spacing w:before="0" w:after="0"/>
              <w:ind w:left="0" w:right="0" w:hanging="0"/>
              <w:rPr/>
            </w:pPr>
            <w:r>
              <w:rPr/>
              <w:t> </w:t>
            </w:r>
          </w:p>
        </w:tc>
        <w:tc>
          <w:tcPr>
            <w:tcW w:w="13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Accounts payable</w:t>
            </w:r>
          </w:p>
        </w:tc>
        <w:tc>
          <w:tcPr>
            <w:tcW w:w="119" w:type="dxa"/>
            <w:tcBorders/>
            <w:shd w:fill="auto" w:val="clear"/>
            <w:vAlign w:val="bottom"/>
          </w:tcPr>
          <w:p>
            <w:pPr>
              <w:pStyle w:val="TableContents"/>
              <w:spacing w:before="0" w:after="0"/>
              <w:ind w:left="0" w:right="0" w:hanging="0"/>
              <w:rPr/>
            </w:pPr>
            <w:r>
              <w:rPr/>
              <w:t> </w:t>
            </w:r>
          </w:p>
        </w:tc>
        <w:tc>
          <w:tcPr>
            <w:tcW w:w="13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251</w:t>
            </w:r>
          </w:p>
        </w:tc>
        <w:tc>
          <w:tcPr>
            <w:tcW w:w="127" w:type="dxa"/>
            <w:tcBorders/>
            <w:shd w:fill="auto" w:val="clear"/>
            <w:vAlign w:val="bottom"/>
          </w:tcPr>
          <w:p>
            <w:pPr>
              <w:pStyle w:val="TableContents"/>
              <w:spacing w:before="0" w:after="0"/>
              <w:ind w:left="0" w:right="0" w:hanging="0"/>
              <w:rPr/>
            </w:pPr>
            <w:r>
              <w:rPr/>
              <w:t> </w:t>
            </w:r>
          </w:p>
        </w:tc>
        <w:tc>
          <w:tcPr>
            <w:tcW w:w="13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Accrued expenses and other current liabilities</w:t>
            </w:r>
          </w:p>
        </w:tc>
        <w:tc>
          <w:tcPr>
            <w:tcW w:w="119" w:type="dxa"/>
            <w:tcBorders/>
            <w:shd w:fill="CCEEFF" w:val="clear"/>
            <w:vAlign w:val="bottom"/>
          </w:tcPr>
          <w:p>
            <w:pPr>
              <w:pStyle w:val="TableContents"/>
              <w:spacing w:before="0" w:after="0"/>
              <w:ind w:left="0" w:right="0" w:hanging="0"/>
              <w:rPr/>
            </w:pPr>
            <w:r>
              <w:rPr/>
              <w:t> </w:t>
            </w:r>
          </w:p>
        </w:tc>
        <w:tc>
          <w:tcPr>
            <w:tcW w:w="13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(816</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1,880</w:t>
            </w:r>
          </w:p>
        </w:tc>
        <w:tc>
          <w:tcPr>
            <w:tcW w:w="132" w:type="dxa"/>
            <w:tcBorders/>
            <w:shd w:fill="CCEEFF" w:val="clear"/>
            <w:vAlign w:val="bottom"/>
          </w:tcPr>
          <w:p>
            <w:pPr>
              <w:pStyle w:val="TableContents"/>
              <w:spacing w:before="0" w:after="0"/>
              <w:ind w:left="0" w:right="0" w:hanging="0"/>
              <w:rPr/>
            </w:pPr>
            <w:r>
              <w:rPr/>
              <w:t> </w:t>
            </w:r>
          </w:p>
        </w:tc>
      </w:tr>
      <w:tr>
        <w:trPr/>
        <w:tc>
          <w:tcPr>
            <w:tcW w:w="706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non-current liabilities</w:t>
            </w:r>
          </w:p>
        </w:tc>
        <w:tc>
          <w:tcPr>
            <w:tcW w:w="119" w:type="dxa"/>
            <w:tcBorders/>
            <w:shd w:fill="auto" w:val="clear"/>
            <w:vAlign w:val="bottom"/>
          </w:tcPr>
          <w:p>
            <w:pPr>
              <w:pStyle w:val="TableContents"/>
              <w:spacing w:before="0" w:after="0"/>
              <w:ind w:left="0" w:right="0" w:hanging="0"/>
              <w:rPr/>
            </w:pPr>
            <w:r>
              <w:rPr/>
              <w:t> </w:t>
            </w:r>
          </w:p>
        </w:tc>
        <w:tc>
          <w:tcPr>
            <w:tcW w:w="138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127" w:type="dxa"/>
            <w:tcBorders/>
            <w:shd w:fill="auto" w:val="clear"/>
            <w:vAlign w:val="bottom"/>
          </w:tcPr>
          <w:p>
            <w:pPr>
              <w:pStyle w:val="TableContents"/>
              <w:spacing w:before="0" w:after="0"/>
              <w:ind w:left="0" w:right="0" w:hanging="0"/>
              <w:rPr/>
            </w:pPr>
            <w:r>
              <w:rPr/>
              <w:t> </w:t>
            </w:r>
          </w:p>
        </w:tc>
        <w:tc>
          <w:tcPr>
            <w:tcW w:w="138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32" w:type="dxa"/>
            <w:tcBorders/>
            <w:shd w:fill="auto" w:val="clear"/>
            <w:vAlign w:val="bottom"/>
          </w:tcPr>
          <w:p>
            <w:pPr>
              <w:pStyle w:val="TableContents"/>
              <w:spacing w:before="0" w:after="0"/>
              <w:ind w:left="0" w:right="0" w:hanging="0"/>
              <w:rPr/>
            </w:pPr>
            <w:r>
              <w:rPr/>
              <w:t> </w:t>
            </w:r>
          </w:p>
        </w:tc>
      </w:tr>
      <w:tr>
        <w:trPr/>
        <w:tc>
          <w:tcPr>
            <w:tcW w:w="706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cash provided by operating activities</w:t>
            </w:r>
          </w:p>
        </w:tc>
        <w:tc>
          <w:tcPr>
            <w:tcW w:w="119" w:type="dxa"/>
            <w:tcBorders/>
            <w:shd w:fill="CCEEFF" w:val="clear"/>
            <w:vAlign w:val="bottom"/>
          </w:tcPr>
          <w:p>
            <w:pPr>
              <w:pStyle w:val="TableContents"/>
              <w:spacing w:before="0" w:after="0"/>
              <w:ind w:left="0" w:right="0" w:hanging="0"/>
              <w:rPr/>
            </w:pPr>
            <w:r>
              <w:rPr/>
              <w:t> </w:t>
            </w:r>
          </w:p>
        </w:tc>
        <w:tc>
          <w:tcPr>
            <w:tcW w:w="13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12,266</w:t>
            </w:r>
          </w:p>
        </w:tc>
        <w:tc>
          <w:tcPr>
            <w:tcW w:w="127" w:type="dxa"/>
            <w:tcBorders/>
            <w:shd w:fill="CCEEFF" w:val="clear"/>
            <w:vAlign w:val="bottom"/>
          </w:tcPr>
          <w:p>
            <w:pPr>
              <w:pStyle w:val="TableContents"/>
              <w:spacing w:before="0" w:after="0"/>
              <w:ind w:left="0" w:right="0" w:hanging="0"/>
              <w:rPr/>
            </w:pPr>
            <w:r>
              <w:rPr/>
              <w:t> </w:t>
            </w:r>
          </w:p>
        </w:tc>
        <w:tc>
          <w:tcPr>
            <w:tcW w:w="13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14,831</w:t>
            </w:r>
          </w:p>
        </w:tc>
        <w:tc>
          <w:tcPr>
            <w:tcW w:w="132" w:type="dxa"/>
            <w:tcBorders/>
            <w:shd w:fill="CCEEFF" w:val="clear"/>
            <w:vAlign w:val="bottom"/>
          </w:tcPr>
          <w:p>
            <w:pPr>
              <w:pStyle w:val="TableContents"/>
              <w:spacing w:before="0" w:after="0"/>
              <w:ind w:left="0" w:right="0" w:hanging="0"/>
              <w:rPr/>
            </w:pPr>
            <w:r>
              <w:rPr/>
              <w:t> </w:t>
            </w:r>
          </w:p>
        </w:tc>
      </w:tr>
      <w:tr>
        <w:trPr/>
        <w:tc>
          <w:tcPr>
            <w:tcW w:w="706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Cash flow from investing activities:</w:t>
            </w:r>
          </w:p>
        </w:tc>
        <w:tc>
          <w:tcPr>
            <w:tcW w:w="119" w:type="dxa"/>
            <w:tcBorders/>
            <w:shd w:fill="auto" w:val="clear"/>
            <w:vAlign w:val="bottom"/>
          </w:tcPr>
          <w:p>
            <w:pPr>
              <w:pStyle w:val="TableContents"/>
              <w:spacing w:before="0" w:after="0"/>
              <w:ind w:left="0" w:right="0" w:hanging="0"/>
              <w:rPr/>
            </w:pPr>
            <w:r>
              <w:rPr/>
              <w:t> </w:t>
            </w:r>
          </w:p>
        </w:tc>
        <w:tc>
          <w:tcPr>
            <w:tcW w:w="1382"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1382" w:type="dxa"/>
            <w:gridSpan w:val="2"/>
            <w:tcBorders/>
            <w:shd w:fill="auto" w:val="clear"/>
            <w:vAlign w:val="bottom"/>
          </w:tcPr>
          <w:p>
            <w:pPr>
              <w:pStyle w:val="TableContents"/>
              <w:spacing w:before="0" w:after="0"/>
              <w:ind w:left="0" w:right="0" w:hanging="0"/>
              <w:jc w:val="right"/>
              <w:rPr/>
            </w:pPr>
            <w:r>
              <w:rPr/>
              <w:t> </w:t>
            </w:r>
          </w:p>
        </w:tc>
        <w:tc>
          <w:tcPr>
            <w:tcW w:w="132" w:type="dxa"/>
            <w:tcBorders/>
            <w:shd w:fill="auto" w:val="clear"/>
            <w:vAlign w:val="bottom"/>
          </w:tcPr>
          <w:p>
            <w:pPr>
              <w:pStyle w:val="TableContents"/>
              <w:spacing w:before="0" w:after="0"/>
              <w:ind w:left="0" w:right="0" w:hanging="0"/>
              <w:rPr/>
            </w:pPr>
            <w:r>
              <w:rPr/>
              <w:t> </w:t>
            </w:r>
          </w:p>
        </w:tc>
      </w:tr>
      <w:tr>
        <w:trPr/>
        <w:tc>
          <w:tcPr>
            <w:tcW w:w="706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Purchase of property and equipment</w:t>
            </w:r>
          </w:p>
        </w:tc>
        <w:tc>
          <w:tcPr>
            <w:tcW w:w="119" w:type="dxa"/>
            <w:tcBorders/>
            <w:shd w:fill="CCEEFF" w:val="clear"/>
            <w:vAlign w:val="bottom"/>
          </w:tcPr>
          <w:p>
            <w:pPr>
              <w:pStyle w:val="TableContents"/>
              <w:spacing w:before="0" w:after="0"/>
              <w:ind w:left="0" w:right="0" w:hanging="0"/>
              <w:rPr/>
            </w:pPr>
            <w:r>
              <w:rPr/>
              <w:t> </w:t>
            </w:r>
          </w:p>
        </w:tc>
        <w:tc>
          <w:tcPr>
            <w:tcW w:w="13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(3,196</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(1,735</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Capitalized acquisition costs</w:t>
            </w:r>
          </w:p>
        </w:tc>
        <w:tc>
          <w:tcPr>
            <w:tcW w:w="119" w:type="dxa"/>
            <w:tcBorders/>
            <w:shd w:fill="auto" w:val="clear"/>
            <w:vAlign w:val="bottom"/>
          </w:tcPr>
          <w:p>
            <w:pPr>
              <w:pStyle w:val="TableContents"/>
              <w:spacing w:before="0" w:after="0"/>
              <w:ind w:left="0" w:right="0" w:hanging="0"/>
              <w:rPr/>
            </w:pPr>
            <w:r>
              <w:rPr/>
              <w:t> </w:t>
            </w:r>
          </w:p>
        </w:tc>
        <w:tc>
          <w:tcPr>
            <w:tcW w:w="1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2" w:type="dxa"/>
            <w:tcBorders/>
            <w:shd w:fill="auto" w:val="clear"/>
            <w:vAlign w:val="bottom"/>
          </w:tcPr>
          <w:p>
            <w:pPr>
              <w:pStyle w:val="TableContents"/>
              <w:spacing w:before="0" w:after="0"/>
              <w:ind w:left="0" w:right="0" w:hanging="0"/>
              <w:rPr/>
            </w:pPr>
            <w:r>
              <w:rPr/>
              <w:t> </w:t>
            </w:r>
          </w:p>
        </w:tc>
      </w:tr>
      <w:tr>
        <w:trPr/>
        <w:tc>
          <w:tcPr>
            <w:tcW w:w="706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Proceeds from sale of property and equipment</w:t>
            </w:r>
          </w:p>
        </w:tc>
        <w:tc>
          <w:tcPr>
            <w:tcW w:w="119" w:type="dxa"/>
            <w:tcBorders/>
            <w:shd w:fill="CCEEFF" w:val="clear"/>
            <w:vAlign w:val="bottom"/>
          </w:tcPr>
          <w:p>
            <w:pPr>
              <w:pStyle w:val="TableContents"/>
              <w:spacing w:before="0" w:after="0"/>
              <w:ind w:left="0" w:right="0" w:hanging="0"/>
              <w:rPr/>
            </w:pPr>
            <w:r>
              <w:rPr/>
              <w:t> </w:t>
            </w:r>
          </w:p>
        </w:tc>
        <w:tc>
          <w:tcPr>
            <w:tcW w:w="13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27" w:type="dxa"/>
            <w:tcBorders/>
            <w:shd w:fill="CCEEFF" w:val="clear"/>
            <w:vAlign w:val="bottom"/>
          </w:tcPr>
          <w:p>
            <w:pPr>
              <w:pStyle w:val="TableContents"/>
              <w:spacing w:before="0" w:after="0"/>
              <w:ind w:left="0" w:right="0" w:hanging="0"/>
              <w:rPr/>
            </w:pPr>
            <w:r>
              <w:rPr/>
              <w:t> </w:t>
            </w:r>
          </w:p>
        </w:tc>
        <w:tc>
          <w:tcPr>
            <w:tcW w:w="13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w:t>
            </w:r>
          </w:p>
        </w:tc>
        <w:tc>
          <w:tcPr>
            <w:tcW w:w="132" w:type="dxa"/>
            <w:tcBorders/>
            <w:shd w:fill="CCEEFF" w:val="clear"/>
            <w:vAlign w:val="bottom"/>
          </w:tcPr>
          <w:p>
            <w:pPr>
              <w:pStyle w:val="TableContents"/>
              <w:spacing w:before="0" w:after="0"/>
              <w:ind w:left="0" w:right="0" w:hanging="0"/>
              <w:rPr/>
            </w:pPr>
            <w:r>
              <w:rPr/>
              <w:t> </w:t>
            </w:r>
          </w:p>
        </w:tc>
      </w:tr>
      <w:tr>
        <w:trPr/>
        <w:tc>
          <w:tcPr>
            <w:tcW w:w="706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cash used by investing activities</w:t>
            </w:r>
          </w:p>
        </w:tc>
        <w:tc>
          <w:tcPr>
            <w:tcW w:w="119" w:type="dxa"/>
            <w:tcBorders/>
            <w:shd w:fill="auto" w:val="clear"/>
            <w:vAlign w:val="bottom"/>
          </w:tcPr>
          <w:p>
            <w:pPr>
              <w:pStyle w:val="TableContents"/>
              <w:spacing w:before="0" w:after="0"/>
              <w:ind w:left="0" w:right="0" w:hanging="0"/>
              <w:rPr/>
            </w:pPr>
            <w:r>
              <w:rPr/>
              <w:t> </w:t>
            </w:r>
          </w:p>
        </w:tc>
        <w:tc>
          <w:tcPr>
            <w:tcW w:w="138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(3,261</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(1,601</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Cash flow from financing activities:</w:t>
            </w:r>
          </w:p>
        </w:tc>
        <w:tc>
          <w:tcPr>
            <w:tcW w:w="119" w:type="dxa"/>
            <w:tcBorders/>
            <w:shd w:fill="CCEEFF" w:val="clear"/>
            <w:vAlign w:val="bottom"/>
          </w:tcPr>
          <w:p>
            <w:pPr>
              <w:pStyle w:val="TableContents"/>
              <w:spacing w:before="0" w:after="0"/>
              <w:ind w:left="0" w:right="0" w:hanging="0"/>
              <w:rPr/>
            </w:pPr>
            <w:r>
              <w:rPr/>
              <w:t> </w:t>
            </w:r>
          </w:p>
        </w:tc>
        <w:tc>
          <w:tcPr>
            <w:tcW w:w="1382"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c>
          <w:tcPr>
            <w:tcW w:w="1382" w:type="dxa"/>
            <w:gridSpan w:val="2"/>
            <w:tcBorders/>
            <w:shd w:fill="CCEEFF" w:val="clear"/>
            <w:vAlign w:val="bottom"/>
          </w:tcPr>
          <w:p>
            <w:pPr>
              <w:pStyle w:val="TableContents"/>
              <w:spacing w:before="0" w:after="0"/>
              <w:ind w:left="0" w:right="0" w:hanging="0"/>
              <w:jc w:val="right"/>
              <w:rPr/>
            </w:pPr>
            <w:r>
              <w:rPr/>
              <w:t> </w:t>
            </w:r>
          </w:p>
        </w:tc>
        <w:tc>
          <w:tcPr>
            <w:tcW w:w="132" w:type="dxa"/>
            <w:tcBorders/>
            <w:shd w:fill="CCEEFF" w:val="clear"/>
            <w:vAlign w:val="bottom"/>
          </w:tcPr>
          <w:p>
            <w:pPr>
              <w:pStyle w:val="TableContents"/>
              <w:spacing w:before="0" w:after="0"/>
              <w:ind w:left="0" w:right="0" w:hanging="0"/>
              <w:rPr/>
            </w:pPr>
            <w:r>
              <w:rPr/>
              <w:t> </w:t>
            </w:r>
          </w:p>
        </w:tc>
      </w:tr>
      <w:tr>
        <w:trPr/>
        <w:tc>
          <w:tcPr>
            <w:tcW w:w="706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Principal payments on subordinated debt</w:t>
            </w:r>
          </w:p>
        </w:tc>
        <w:tc>
          <w:tcPr>
            <w:tcW w:w="119" w:type="dxa"/>
            <w:tcBorders/>
            <w:shd w:fill="auto" w:val="clear"/>
            <w:vAlign w:val="bottom"/>
          </w:tcPr>
          <w:p>
            <w:pPr>
              <w:pStyle w:val="TableContents"/>
              <w:spacing w:before="0" w:after="0"/>
              <w:ind w:left="0" w:right="0" w:hanging="0"/>
              <w:rPr/>
            </w:pPr>
            <w:r>
              <w:rPr/>
              <w:t> </w:t>
            </w:r>
          </w:p>
        </w:tc>
        <w:tc>
          <w:tcPr>
            <w:tcW w:w="13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(10,058</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(545</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Repurchases of subordinated debt</w:t>
            </w:r>
          </w:p>
        </w:tc>
        <w:tc>
          <w:tcPr>
            <w:tcW w:w="119" w:type="dxa"/>
            <w:tcBorders/>
            <w:shd w:fill="CCEEFF" w:val="clear"/>
            <w:vAlign w:val="bottom"/>
          </w:tcPr>
          <w:p>
            <w:pPr>
              <w:pStyle w:val="TableContents"/>
              <w:spacing w:before="0" w:after="0"/>
              <w:ind w:left="0" w:right="0" w:hanging="0"/>
              <w:rPr/>
            </w:pPr>
            <w:r>
              <w:rPr/>
              <w:t> </w:t>
            </w:r>
          </w:p>
        </w:tc>
        <w:tc>
          <w:tcPr>
            <w:tcW w:w="13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(796</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(11,215</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Deferred financing costs</w:t>
            </w:r>
          </w:p>
        </w:tc>
        <w:tc>
          <w:tcPr>
            <w:tcW w:w="119" w:type="dxa"/>
            <w:tcBorders/>
            <w:shd w:fill="auto" w:val="clear"/>
            <w:vAlign w:val="bottom"/>
          </w:tcPr>
          <w:p>
            <w:pPr>
              <w:pStyle w:val="TableContents"/>
              <w:spacing w:before="0" w:after="0"/>
              <w:ind w:left="0" w:right="0" w:hanging="0"/>
              <w:rPr/>
            </w:pPr>
            <w:r>
              <w:rPr/>
              <w:t> </w:t>
            </w:r>
          </w:p>
        </w:tc>
        <w:tc>
          <w:tcPr>
            <w:tcW w:w="138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auto" w:val="clear"/>
            <w:vAlign w:val="bottom"/>
          </w:tcPr>
          <w:p>
            <w:pPr>
              <w:pStyle w:val="TableContents"/>
              <w:spacing w:before="0" w:after="0"/>
              <w:ind w:left="0" w:right="0" w:hanging="0"/>
              <w:rPr/>
            </w:pPr>
            <w:r>
              <w:rPr/>
              <w:t> </w:t>
            </w:r>
          </w:p>
        </w:tc>
        <w:tc>
          <w:tcPr>
            <w:tcW w:w="138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cash used by financing activities</w:t>
            </w:r>
          </w:p>
        </w:tc>
        <w:tc>
          <w:tcPr>
            <w:tcW w:w="119" w:type="dxa"/>
            <w:tcBorders/>
            <w:shd w:fill="CCEEFF" w:val="clear"/>
            <w:vAlign w:val="bottom"/>
          </w:tcPr>
          <w:p>
            <w:pPr>
              <w:pStyle w:val="TableContents"/>
              <w:spacing w:before="0" w:after="0"/>
              <w:ind w:left="0" w:right="0" w:hanging="0"/>
              <w:rPr/>
            </w:pPr>
            <w:r>
              <w:rPr/>
              <w:t> </w:t>
            </w:r>
          </w:p>
        </w:tc>
        <w:tc>
          <w:tcPr>
            <w:tcW w:w="13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(10,854</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(11,769</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increase (decrease) in cash</w:t>
            </w:r>
          </w:p>
        </w:tc>
        <w:tc>
          <w:tcPr>
            <w:tcW w:w="119" w:type="dxa"/>
            <w:tcBorders/>
            <w:shd w:fill="auto" w:val="clear"/>
            <w:vAlign w:val="bottom"/>
          </w:tcPr>
          <w:p>
            <w:pPr>
              <w:pStyle w:val="TableContents"/>
              <w:spacing w:before="0" w:after="0"/>
              <w:ind w:left="0" w:right="0" w:hanging="0"/>
              <w:rPr/>
            </w:pPr>
            <w:r>
              <w:rPr/>
              <w:t> </w:t>
            </w:r>
          </w:p>
        </w:tc>
        <w:tc>
          <w:tcPr>
            <w:tcW w:w="13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(1,849</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1,461</w:t>
            </w:r>
          </w:p>
        </w:tc>
        <w:tc>
          <w:tcPr>
            <w:tcW w:w="132" w:type="dxa"/>
            <w:tcBorders/>
            <w:shd w:fill="auto" w:val="clear"/>
            <w:vAlign w:val="bottom"/>
          </w:tcPr>
          <w:p>
            <w:pPr>
              <w:pStyle w:val="TableContents"/>
              <w:spacing w:before="0" w:after="0"/>
              <w:ind w:left="0" w:right="0" w:hanging="0"/>
              <w:rPr/>
            </w:pPr>
            <w:r>
              <w:rPr/>
              <w:t> </w:t>
            </w:r>
          </w:p>
        </w:tc>
      </w:tr>
      <w:tr>
        <w:trPr/>
        <w:tc>
          <w:tcPr>
            <w:tcW w:w="706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Cash, beginning of year</w:t>
            </w:r>
          </w:p>
        </w:tc>
        <w:tc>
          <w:tcPr>
            <w:tcW w:w="119" w:type="dxa"/>
            <w:tcBorders/>
            <w:shd w:fill="CCEEFF" w:val="clear"/>
            <w:vAlign w:val="bottom"/>
          </w:tcPr>
          <w:p>
            <w:pPr>
              <w:pStyle w:val="TableContents"/>
              <w:spacing w:before="0" w:after="0"/>
              <w:ind w:left="0" w:right="0" w:hanging="0"/>
              <w:rPr/>
            </w:pPr>
            <w:r>
              <w:rPr/>
              <w:t> </w:t>
            </w:r>
          </w:p>
        </w:tc>
        <w:tc>
          <w:tcPr>
            <w:tcW w:w="13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7,858</w:t>
            </w:r>
          </w:p>
        </w:tc>
        <w:tc>
          <w:tcPr>
            <w:tcW w:w="127" w:type="dxa"/>
            <w:tcBorders/>
            <w:shd w:fill="CCEEFF" w:val="clear"/>
            <w:vAlign w:val="bottom"/>
          </w:tcPr>
          <w:p>
            <w:pPr>
              <w:pStyle w:val="TableContents"/>
              <w:spacing w:before="0" w:after="0"/>
              <w:ind w:left="0" w:right="0" w:hanging="0"/>
              <w:rPr/>
            </w:pPr>
            <w:r>
              <w:rPr/>
              <w:t> </w:t>
            </w:r>
          </w:p>
        </w:tc>
        <w:tc>
          <w:tcPr>
            <w:tcW w:w="13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3,545</w:t>
            </w:r>
          </w:p>
        </w:tc>
        <w:tc>
          <w:tcPr>
            <w:tcW w:w="132" w:type="dxa"/>
            <w:tcBorders/>
            <w:shd w:fill="CCEEFF" w:val="clear"/>
            <w:vAlign w:val="bottom"/>
          </w:tcPr>
          <w:p>
            <w:pPr>
              <w:pStyle w:val="TableContents"/>
              <w:spacing w:before="0" w:after="0"/>
              <w:ind w:left="0" w:right="0" w:hanging="0"/>
              <w:rPr/>
            </w:pPr>
            <w:r>
              <w:rPr/>
              <w:t> </w:t>
            </w:r>
          </w:p>
        </w:tc>
      </w:tr>
      <w:tr>
        <w:trPr/>
        <w:tc>
          <w:tcPr>
            <w:tcW w:w="706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Cash, end of period</w:t>
            </w:r>
          </w:p>
        </w:tc>
        <w:tc>
          <w:tcPr>
            <w:tcW w:w="119" w:type="dxa"/>
            <w:tcBorders/>
            <w:shd w:fill="auto" w:val="clear"/>
            <w:vAlign w:val="bottom"/>
          </w:tcPr>
          <w:p>
            <w:pPr>
              <w:pStyle w:val="TableContents"/>
              <w:spacing w:before="0" w:after="0"/>
              <w:ind w:left="0" w:right="0" w:hanging="0"/>
              <w:rPr/>
            </w:pPr>
            <w:r>
              <w:rPr/>
              <w:t> </w:t>
            </w:r>
          </w:p>
        </w:tc>
        <w:tc>
          <w:tcPr>
            <w:tcW w:w="154"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8"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6,009</w:t>
            </w:r>
          </w:p>
        </w:tc>
        <w:tc>
          <w:tcPr>
            <w:tcW w:w="127" w:type="dxa"/>
            <w:tcBorders/>
            <w:shd w:fill="auto" w:val="clear"/>
            <w:vAlign w:val="bottom"/>
          </w:tcPr>
          <w:p>
            <w:pPr>
              <w:pStyle w:val="TableContents"/>
              <w:spacing w:before="0" w:after="0"/>
              <w:ind w:left="0" w:right="0" w:hanging="0"/>
              <w:rPr/>
            </w:pPr>
            <w:r>
              <w:rPr/>
              <w:t> </w:t>
            </w:r>
          </w:p>
        </w:tc>
        <w:tc>
          <w:tcPr>
            <w:tcW w:w="154"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8"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5,006</w:t>
            </w:r>
          </w:p>
        </w:tc>
        <w:tc>
          <w:tcPr>
            <w:tcW w:w="132" w:type="dxa"/>
            <w:tcBorders/>
            <w:shd w:fill="auto" w:val="clear"/>
            <w:vAlign w:val="bottom"/>
          </w:tcPr>
          <w:p>
            <w:pPr>
              <w:pStyle w:val="TableContents"/>
              <w:spacing w:before="0" w:after="0"/>
              <w:ind w:left="0" w:right="0" w:hanging="0"/>
              <w:rPr/>
            </w:pPr>
            <w:r>
              <w:rPr/>
              <w:t> </w:t>
            </w:r>
          </w:p>
        </w:tc>
      </w:tr>
      <w:tr>
        <w:trPr/>
        <w:tc>
          <w:tcPr>
            <w:tcW w:w="7063" w:type="dxa"/>
            <w:tcBorders/>
            <w:shd w:fill="CCEEFF" w:val="clear"/>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pPr>
            <w:r>
              <w:rPr/>
              <w:t> </w:t>
            </w:r>
          </w:p>
        </w:tc>
        <w:tc>
          <w:tcPr>
            <w:tcW w:w="1382"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c>
          <w:tcPr>
            <w:tcW w:w="1382" w:type="dxa"/>
            <w:gridSpan w:val="2"/>
            <w:tcBorders/>
            <w:shd w:fill="CCEEFF" w:val="clear"/>
            <w:vAlign w:val="bottom"/>
          </w:tcPr>
          <w:p>
            <w:pPr>
              <w:pStyle w:val="TableContents"/>
              <w:spacing w:before="0" w:after="0"/>
              <w:ind w:left="0" w:right="0" w:hanging="0"/>
              <w:jc w:val="right"/>
              <w:rPr/>
            </w:pPr>
            <w:r>
              <w:rPr/>
              <w:t> </w:t>
            </w:r>
          </w:p>
        </w:tc>
        <w:tc>
          <w:tcPr>
            <w:tcW w:w="132" w:type="dxa"/>
            <w:tcBorders/>
            <w:shd w:fill="CCEEFF" w:val="clear"/>
            <w:vAlign w:val="bottom"/>
          </w:tcPr>
          <w:p>
            <w:pPr>
              <w:pStyle w:val="TableContents"/>
              <w:spacing w:before="0" w:after="0"/>
              <w:ind w:left="0" w:right="0" w:hanging="0"/>
              <w:rPr/>
            </w:pPr>
            <w:r>
              <w:rPr/>
              <w:t> </w:t>
            </w:r>
          </w:p>
        </w:tc>
      </w:tr>
      <w:tr>
        <w:trPr/>
        <w:tc>
          <w:tcPr>
            <w:tcW w:w="7063"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Supplemental cash flow information</w:t>
            </w:r>
          </w:p>
        </w:tc>
        <w:tc>
          <w:tcPr>
            <w:tcW w:w="119" w:type="dxa"/>
            <w:tcBorders/>
            <w:shd w:fill="auto" w:val="clear"/>
            <w:vAlign w:val="bottom"/>
          </w:tcPr>
          <w:p>
            <w:pPr>
              <w:pStyle w:val="TableContents"/>
              <w:spacing w:before="0" w:after="0"/>
              <w:ind w:left="0" w:right="0" w:hanging="0"/>
              <w:rPr/>
            </w:pPr>
            <w:r>
              <w:rPr/>
              <w:t> </w:t>
            </w:r>
          </w:p>
        </w:tc>
        <w:tc>
          <w:tcPr>
            <w:tcW w:w="1382"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1382" w:type="dxa"/>
            <w:gridSpan w:val="2"/>
            <w:tcBorders/>
            <w:shd w:fill="auto" w:val="clear"/>
            <w:vAlign w:val="bottom"/>
          </w:tcPr>
          <w:p>
            <w:pPr>
              <w:pStyle w:val="TableContents"/>
              <w:spacing w:before="0" w:after="0"/>
              <w:ind w:left="0" w:right="0" w:hanging="0"/>
              <w:jc w:val="right"/>
              <w:rPr/>
            </w:pPr>
            <w:r>
              <w:rPr/>
              <w:t> </w:t>
            </w:r>
          </w:p>
        </w:tc>
        <w:tc>
          <w:tcPr>
            <w:tcW w:w="132" w:type="dxa"/>
            <w:tcBorders/>
            <w:shd w:fill="auto" w:val="clear"/>
            <w:vAlign w:val="bottom"/>
          </w:tcPr>
          <w:p>
            <w:pPr>
              <w:pStyle w:val="TableContents"/>
              <w:spacing w:before="0" w:after="0"/>
              <w:ind w:left="0" w:right="0" w:hanging="0"/>
              <w:rPr/>
            </w:pPr>
            <w:r>
              <w:rPr/>
              <w:t> </w:t>
            </w:r>
          </w:p>
        </w:tc>
      </w:tr>
      <w:tr>
        <w:trPr/>
        <w:tc>
          <w:tcPr>
            <w:tcW w:w="706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Cash paid for:</w:t>
            </w:r>
          </w:p>
        </w:tc>
        <w:tc>
          <w:tcPr>
            <w:tcW w:w="119" w:type="dxa"/>
            <w:tcBorders/>
            <w:shd w:fill="CCEEFF" w:val="clear"/>
            <w:vAlign w:val="bottom"/>
          </w:tcPr>
          <w:p>
            <w:pPr>
              <w:pStyle w:val="TableContents"/>
              <w:spacing w:before="0" w:after="0"/>
              <w:ind w:left="0" w:right="0" w:hanging="0"/>
              <w:rPr/>
            </w:pPr>
            <w:r>
              <w:rPr/>
              <w:t> </w:t>
            </w:r>
          </w:p>
        </w:tc>
        <w:tc>
          <w:tcPr>
            <w:tcW w:w="1382"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c>
          <w:tcPr>
            <w:tcW w:w="1382" w:type="dxa"/>
            <w:gridSpan w:val="2"/>
            <w:tcBorders/>
            <w:shd w:fill="CCEEFF" w:val="clear"/>
            <w:vAlign w:val="bottom"/>
          </w:tcPr>
          <w:p>
            <w:pPr>
              <w:pStyle w:val="TableContents"/>
              <w:spacing w:before="0" w:after="0"/>
              <w:ind w:left="0" w:right="0" w:hanging="0"/>
              <w:jc w:val="right"/>
              <w:rPr/>
            </w:pPr>
            <w:r>
              <w:rPr/>
              <w:t> </w:t>
            </w:r>
          </w:p>
        </w:tc>
        <w:tc>
          <w:tcPr>
            <w:tcW w:w="132" w:type="dxa"/>
            <w:tcBorders/>
            <w:shd w:fill="CCEEFF" w:val="clear"/>
            <w:vAlign w:val="bottom"/>
          </w:tcPr>
          <w:p>
            <w:pPr>
              <w:pStyle w:val="TableContents"/>
              <w:spacing w:before="0" w:after="0"/>
              <w:ind w:left="0" w:right="0" w:hanging="0"/>
              <w:rPr/>
            </w:pPr>
            <w:r>
              <w:rPr/>
              <w:t> </w:t>
            </w:r>
          </w:p>
        </w:tc>
      </w:tr>
      <w:tr>
        <w:trPr/>
        <w:tc>
          <w:tcPr>
            <w:tcW w:w="706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Interest</w:t>
            </w:r>
          </w:p>
        </w:tc>
        <w:tc>
          <w:tcPr>
            <w:tcW w:w="119" w:type="dxa"/>
            <w:tcBorders/>
            <w:shd w:fill="auto" w:val="clear"/>
            <w:vAlign w:val="bottom"/>
          </w:tcPr>
          <w:p>
            <w:pPr>
              <w:pStyle w:val="TableContents"/>
              <w:spacing w:before="0" w:after="0"/>
              <w:ind w:left="0" w:right="0" w:hanging="0"/>
              <w:rPr/>
            </w:pPr>
            <w:r>
              <w:rPr/>
              <w:t> </w:t>
            </w:r>
          </w:p>
        </w:tc>
        <w:tc>
          <w:tcPr>
            <w:tcW w:w="1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4,820</w:t>
            </w:r>
          </w:p>
        </w:tc>
        <w:tc>
          <w:tcPr>
            <w:tcW w:w="127" w:type="dxa"/>
            <w:tcBorders/>
            <w:shd w:fill="auto" w:val="clear"/>
            <w:vAlign w:val="bottom"/>
          </w:tcPr>
          <w:p>
            <w:pPr>
              <w:pStyle w:val="TableContents"/>
              <w:spacing w:before="0" w:after="0"/>
              <w:ind w:left="0" w:right="0" w:hanging="0"/>
              <w:rPr/>
            </w:pPr>
            <w:r>
              <w:rPr/>
              <w:t> </w:t>
            </w:r>
          </w:p>
        </w:tc>
        <w:tc>
          <w:tcPr>
            <w:tcW w:w="1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6,187</w:t>
            </w:r>
          </w:p>
        </w:tc>
        <w:tc>
          <w:tcPr>
            <w:tcW w:w="132" w:type="dxa"/>
            <w:tcBorders/>
            <w:shd w:fill="auto" w:val="clear"/>
            <w:vAlign w:val="bottom"/>
          </w:tcPr>
          <w:p>
            <w:pPr>
              <w:pStyle w:val="TableContents"/>
              <w:spacing w:before="0" w:after="0"/>
              <w:ind w:left="0" w:right="0" w:hanging="0"/>
              <w:rPr/>
            </w:pPr>
            <w:r>
              <w:rPr/>
              <w:t> </w:t>
            </w:r>
          </w:p>
        </w:tc>
      </w:tr>
      <w:tr>
        <w:trPr/>
        <w:tc>
          <w:tcPr>
            <w:tcW w:w="706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Income taxes</w:t>
            </w:r>
          </w:p>
        </w:tc>
        <w:tc>
          <w:tcPr>
            <w:tcW w:w="119" w:type="dxa"/>
            <w:tcBorders/>
            <w:shd w:fill="CCEEFF" w:val="clear"/>
            <w:vAlign w:val="bottom"/>
          </w:tcPr>
          <w:p>
            <w:pPr>
              <w:pStyle w:val="TableContents"/>
              <w:spacing w:before="0" w:after="0"/>
              <w:ind w:left="0" w:right="0" w:hanging="0"/>
              <w:rPr/>
            </w:pPr>
            <w:r>
              <w:rPr/>
              <w:t> </w:t>
            </w:r>
          </w:p>
        </w:tc>
        <w:tc>
          <w:tcPr>
            <w:tcW w:w="1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27" w:type="dxa"/>
            <w:tcBorders/>
            <w:shd w:fill="CCEEFF" w:val="clear"/>
            <w:vAlign w:val="bottom"/>
          </w:tcPr>
          <w:p>
            <w:pPr>
              <w:pStyle w:val="TableContents"/>
              <w:spacing w:before="0" w:after="0"/>
              <w:ind w:left="0" w:right="0" w:hanging="0"/>
              <w:rPr/>
            </w:pPr>
            <w:r>
              <w:rPr/>
              <w:t> </w:t>
            </w:r>
          </w:p>
        </w:tc>
        <w:tc>
          <w:tcPr>
            <w:tcW w:w="1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132" w:type="dxa"/>
            <w:tcBorders/>
            <w:shd w:fill="CCEEFF" w:val="clear"/>
            <w:vAlign w:val="bottom"/>
          </w:tcPr>
          <w:p>
            <w:pPr>
              <w:pStyle w:val="TableContents"/>
              <w:spacing w:before="0" w:after="0"/>
              <w:ind w:left="0" w:right="0" w:hanging="0"/>
              <w:rPr/>
            </w:pPr>
            <w:r>
              <w:rPr/>
              <w:t> </w:t>
            </w:r>
          </w:p>
        </w:tc>
      </w:tr>
      <w:tr>
        <w:trPr/>
        <w:tc>
          <w:tcPr>
            <w:tcW w:w="706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Property and equipment purchases included in current liabilities (at end of period)</w:t>
            </w:r>
          </w:p>
        </w:tc>
        <w:tc>
          <w:tcPr>
            <w:tcW w:w="119" w:type="dxa"/>
            <w:tcBorders/>
            <w:shd w:fill="auto" w:val="clear"/>
            <w:vAlign w:val="bottom"/>
          </w:tcPr>
          <w:p>
            <w:pPr>
              <w:pStyle w:val="TableContents"/>
              <w:spacing w:before="0" w:after="0"/>
              <w:ind w:left="0" w:right="0" w:hanging="0"/>
              <w:rPr/>
            </w:pPr>
            <w:r>
              <w:rPr/>
              <w:t> </w:t>
            </w:r>
          </w:p>
        </w:tc>
        <w:tc>
          <w:tcPr>
            <w:tcW w:w="1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391</w:t>
            </w:r>
          </w:p>
        </w:tc>
        <w:tc>
          <w:tcPr>
            <w:tcW w:w="127" w:type="dxa"/>
            <w:tcBorders/>
            <w:shd w:fill="auto" w:val="clear"/>
            <w:vAlign w:val="bottom"/>
          </w:tcPr>
          <w:p>
            <w:pPr>
              <w:pStyle w:val="TableContents"/>
              <w:spacing w:before="0" w:after="0"/>
              <w:ind w:left="0" w:right="0" w:hanging="0"/>
              <w:rPr/>
            </w:pPr>
            <w:r>
              <w:rPr/>
              <w:t> </w:t>
            </w:r>
          </w:p>
        </w:tc>
        <w:tc>
          <w:tcPr>
            <w:tcW w:w="1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32" w:type="dxa"/>
            <w:tcBorders/>
            <w:shd w:fill="auto" w:val="clear"/>
            <w:vAlign w:val="bottom"/>
          </w:tcPr>
          <w:p>
            <w:pPr>
              <w:pStyle w:val="TableContents"/>
              <w:spacing w:before="0" w:after="0"/>
              <w:ind w:left="0" w:right="0" w:hanging="0"/>
              <w:rPr/>
            </w:pPr>
            <w:r>
              <w:rPr/>
              <w:t> </w:t>
            </w:r>
          </w:p>
        </w:tc>
      </w:tr>
      <w:tr>
        <w:trPr/>
        <w:tc>
          <w:tcPr>
            <w:tcW w:w="706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Capitalized acquisition costs included in current liabilities (at end of period)</w:t>
            </w:r>
          </w:p>
        </w:tc>
        <w:tc>
          <w:tcPr>
            <w:tcW w:w="119" w:type="dxa"/>
            <w:tcBorders/>
            <w:shd w:fill="CCEEFF" w:val="clear"/>
            <w:vAlign w:val="bottom"/>
          </w:tcPr>
          <w:p>
            <w:pPr>
              <w:pStyle w:val="TableContents"/>
              <w:spacing w:before="0" w:after="0"/>
              <w:ind w:left="0" w:right="0" w:hanging="0"/>
              <w:rPr/>
            </w:pPr>
            <w:r>
              <w:rPr/>
              <w:t> </w:t>
            </w:r>
          </w:p>
        </w:tc>
        <w:tc>
          <w:tcPr>
            <w:tcW w:w="1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127" w:type="dxa"/>
            <w:tcBorders/>
            <w:shd w:fill="CCEEFF" w:val="clear"/>
            <w:vAlign w:val="bottom"/>
          </w:tcPr>
          <w:p>
            <w:pPr>
              <w:pStyle w:val="TableContents"/>
              <w:spacing w:before="0" w:after="0"/>
              <w:ind w:left="0" w:right="0" w:hanging="0"/>
              <w:rPr/>
            </w:pPr>
            <w:r>
              <w:rPr/>
              <w:t> </w:t>
            </w:r>
          </w:p>
        </w:tc>
        <w:tc>
          <w:tcPr>
            <w:tcW w:w="154" w:type="dxa"/>
            <w:tcBorders/>
            <w:shd w:fill="CCEEFF" w:val="clear"/>
            <w:vAlign w:val="bottom"/>
          </w:tcPr>
          <w:p>
            <w:pPr>
              <w:pStyle w:val="TableContents"/>
              <w:spacing w:before="0" w:after="0"/>
              <w:ind w:left="0" w:right="0" w:hanging="0"/>
              <w:rPr/>
            </w:pPr>
            <w:r>
              <w:rPr/>
              <w:t> </w:t>
            </w:r>
          </w:p>
        </w:tc>
        <w:tc>
          <w:tcPr>
            <w:tcW w:w="12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p>
    <w:p>
      <w:pPr>
        <w:pStyle w:val="HorizontalLine"/>
        <w:pBdr>
          <w:bottom w:val="single" w:sz="12"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NATIONAL VISION, INC.</w:t>
      </w:r>
    </w:p>
    <w:p>
      <w:pPr>
        <w:pStyle w:val="TextBody"/>
        <w:spacing w:before="0" w:after="0"/>
        <w:ind w:left="0" w:right="0" w:hanging="0"/>
        <w:jc w:val="center"/>
        <w:rPr>
          <w:rFonts w:ascii="Times New Roman" w:hAnsi="Times New Roman"/>
          <w:b/>
          <w:sz w:val="17"/>
        </w:rPr>
      </w:pPr>
      <w:bookmarkStart w:id="7" w:name="NotesToCondensedConsolidatedFinan_102402"/>
      <w:bookmarkEnd w:id="7"/>
      <w:r>
        <w:rPr>
          <w:rFonts w:ascii="Times New Roman" w:hAnsi="Times New Roman"/>
          <w:b/>
          <w:sz w:val="17"/>
        </w:rPr>
        <w:t>NOTES TO CONDENSED CONSOLIDATED FINANCIAL STATEMENTS</w:t>
      </w:r>
    </w:p>
    <w:p>
      <w:pPr>
        <w:pStyle w:val="TextBody"/>
        <w:spacing w:before="0" w:after="0"/>
        <w:ind w:left="0" w:right="0" w:hanging="0"/>
        <w:jc w:val="center"/>
        <w:rPr>
          <w:rFonts w:ascii="Times New Roman" w:hAnsi="Times New Roman"/>
          <w:b/>
          <w:sz w:val="17"/>
        </w:rPr>
      </w:pPr>
      <w:r>
        <w:rPr>
          <w:rFonts w:ascii="Times New Roman" w:hAnsi="Times New Roman"/>
          <w:b/>
          <w:sz w:val="17"/>
        </w:rPr>
        <w:t>JULY 2, 2005</w:t>
      </w:r>
    </w:p>
    <w:p>
      <w:pPr>
        <w:pStyle w:val="TextBody"/>
        <w:spacing w:before="0" w:after="0"/>
        <w:ind w:left="0" w:right="0" w:hanging="0"/>
        <w:jc w:val="center"/>
        <w:rPr>
          <w:rFonts w:ascii="Times New Roman" w:hAnsi="Times New Roman"/>
          <w:b/>
          <w:sz w:val="17"/>
        </w:rPr>
      </w:pPr>
      <w:r>
        <w:rPr>
          <w:rFonts w:ascii="Times New Roman" w:hAnsi="Times New Roman"/>
          <w:b/>
          <w:sz w:val="17"/>
        </w:rPr>
        <w:t>(Unaudited)</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17"/>
        </w:rPr>
      </w:pPr>
      <w:r>
        <w:rPr>
          <w:rFonts w:ascii="Times New Roman" w:hAnsi="Times New Roman"/>
          <w:b/>
          <w:sz w:val="17"/>
        </w:rPr>
        <w:t>(1) SUBSEQUENT EVENT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On July 26, 2005, we announced that we had signed a definitive merger agreement with Vision Acquisition Corp., an affiliate of Berkshire Partners LLC, a private equity investor, pursuant to which Vision Acquisition Corp. has initiated a tender offer to acquire all outstanding shares of National Vision, Inc. common stock at a price of $7.25 per share in cash.  The merger agreement also contemplates that our senior subordinated notes due in March 2009 will be redeemed at par.  Concurrent with this announcement, we also announced that we had signed an agreement to acquire all of the outstanding common stock of Consolidated Vision Group, Inc. for approximately $88 million, including debt repayment. Consolidated Vision Group operates 111 retail optical stores under the brand name Americas Best Contacts &amp; Eyeglasses.  We also announced that we intend to enter into a new credit facility arranged by Freeport Financial, to fund the acquisition and the repayment of our notes.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Consummation of the tender offer is subject to our simultaneous acquisition of Consolidated Vision Group, the tender of at least 67% of our fully diluted shares and other customary conditions including the funding of our new credit facility.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Costs incurred of $230,000 in connection with our pending acquisition of Consolidated Vision Group, Inc. are included in  Other Assets and Deferred Costs in the Condensed Consolidated Balance Sheets at July 2, 2005.  If the acquisition is not consummated, these costs will be charged to expense in a future period.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(2) BASIS OF FINANCIAL STATEMENT PRESENTATION</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We prepared the accompanying unaudited condensed consolidated financial statements pursuant to the rules and regulations of the Securities and Exchange Commission.  Accordingly, certain information and footnote disclosures normally included in financial statements prepared in accordance with generally accepted accounting principles have been condensed or omitted.  Although we believe that the disclosures contained herein are adequate to make the information presented not misleading, we recommend that these interim condensed consolidated financial statements be read in conjunction with our most recent audited consolidated financial statements and the notes thereto.  In our opinion, all adjustments necessary for a fair presentation of the financial position, results of operations and cash flows for the interim periods presented have been made.  Operating results for the interim periods presented are not necessarily indicative of the results that may be expected for the year ending December 31, 2005.</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17"/>
        </w:rPr>
      </w:pPr>
      <w:r>
        <w:rPr>
          <w:rFonts w:ascii="Times New Roman" w:hAnsi="Times New Roman"/>
          <w:b/>
          <w:sz w:val="17"/>
        </w:rPr>
        <w:t>(3) SIGNIFICANT ACCOUNTING POLICIES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The significant accounting policies that we follow are set forth in Note 2 of the Notes to Consolidated Financial Statements in our Annual Report on Form 10-K for the fiscal year ended January 1, 2005.  The following is a summary of the most significant accounting policies influencing the three and six month periods ended July 2, 2005.</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17"/>
        </w:rPr>
      </w:pPr>
      <w:r>
        <w:rPr>
          <w:rFonts w:ascii="Times New Roman" w:hAnsi="Times New Roman"/>
          <w:b/>
          <w:sz w:val="17"/>
        </w:rPr>
        <w:t>Principles of Consolidation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The consolidated financial statements include our accounts as well as our subsidiaries accounts.  All significant inter-company balances and transactions have been eliminated in consolidation.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17"/>
        </w:rPr>
      </w:pPr>
      <w:r>
        <w:rPr>
          <w:rFonts w:ascii="Times New Roman" w:hAnsi="Times New Roman"/>
          <w:b/>
          <w:sz w:val="17"/>
        </w:rPr>
        <w:t>Discontinued Operations</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sz w:val="17"/>
        </w:rPr>
      </w:pPr>
      <w:r>
        <w:rPr>
          <w:rFonts w:ascii="Times New Roman" w:hAnsi="Times New Roman"/>
          <w:sz w:val="17"/>
        </w:rPr>
        <w:t>Historical operating results for our closed vision centers that were not relocated to freestanding locations within the vicinity of the closed locations are classified as discontinued operations for all periods.  These operating results are presented as discontinued operations because the vision center locations are geographically dispersed, and in the case of our domestic Wal-Mart locations, we believe the host will open a vision center in the space we vacate and, except in those cases where we open a nearby freestanding vision center, significant cash flows from the closed locations are not expected to migrate to our other vision center operations.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second quarter of 2005, we closed four vision centers inside Wal-Mart stores located in the United States as a result of lease expirations.  Also during the quarter we closed our two home medical equipment stores that were opened in 2004 as a test.  During the first six months of 2005, we closed a total of 14 vision centers inside domestic Wal-Mart stores, four vision centers in Wal-Mart de Mexico stores and our two home medical equipment stores.  Six of the 14 vision centers closed inside domestic Wal-Mart stores were relocated to freestanding locations within the vicinity of the closed locations.  Relocated stores are not considered to be discontinued operations.  During 2004 we closed 55 vision centers in Wal-Mart stores in the United States, two vision centers in Wal-Mart de Mexico and three vision centers on military bases. Two of the 55 closed vision centers in domestic Wal-Mart stores were relocated to freestanding locations in the vicinity of the closed locations and are not considered discontinued operations. The six locations inside Wal-Mart de Mexico stores were closed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due to poor operating results and prospects.  Loss on disposal includes severance and closing costs offset by gains recorded from the sale of certain assets. Condensed information for these discontinued operations is presented below (in thousands):</w:t>
      </w:r>
    </w:p>
    <w:p>
      <w:pPr>
        <w:pStyle w:val="TextBody"/>
        <w:spacing w:before="0" w:after="0"/>
        <w:ind w:left="0" w:right="0" w:hanging="0"/>
        <w:rPr/>
      </w:pPr>
      <w:r>
        <w:rPr/>
        <w:t> </w:t>
      </w:r>
    </w:p>
    <w:tbl>
      <w:tblPr>
        <w:tblW w:w="3750" w:type="pct"/>
        <w:jc w:val="center"/>
        <w:tblInd w:w="0" w:type="dxa"/>
        <w:tblCellMar>
          <w:top w:w="0" w:type="dxa"/>
          <w:left w:w="0" w:type="dxa"/>
          <w:bottom w:w="0" w:type="dxa"/>
          <w:right w:w="0" w:type="dxa"/>
        </w:tblCellMar>
      </w:tblPr>
      <w:tblGrid>
        <w:gridCol w:w="1893"/>
        <w:gridCol w:w="158"/>
        <w:gridCol w:w="136"/>
        <w:gridCol w:w="1036"/>
        <w:gridCol w:w="169"/>
        <w:gridCol w:w="123"/>
        <w:gridCol w:w="1110"/>
        <w:gridCol w:w="169"/>
        <w:gridCol w:w="123"/>
        <w:gridCol w:w="1110"/>
        <w:gridCol w:w="169"/>
        <w:gridCol w:w="122"/>
        <w:gridCol w:w="1160"/>
        <w:gridCol w:w="175"/>
      </w:tblGrid>
      <w:tr>
        <w:trPr/>
        <w:tc>
          <w:tcPr>
            <w:tcW w:w="1893" w:type="dxa"/>
            <w:tcBorders/>
            <w:shd w:fill="auto" w:val="clear"/>
            <w:vAlign w:val="bottom"/>
          </w:tcPr>
          <w:p>
            <w:pPr>
              <w:pStyle w:val="TableContents"/>
              <w:spacing w:before="0" w:after="0"/>
              <w:ind w:left="0" w:right="0" w:hanging="0"/>
              <w:jc w:val="center"/>
              <w:rPr/>
            </w:pPr>
            <w:r>
              <w:rPr/>
              <w:t> </w:t>
            </w:r>
          </w:p>
        </w:tc>
        <w:tc>
          <w:tcPr>
            <w:tcW w:w="158" w:type="dxa"/>
            <w:tcBorders/>
            <w:shd w:fill="auto" w:val="clear"/>
            <w:vAlign w:val="bottom"/>
          </w:tcPr>
          <w:p>
            <w:pPr>
              <w:pStyle w:val="TableContents"/>
              <w:spacing w:before="0" w:after="0"/>
              <w:ind w:left="0" w:right="0" w:hanging="0"/>
              <w:rPr/>
            </w:pPr>
            <w:r>
              <w:rPr/>
              <w:t> </w:t>
            </w:r>
          </w:p>
        </w:tc>
        <w:tc>
          <w:tcPr>
            <w:tcW w:w="257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69" w:type="dxa"/>
            <w:tcBorders/>
            <w:shd w:fill="auto" w:val="clear"/>
            <w:vAlign w:val="bottom"/>
          </w:tcPr>
          <w:p>
            <w:pPr>
              <w:pStyle w:val="TableContents"/>
              <w:spacing w:before="0" w:after="0"/>
              <w:ind w:left="0" w:right="0" w:hanging="0"/>
              <w:rPr/>
            </w:pPr>
            <w:r>
              <w:rPr/>
              <w:t> </w:t>
            </w:r>
          </w:p>
        </w:tc>
        <w:tc>
          <w:tcPr>
            <w:tcW w:w="268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75" w:type="dxa"/>
            <w:tcBorders/>
            <w:shd w:fill="auto" w:val="clear"/>
            <w:vAlign w:val="bottom"/>
          </w:tcPr>
          <w:p>
            <w:pPr>
              <w:pStyle w:val="TableContents"/>
              <w:spacing w:before="0" w:after="0"/>
              <w:ind w:left="0" w:right="0" w:hanging="0"/>
              <w:rPr/>
            </w:pPr>
            <w:r>
              <w:rPr/>
              <w:t> </w:t>
            </w:r>
          </w:p>
        </w:tc>
      </w:tr>
      <w:tr>
        <w:trPr/>
        <w:tc>
          <w:tcPr>
            <w:tcW w:w="1893" w:type="dxa"/>
            <w:tcBorders/>
            <w:shd w:fill="auto" w:val="clear"/>
            <w:vAlign w:val="bottom"/>
          </w:tcPr>
          <w:p>
            <w:pPr>
              <w:pStyle w:val="TableContents"/>
              <w:spacing w:before="0" w:after="0"/>
              <w:ind w:left="0" w:right="0" w:hanging="0"/>
              <w:jc w:val="center"/>
              <w:rPr/>
            </w:pPr>
            <w:r>
              <w:rPr/>
              <w:t> </w:t>
            </w:r>
          </w:p>
        </w:tc>
        <w:tc>
          <w:tcPr>
            <w:tcW w:w="158" w:type="dxa"/>
            <w:tcBorders/>
            <w:shd w:fill="auto" w:val="clear"/>
            <w:vAlign w:val="bottom"/>
          </w:tcPr>
          <w:p>
            <w:pPr>
              <w:pStyle w:val="TableContents"/>
              <w:spacing w:before="0" w:after="0"/>
              <w:ind w:left="0" w:right="0" w:hanging="0"/>
              <w:rPr/>
            </w:pPr>
            <w:r>
              <w:rPr/>
              <w:t> </w:t>
            </w:r>
          </w:p>
        </w:tc>
        <w:tc>
          <w:tcPr>
            <w:tcW w:w="11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2, 2005</w:t>
            </w:r>
          </w:p>
        </w:tc>
        <w:tc>
          <w:tcPr>
            <w:tcW w:w="169" w:type="dxa"/>
            <w:tcBorders>
              <w:top w:val="single" w:sz="8" w:space="0" w:color="000000"/>
            </w:tcBorders>
            <w:shd w:fill="auto" w:val="clear"/>
            <w:tcMar>
              <w:top w:w="28" w:type="dxa"/>
            </w:tcMar>
            <w:vAlign w:val="bottom"/>
          </w:tcPr>
          <w:p>
            <w:pPr>
              <w:pStyle w:val="TableContents"/>
              <w:spacing w:before="0" w:after="0"/>
              <w:ind w:left="0" w:right="0" w:hanging="0"/>
              <w:rPr/>
            </w:pPr>
            <w:r>
              <w:rPr/>
              <w:t> </w:t>
            </w:r>
          </w:p>
        </w:tc>
        <w:tc>
          <w:tcPr>
            <w:tcW w:w="123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3, 2004</w:t>
            </w:r>
          </w:p>
        </w:tc>
        <w:tc>
          <w:tcPr>
            <w:tcW w:w="169" w:type="dxa"/>
            <w:tcBorders/>
            <w:shd w:fill="auto" w:val="clear"/>
            <w:vAlign w:val="bottom"/>
          </w:tcPr>
          <w:p>
            <w:pPr>
              <w:pStyle w:val="TableContents"/>
              <w:spacing w:before="0" w:after="0"/>
              <w:ind w:left="0" w:right="0" w:hanging="0"/>
              <w:rPr/>
            </w:pPr>
            <w:r>
              <w:rPr/>
              <w:t> </w:t>
            </w:r>
          </w:p>
        </w:tc>
        <w:tc>
          <w:tcPr>
            <w:tcW w:w="123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2, 2005</w:t>
            </w:r>
          </w:p>
        </w:tc>
        <w:tc>
          <w:tcPr>
            <w:tcW w:w="169" w:type="dxa"/>
            <w:tcBorders>
              <w:top w:val="single" w:sz="8" w:space="0" w:color="000000"/>
            </w:tcBorders>
            <w:shd w:fill="auto" w:val="clear"/>
            <w:tcMar>
              <w:top w:w="28" w:type="dxa"/>
            </w:tcMar>
            <w:vAlign w:val="bottom"/>
          </w:tcPr>
          <w:p>
            <w:pPr>
              <w:pStyle w:val="TableContents"/>
              <w:spacing w:before="0" w:after="0"/>
              <w:ind w:left="0" w:right="0" w:hanging="0"/>
              <w:rPr/>
            </w:pPr>
            <w:r>
              <w:rPr/>
              <w:t> </w:t>
            </w:r>
          </w:p>
        </w:tc>
        <w:tc>
          <w:tcPr>
            <w:tcW w:w="128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3, 2004</w:t>
            </w:r>
          </w:p>
        </w:tc>
        <w:tc>
          <w:tcPr>
            <w:tcW w:w="175" w:type="dxa"/>
            <w:tcBorders/>
            <w:shd w:fill="auto" w:val="clear"/>
            <w:vAlign w:val="bottom"/>
          </w:tcPr>
          <w:p>
            <w:pPr>
              <w:pStyle w:val="TableContents"/>
              <w:spacing w:before="0" w:after="0"/>
              <w:ind w:left="0" w:right="0" w:hanging="0"/>
              <w:rPr/>
            </w:pPr>
            <w:r>
              <w:rPr/>
              <w:t> </w:t>
            </w:r>
          </w:p>
        </w:tc>
      </w:tr>
      <w:tr>
        <w:trPr/>
        <w:tc>
          <w:tcPr>
            <w:tcW w:w="189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net revenue</w:t>
            </w:r>
          </w:p>
        </w:tc>
        <w:tc>
          <w:tcPr>
            <w:tcW w:w="158" w:type="dxa"/>
            <w:tcBorders/>
            <w:shd w:fill="CCEEFF" w:val="clear"/>
            <w:vAlign w:val="bottom"/>
          </w:tcPr>
          <w:p>
            <w:pPr>
              <w:pStyle w:val="TableContents"/>
              <w:spacing w:before="0" w:after="0"/>
              <w:ind w:left="0" w:right="0" w:hanging="0"/>
              <w:rPr/>
            </w:pPr>
            <w:r>
              <w:rPr/>
              <w:t> </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515</w:t>
            </w:r>
          </w:p>
        </w:tc>
        <w:tc>
          <w:tcPr>
            <w:tcW w:w="169" w:type="dxa"/>
            <w:tcBorders/>
            <w:shd w:fill="CCEEFF" w:val="clear"/>
            <w:vAlign w:val="bottom"/>
          </w:tcPr>
          <w:p>
            <w:pPr>
              <w:pStyle w:val="TableContents"/>
              <w:spacing w:before="0" w:after="0"/>
              <w:ind w:left="0" w:right="0" w:hanging="0"/>
              <w:rPr/>
            </w:pPr>
            <w:r>
              <w:rPr/>
              <w:t> </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5,808</w:t>
            </w:r>
          </w:p>
        </w:tc>
        <w:tc>
          <w:tcPr>
            <w:tcW w:w="169" w:type="dxa"/>
            <w:tcBorders/>
            <w:shd w:fill="CCEEFF" w:val="clear"/>
            <w:vAlign w:val="bottom"/>
          </w:tcPr>
          <w:p>
            <w:pPr>
              <w:pStyle w:val="TableContents"/>
              <w:spacing w:before="0" w:after="0"/>
              <w:ind w:left="0" w:right="0" w:hanging="0"/>
              <w:rPr/>
            </w:pPr>
            <w:r>
              <w:rPr/>
              <w:t> </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1,651</w:t>
            </w:r>
          </w:p>
        </w:tc>
        <w:tc>
          <w:tcPr>
            <w:tcW w:w="169" w:type="dxa"/>
            <w:tcBorders/>
            <w:shd w:fill="CCEEFF" w:val="clear"/>
            <w:vAlign w:val="bottom"/>
          </w:tcPr>
          <w:p>
            <w:pPr>
              <w:pStyle w:val="TableContents"/>
              <w:spacing w:before="0" w:after="0"/>
              <w:ind w:left="0" w:right="0" w:hanging="0"/>
              <w:rPr/>
            </w:pPr>
            <w:r>
              <w:rPr/>
              <w:t> </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13,610</w:t>
            </w:r>
          </w:p>
        </w:tc>
        <w:tc>
          <w:tcPr>
            <w:tcW w:w="175" w:type="dxa"/>
            <w:tcBorders/>
            <w:shd w:fill="CCEEFF" w:val="clear"/>
            <w:vAlign w:val="bottom"/>
          </w:tcPr>
          <w:p>
            <w:pPr>
              <w:pStyle w:val="TableContents"/>
              <w:spacing w:before="0" w:after="0"/>
              <w:ind w:left="0" w:right="0" w:hanging="0"/>
              <w:rPr/>
            </w:pPr>
            <w:r>
              <w:rPr/>
              <w:t> </w:t>
            </w:r>
          </w:p>
        </w:tc>
      </w:tr>
      <w:tr>
        <w:trPr/>
        <w:tc>
          <w:tcPr>
            <w:tcW w:w="18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Operating income</w:t>
            </w:r>
          </w:p>
        </w:tc>
        <w:tc>
          <w:tcPr>
            <w:tcW w:w="158" w:type="dxa"/>
            <w:tcBorders/>
            <w:shd w:fill="auto" w:val="clear"/>
            <w:vAlign w:val="bottom"/>
          </w:tcPr>
          <w:p>
            <w:pPr>
              <w:pStyle w:val="TableContents"/>
              <w:spacing w:before="0" w:after="0"/>
              <w:ind w:left="0" w:right="0" w:hanging="0"/>
              <w:rPr/>
            </w:pPr>
            <w:r>
              <w:rPr/>
              <w:t> </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169" w:type="dxa"/>
            <w:tcBorders/>
            <w:shd w:fill="auto" w:val="clear"/>
            <w:vAlign w:val="bottom"/>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1,043</w:t>
            </w:r>
          </w:p>
        </w:tc>
        <w:tc>
          <w:tcPr>
            <w:tcW w:w="169" w:type="dxa"/>
            <w:tcBorders/>
            <w:shd w:fill="auto" w:val="clear"/>
            <w:vAlign w:val="bottom"/>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w:t>
            </w:r>
          </w:p>
        </w:tc>
        <w:tc>
          <w:tcPr>
            <w:tcW w:w="169" w:type="dxa"/>
            <w:tcBorders/>
            <w:shd w:fill="auto" w:val="clear"/>
            <w:vAlign w:val="bottom"/>
          </w:tcPr>
          <w:p>
            <w:pPr>
              <w:pStyle w:val="TableContents"/>
              <w:spacing w:before="0" w:after="0"/>
              <w:ind w:left="0" w:right="0" w:hanging="0"/>
              <w:rPr/>
            </w:pPr>
            <w:r>
              <w:rPr/>
              <w:t> </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2,417</w:t>
            </w:r>
          </w:p>
        </w:tc>
        <w:tc>
          <w:tcPr>
            <w:tcW w:w="175" w:type="dxa"/>
            <w:tcBorders/>
            <w:shd w:fill="auto" w:val="clear"/>
            <w:vAlign w:val="bottom"/>
          </w:tcPr>
          <w:p>
            <w:pPr>
              <w:pStyle w:val="TableContents"/>
              <w:spacing w:before="0" w:after="0"/>
              <w:ind w:left="0" w:right="0" w:hanging="0"/>
              <w:rPr/>
            </w:pPr>
            <w:r>
              <w:rPr/>
              <w:t> </w:t>
            </w:r>
          </w:p>
        </w:tc>
      </w:tr>
      <w:tr>
        <w:trPr/>
        <w:tc>
          <w:tcPr>
            <w:tcW w:w="189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Loss on disposal</w:t>
            </w:r>
          </w:p>
        </w:tc>
        <w:tc>
          <w:tcPr>
            <w:tcW w:w="158" w:type="dxa"/>
            <w:tcBorders/>
            <w:shd w:fill="CCEEFF" w:val="clear"/>
            <w:vAlign w:val="bottom"/>
          </w:tcPr>
          <w:p>
            <w:pPr>
              <w:pStyle w:val="TableContents"/>
              <w:spacing w:before="0" w:after="0"/>
              <w:ind w:left="0" w:right="0" w:hanging="0"/>
              <w:rPr/>
            </w:pPr>
            <w:r>
              <w:rPr/>
              <w:t> </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18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158" w:type="dxa"/>
            <w:tcBorders/>
            <w:shd w:fill="auto" w:val="clear"/>
            <w:vAlign w:val="bottom"/>
          </w:tcPr>
          <w:p>
            <w:pPr>
              <w:pStyle w:val="TableContents"/>
              <w:spacing w:before="0" w:after="0"/>
              <w:ind w:left="0" w:right="0" w:hanging="0"/>
              <w:rPr/>
            </w:pPr>
            <w:r>
              <w:rPr/>
              <w:t> </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69" w:type="dxa"/>
            <w:tcBorders/>
            <w:shd w:fill="auto" w:val="clear"/>
            <w:vAlign w:val="bottom"/>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69" w:type="dxa"/>
            <w:tcBorders/>
            <w:shd w:fill="auto" w:val="clear"/>
            <w:vAlign w:val="bottom"/>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69" w:type="dxa"/>
            <w:tcBorders/>
            <w:shd w:fill="auto" w:val="clear"/>
            <w:vAlign w:val="bottom"/>
          </w:tcPr>
          <w:p>
            <w:pPr>
              <w:pStyle w:val="TableContents"/>
              <w:spacing w:before="0" w:after="0"/>
              <w:ind w:left="0" w:right="0" w:hanging="0"/>
              <w:rPr/>
            </w:pPr>
            <w:r>
              <w:rPr/>
              <w:t> </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175"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17"/>
        </w:rPr>
      </w:pPr>
      <w:r>
        <w:rPr>
          <w:rFonts w:ascii="Times New Roman" w:hAnsi="Times New Roman"/>
          <w:b/>
          <w:sz w:val="17"/>
        </w:rPr>
        <w:t>Revenue Recognition</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We recognize revenue from sales of optical products and services upon delivery of the products or services to the customer. Our retail customers generally make full payment for prescription eyewear products at the time they place an order, and we defer revenue recognition associated with such transactions by estimating the amount of product that has not been delivered to customers at the end of each accounting period.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We provide a short-term right of return for sales of optical products and therefore an estimate of future returns is recorded as a reduction of revenue in the period of sale based on historical return experience.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We sell separately priced extended warranty contracts which provide for repair and replacement of eyeglasses during the first year after purchase.  Revenues from the sale of extended warranty contracts are recognized on a straight-line basis over the life of the contract.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A wholly owned subsidiary operates as a specialized health care service plan (an HMO).  Fees from managed vision care services include premiums from the HMOs managed care insurance product and patient co-payments for exam fees in excess of the benefit provided under the HMO plan.  Revenue from the HMO premium is recognized over the twelve-month life of the policy as services are rendered.  Patient co-payments are recognized as revenue at the time the exam services are provided.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A reconciliation of the changes in deferred revenue from the sale of warranty contracts and HMO premiums is as follows (in thousands):</w:t>
      </w:r>
    </w:p>
    <w:p>
      <w:pPr>
        <w:pStyle w:val="TextBody"/>
        <w:spacing w:before="0" w:after="0"/>
        <w:ind w:left="0" w:right="0" w:hanging="0"/>
        <w:jc w:val="left"/>
        <w:rPr/>
      </w:pPr>
      <w:r>
        <w:rPr/>
        <w:t> </w:t>
      </w:r>
    </w:p>
    <w:tbl>
      <w:tblPr>
        <w:tblW w:w="3750" w:type="pct"/>
        <w:jc w:val="center"/>
        <w:tblInd w:w="0" w:type="dxa"/>
        <w:tblCellMar>
          <w:top w:w="0" w:type="dxa"/>
          <w:left w:w="0" w:type="dxa"/>
          <w:bottom w:w="0" w:type="dxa"/>
          <w:right w:w="0" w:type="dxa"/>
        </w:tblCellMar>
      </w:tblPr>
      <w:tblGrid>
        <w:gridCol w:w="2575"/>
        <w:gridCol w:w="156"/>
        <w:gridCol w:w="110"/>
        <w:gridCol w:w="970"/>
        <w:gridCol w:w="165"/>
        <w:gridCol w:w="110"/>
        <w:gridCol w:w="970"/>
        <w:gridCol w:w="165"/>
        <w:gridCol w:w="110"/>
        <w:gridCol w:w="970"/>
        <w:gridCol w:w="165"/>
        <w:gridCol w:w="110"/>
        <w:gridCol w:w="970"/>
        <w:gridCol w:w="107"/>
      </w:tblGrid>
      <w:tr>
        <w:trPr/>
        <w:tc>
          <w:tcPr>
            <w:tcW w:w="2575" w:type="dxa"/>
            <w:tcBorders/>
            <w:shd w:fill="auto" w:val="clear"/>
            <w:vAlign w:val="bottom"/>
          </w:tcPr>
          <w:p>
            <w:pPr>
              <w:pStyle w:val="TableContents"/>
              <w:spacing w:before="0" w:after="0"/>
              <w:ind w:left="0" w:right="0" w:hanging="0"/>
              <w:jc w:val="center"/>
              <w:rPr/>
            </w:pPr>
            <w:r>
              <w:rPr/>
              <w:t> </w:t>
            </w:r>
          </w:p>
        </w:tc>
        <w:tc>
          <w:tcPr>
            <w:tcW w:w="156" w:type="dxa"/>
            <w:tcBorders/>
            <w:shd w:fill="auto" w:val="clear"/>
            <w:vAlign w:val="bottom"/>
          </w:tcPr>
          <w:p>
            <w:pPr>
              <w:pStyle w:val="TableContents"/>
              <w:spacing w:before="0" w:after="0"/>
              <w:ind w:left="0" w:right="0" w:hanging="0"/>
              <w:rPr/>
            </w:pPr>
            <w:r>
              <w:rPr/>
              <w:t> </w:t>
            </w:r>
          </w:p>
        </w:tc>
        <w:tc>
          <w:tcPr>
            <w:tcW w:w="232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65" w:type="dxa"/>
            <w:tcBorders/>
            <w:shd w:fill="auto" w:val="clear"/>
            <w:vAlign w:val="bottom"/>
          </w:tcPr>
          <w:p>
            <w:pPr>
              <w:pStyle w:val="TableContents"/>
              <w:spacing w:before="0" w:after="0"/>
              <w:ind w:left="0" w:right="0" w:hanging="0"/>
              <w:rPr/>
            </w:pPr>
            <w:r>
              <w:rPr/>
              <w:t> </w:t>
            </w:r>
          </w:p>
        </w:tc>
        <w:tc>
          <w:tcPr>
            <w:tcW w:w="232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07" w:type="dxa"/>
            <w:tcBorders/>
            <w:shd w:fill="auto" w:val="clear"/>
            <w:vAlign w:val="bottom"/>
          </w:tcPr>
          <w:p>
            <w:pPr>
              <w:pStyle w:val="TableContents"/>
              <w:spacing w:before="0" w:after="0"/>
              <w:ind w:left="0" w:right="0" w:hanging="0"/>
              <w:rPr/>
            </w:pPr>
            <w:r>
              <w:rPr/>
              <w:t> </w:t>
            </w:r>
          </w:p>
        </w:tc>
      </w:tr>
      <w:tr>
        <w:trPr/>
        <w:tc>
          <w:tcPr>
            <w:tcW w:w="2575" w:type="dxa"/>
            <w:tcBorders/>
            <w:shd w:fill="auto" w:val="clear"/>
            <w:vAlign w:val="bottom"/>
          </w:tcPr>
          <w:p>
            <w:pPr>
              <w:pStyle w:val="TableContents"/>
              <w:spacing w:before="0" w:after="0"/>
              <w:ind w:left="0" w:right="0" w:hanging="0"/>
              <w:jc w:val="center"/>
              <w:rPr/>
            </w:pPr>
            <w:r>
              <w:rPr/>
              <w:t> </w:t>
            </w:r>
          </w:p>
        </w:tc>
        <w:tc>
          <w:tcPr>
            <w:tcW w:w="156" w:type="dxa"/>
            <w:tcBorders/>
            <w:shd w:fill="auto" w:val="clear"/>
            <w:vAlign w:val="bottom"/>
          </w:tcPr>
          <w:p>
            <w:pPr>
              <w:pStyle w:val="TableContents"/>
              <w:spacing w:before="0" w:after="0"/>
              <w:ind w:left="0" w:right="0" w:hanging="0"/>
              <w:rPr/>
            </w:pPr>
            <w:r>
              <w:rPr/>
              <w:t> </w:t>
            </w:r>
          </w:p>
        </w:tc>
        <w:tc>
          <w:tcPr>
            <w:tcW w:w="10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2, 2005</w:t>
            </w:r>
          </w:p>
        </w:tc>
        <w:tc>
          <w:tcPr>
            <w:tcW w:w="165" w:type="dxa"/>
            <w:tcBorders>
              <w:top w:val="single" w:sz="8" w:space="0" w:color="000000"/>
            </w:tcBorders>
            <w:shd w:fill="auto" w:val="clear"/>
            <w:tcMar>
              <w:top w:w="28" w:type="dxa"/>
            </w:tcMar>
            <w:vAlign w:val="bottom"/>
          </w:tcPr>
          <w:p>
            <w:pPr>
              <w:pStyle w:val="TableContents"/>
              <w:spacing w:before="0" w:after="0"/>
              <w:ind w:left="0" w:right="0" w:hanging="0"/>
              <w:rPr/>
            </w:pPr>
            <w:r>
              <w:rPr/>
              <w:t> </w:t>
            </w:r>
          </w:p>
        </w:tc>
        <w:tc>
          <w:tcPr>
            <w:tcW w:w="108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3, 2004</w:t>
            </w:r>
          </w:p>
        </w:tc>
        <w:tc>
          <w:tcPr>
            <w:tcW w:w="165" w:type="dxa"/>
            <w:tcBorders/>
            <w:shd w:fill="auto" w:val="clear"/>
            <w:vAlign w:val="bottom"/>
          </w:tcPr>
          <w:p>
            <w:pPr>
              <w:pStyle w:val="TableContents"/>
              <w:spacing w:before="0" w:after="0"/>
              <w:ind w:left="0" w:right="0" w:hanging="0"/>
              <w:rPr/>
            </w:pPr>
            <w:r>
              <w:rPr/>
              <w:t> </w:t>
            </w:r>
          </w:p>
        </w:tc>
        <w:tc>
          <w:tcPr>
            <w:tcW w:w="10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2, 2005</w:t>
            </w:r>
          </w:p>
        </w:tc>
        <w:tc>
          <w:tcPr>
            <w:tcW w:w="165" w:type="dxa"/>
            <w:tcBorders>
              <w:top w:val="single" w:sz="8" w:space="0" w:color="000000"/>
            </w:tcBorders>
            <w:shd w:fill="auto" w:val="clear"/>
            <w:tcMar>
              <w:top w:w="28" w:type="dxa"/>
            </w:tcMar>
            <w:vAlign w:val="bottom"/>
          </w:tcPr>
          <w:p>
            <w:pPr>
              <w:pStyle w:val="TableContents"/>
              <w:spacing w:before="0" w:after="0"/>
              <w:ind w:left="0" w:right="0" w:hanging="0"/>
              <w:rPr/>
            </w:pPr>
            <w:r>
              <w:rPr/>
              <w:t> </w:t>
            </w:r>
          </w:p>
        </w:tc>
        <w:tc>
          <w:tcPr>
            <w:tcW w:w="108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3, 2004</w:t>
            </w:r>
          </w:p>
        </w:tc>
        <w:tc>
          <w:tcPr>
            <w:tcW w:w="107" w:type="dxa"/>
            <w:tcBorders/>
            <w:shd w:fill="auto" w:val="clear"/>
            <w:vAlign w:val="bottom"/>
          </w:tcPr>
          <w:p>
            <w:pPr>
              <w:pStyle w:val="TableContents"/>
              <w:spacing w:before="0" w:after="0"/>
              <w:ind w:left="0" w:right="0" w:hanging="0"/>
              <w:rPr/>
            </w:pPr>
            <w:r>
              <w:rPr/>
              <w:t> </w:t>
            </w:r>
          </w:p>
        </w:tc>
      </w:tr>
      <w:tr>
        <w:trPr/>
        <w:tc>
          <w:tcPr>
            <w:tcW w:w="257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Deferred warranty revenue:</w:t>
            </w:r>
          </w:p>
        </w:tc>
        <w:tc>
          <w:tcPr>
            <w:tcW w:w="156" w:type="dxa"/>
            <w:tcBorders/>
            <w:shd w:fill="CCEEFF" w:val="clear"/>
            <w:vAlign w:val="bottom"/>
          </w:tcPr>
          <w:p>
            <w:pPr>
              <w:pStyle w:val="TableContents"/>
              <w:spacing w:before="0" w:after="0"/>
              <w:ind w:left="0" w:right="0" w:hanging="0"/>
              <w:rPr/>
            </w:pPr>
            <w:r>
              <w:rPr/>
              <w:t> </w:t>
            </w:r>
          </w:p>
        </w:tc>
        <w:tc>
          <w:tcPr>
            <w:tcW w:w="1080" w:type="dxa"/>
            <w:gridSpan w:val="2"/>
            <w:tcBorders/>
            <w:shd w:fill="CCEEFF" w:val="clear"/>
            <w:vAlign w:val="bottom"/>
          </w:tcPr>
          <w:p>
            <w:pPr>
              <w:pStyle w:val="TableContents"/>
              <w:spacing w:before="0" w:after="0"/>
              <w:ind w:left="0" w:right="0" w:hanging="0"/>
              <w:jc w:val="right"/>
              <w:rPr/>
            </w:pPr>
            <w:r>
              <w:rPr/>
              <w:t> </w:t>
            </w:r>
          </w:p>
        </w:tc>
        <w:tc>
          <w:tcPr>
            <w:tcW w:w="165" w:type="dxa"/>
            <w:tcBorders/>
            <w:shd w:fill="CCEEFF" w:val="clear"/>
            <w:vAlign w:val="bottom"/>
          </w:tcPr>
          <w:p>
            <w:pPr>
              <w:pStyle w:val="TableContents"/>
              <w:spacing w:before="0" w:after="0"/>
              <w:ind w:left="0" w:right="0" w:hanging="0"/>
              <w:rPr/>
            </w:pPr>
            <w:r>
              <w:rPr/>
              <w:t> </w:t>
            </w:r>
          </w:p>
        </w:tc>
        <w:tc>
          <w:tcPr>
            <w:tcW w:w="1080" w:type="dxa"/>
            <w:gridSpan w:val="2"/>
            <w:tcBorders/>
            <w:shd w:fill="CCEEFF" w:val="clear"/>
            <w:vAlign w:val="bottom"/>
          </w:tcPr>
          <w:p>
            <w:pPr>
              <w:pStyle w:val="TableContents"/>
              <w:spacing w:before="0" w:after="0"/>
              <w:ind w:left="0" w:right="0" w:hanging="0"/>
              <w:jc w:val="right"/>
              <w:rPr/>
            </w:pPr>
            <w:r>
              <w:rPr/>
              <w:t> </w:t>
            </w:r>
          </w:p>
        </w:tc>
        <w:tc>
          <w:tcPr>
            <w:tcW w:w="165" w:type="dxa"/>
            <w:tcBorders/>
            <w:shd w:fill="CCEEFF" w:val="clear"/>
            <w:vAlign w:val="bottom"/>
          </w:tcPr>
          <w:p>
            <w:pPr>
              <w:pStyle w:val="TableContents"/>
              <w:spacing w:before="0" w:after="0"/>
              <w:ind w:left="0" w:right="0" w:hanging="0"/>
              <w:rPr/>
            </w:pPr>
            <w:r>
              <w:rPr/>
              <w:t> </w:t>
            </w:r>
          </w:p>
        </w:tc>
        <w:tc>
          <w:tcPr>
            <w:tcW w:w="1080" w:type="dxa"/>
            <w:gridSpan w:val="2"/>
            <w:tcBorders/>
            <w:shd w:fill="CCEEFF" w:val="clear"/>
            <w:vAlign w:val="bottom"/>
          </w:tcPr>
          <w:p>
            <w:pPr>
              <w:pStyle w:val="TableContents"/>
              <w:spacing w:before="0" w:after="0"/>
              <w:ind w:left="0" w:right="0" w:hanging="0"/>
              <w:jc w:val="right"/>
              <w:rPr/>
            </w:pPr>
            <w:r>
              <w:rPr/>
              <w:t> </w:t>
            </w:r>
          </w:p>
        </w:tc>
        <w:tc>
          <w:tcPr>
            <w:tcW w:w="165" w:type="dxa"/>
            <w:tcBorders/>
            <w:shd w:fill="CCEEFF" w:val="clear"/>
            <w:vAlign w:val="bottom"/>
          </w:tcPr>
          <w:p>
            <w:pPr>
              <w:pStyle w:val="TableContents"/>
              <w:spacing w:before="0" w:after="0"/>
              <w:ind w:left="0" w:right="0" w:hanging="0"/>
              <w:rPr/>
            </w:pPr>
            <w:r>
              <w:rPr/>
              <w:t> </w:t>
            </w:r>
          </w:p>
        </w:tc>
        <w:tc>
          <w:tcPr>
            <w:tcW w:w="1080" w:type="dxa"/>
            <w:gridSpan w:val="2"/>
            <w:tcBorders/>
            <w:shd w:fill="CCEEFF" w:val="clear"/>
            <w:vAlign w:val="bottom"/>
          </w:tcPr>
          <w:p>
            <w:pPr>
              <w:pStyle w:val="TableContents"/>
              <w:spacing w:before="0" w:after="0"/>
              <w:ind w:left="0" w:right="0" w:hanging="0"/>
              <w:jc w:val="right"/>
              <w:rPr/>
            </w:pPr>
            <w:r>
              <w:rPr/>
              <w:t> </w:t>
            </w:r>
          </w:p>
        </w:tc>
        <w:tc>
          <w:tcPr>
            <w:tcW w:w="107" w:type="dxa"/>
            <w:tcBorders/>
            <w:shd w:fill="CCEEFF" w:val="clear"/>
            <w:vAlign w:val="bottom"/>
          </w:tcPr>
          <w:p>
            <w:pPr>
              <w:pStyle w:val="TableContents"/>
              <w:spacing w:before="0" w:after="0"/>
              <w:ind w:left="0" w:right="0" w:hanging="0"/>
              <w:rPr/>
            </w:pPr>
            <w:r>
              <w:rPr/>
              <w:t> </w:t>
            </w:r>
          </w:p>
        </w:tc>
      </w:tr>
      <w:tr>
        <w:trPr/>
        <w:tc>
          <w:tcPr>
            <w:tcW w:w="25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Balance, beginning of period</w:t>
            </w:r>
          </w:p>
        </w:tc>
        <w:tc>
          <w:tcPr>
            <w:tcW w:w="156"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3,340</w:t>
            </w:r>
          </w:p>
        </w:tc>
        <w:tc>
          <w:tcPr>
            <w:tcW w:w="16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3,428</w:t>
            </w:r>
          </w:p>
        </w:tc>
        <w:tc>
          <w:tcPr>
            <w:tcW w:w="16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3,037</w:t>
            </w:r>
          </w:p>
        </w:tc>
        <w:tc>
          <w:tcPr>
            <w:tcW w:w="16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2,680</w:t>
            </w:r>
          </w:p>
        </w:tc>
        <w:tc>
          <w:tcPr>
            <w:tcW w:w="107" w:type="dxa"/>
            <w:tcBorders/>
            <w:shd w:fill="auto" w:val="clear"/>
            <w:vAlign w:val="bottom"/>
          </w:tcPr>
          <w:p>
            <w:pPr>
              <w:pStyle w:val="TableContents"/>
              <w:spacing w:before="0" w:after="0"/>
              <w:ind w:left="0" w:right="0" w:hanging="0"/>
              <w:rPr/>
            </w:pPr>
            <w:r>
              <w:rPr/>
              <w:t> </w:t>
            </w:r>
          </w:p>
        </w:tc>
      </w:tr>
      <w:tr>
        <w:trPr/>
        <w:tc>
          <w:tcPr>
            <w:tcW w:w="257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Warranty contracts sold</w:t>
            </w:r>
          </w:p>
        </w:tc>
        <w:tc>
          <w:tcPr>
            <w:tcW w:w="156" w:type="dxa"/>
            <w:tcBorders/>
            <w:shd w:fill="CCEEFF" w:val="clear"/>
            <w:vAlign w:val="bottom"/>
          </w:tcPr>
          <w:p>
            <w:pPr>
              <w:pStyle w:val="TableContents"/>
              <w:spacing w:before="0" w:after="0"/>
              <w:ind w:left="0" w:right="0" w:hanging="0"/>
              <w:rPr/>
            </w:pPr>
            <w:r>
              <w:rPr/>
              <w:t> </w:t>
            </w:r>
          </w:p>
        </w:tc>
        <w:tc>
          <w:tcPr>
            <w:tcW w:w="10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1,513</w:t>
            </w:r>
          </w:p>
        </w:tc>
        <w:tc>
          <w:tcPr>
            <w:tcW w:w="165" w:type="dxa"/>
            <w:tcBorders/>
            <w:shd w:fill="CCEEFF" w:val="clear"/>
            <w:vAlign w:val="bottom"/>
          </w:tcPr>
          <w:p>
            <w:pPr>
              <w:pStyle w:val="TableContents"/>
              <w:spacing w:before="0" w:after="0"/>
              <w:ind w:left="0" w:right="0" w:hanging="0"/>
              <w:rPr/>
            </w:pPr>
            <w:r>
              <w:rPr/>
              <w:t> </w:t>
            </w:r>
          </w:p>
        </w:tc>
        <w:tc>
          <w:tcPr>
            <w:tcW w:w="10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1,430</w:t>
            </w:r>
          </w:p>
        </w:tc>
        <w:tc>
          <w:tcPr>
            <w:tcW w:w="165" w:type="dxa"/>
            <w:tcBorders/>
            <w:shd w:fill="CCEEFF" w:val="clear"/>
            <w:vAlign w:val="bottom"/>
          </w:tcPr>
          <w:p>
            <w:pPr>
              <w:pStyle w:val="TableContents"/>
              <w:spacing w:before="0" w:after="0"/>
              <w:ind w:left="0" w:right="0" w:hanging="0"/>
              <w:rPr/>
            </w:pPr>
            <w:r>
              <w:rPr/>
              <w:t> </w:t>
            </w:r>
          </w:p>
        </w:tc>
        <w:tc>
          <w:tcPr>
            <w:tcW w:w="10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3,359</w:t>
            </w:r>
          </w:p>
        </w:tc>
        <w:tc>
          <w:tcPr>
            <w:tcW w:w="165" w:type="dxa"/>
            <w:tcBorders/>
            <w:shd w:fill="CCEEFF" w:val="clear"/>
            <w:vAlign w:val="bottom"/>
          </w:tcPr>
          <w:p>
            <w:pPr>
              <w:pStyle w:val="TableContents"/>
              <w:spacing w:before="0" w:after="0"/>
              <w:ind w:left="0" w:right="0" w:hanging="0"/>
              <w:rPr/>
            </w:pPr>
            <w:r>
              <w:rPr/>
              <w:t> </w:t>
            </w:r>
          </w:p>
        </w:tc>
        <w:tc>
          <w:tcPr>
            <w:tcW w:w="10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3,408</w:t>
            </w:r>
          </w:p>
        </w:tc>
        <w:tc>
          <w:tcPr>
            <w:tcW w:w="107" w:type="dxa"/>
            <w:tcBorders/>
            <w:shd w:fill="CCEEFF" w:val="clear"/>
            <w:vAlign w:val="bottom"/>
          </w:tcPr>
          <w:p>
            <w:pPr>
              <w:pStyle w:val="TableContents"/>
              <w:spacing w:before="0" w:after="0"/>
              <w:ind w:left="0" w:right="0" w:hanging="0"/>
              <w:rPr/>
            </w:pPr>
            <w:r>
              <w:rPr/>
              <w:t> </w:t>
            </w:r>
          </w:p>
        </w:tc>
      </w:tr>
      <w:tr>
        <w:trPr/>
        <w:tc>
          <w:tcPr>
            <w:tcW w:w="25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Amortization of deferred revenue</w:t>
            </w:r>
          </w:p>
        </w:tc>
        <w:tc>
          <w:tcPr>
            <w:tcW w:w="156" w:type="dxa"/>
            <w:tcBorders/>
            <w:shd w:fill="auto" w:val="clear"/>
            <w:vAlign w:val="bottom"/>
          </w:tcPr>
          <w:p>
            <w:pPr>
              <w:pStyle w:val="TableContents"/>
              <w:spacing w:before="0" w:after="0"/>
              <w:ind w:left="0" w:right="0" w:hanging="0"/>
              <w:rPr/>
            </w:pPr>
            <w:r>
              <w:rPr/>
              <w:t> </w:t>
            </w:r>
          </w:p>
        </w:tc>
        <w:tc>
          <w:tcPr>
            <w:tcW w:w="10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(1,547</w:t>
            </w:r>
          </w:p>
        </w:tc>
        <w:tc>
          <w:tcPr>
            <w:tcW w:w="1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(1,528</w:t>
            </w:r>
          </w:p>
        </w:tc>
        <w:tc>
          <w:tcPr>
            <w:tcW w:w="1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(3,090</w:t>
            </w:r>
          </w:p>
        </w:tc>
        <w:tc>
          <w:tcPr>
            <w:tcW w:w="1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(2,758</w:t>
            </w:r>
          </w:p>
        </w:tc>
        <w:tc>
          <w:tcPr>
            <w:tcW w:w="1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7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Balance, end of period</w:t>
            </w:r>
          </w:p>
        </w:tc>
        <w:tc>
          <w:tcPr>
            <w:tcW w:w="156" w:type="dxa"/>
            <w:tcBorders/>
            <w:shd w:fill="CCEEFF" w:val="clear"/>
            <w:vAlign w:val="bottom"/>
          </w:tcPr>
          <w:p>
            <w:pPr>
              <w:pStyle w:val="TableContents"/>
              <w:spacing w:before="0" w:after="0"/>
              <w:ind w:left="0" w:right="0" w:hanging="0"/>
              <w:rPr/>
            </w:pPr>
            <w:r>
              <w:rPr/>
              <w:t> </w:t>
            </w:r>
          </w:p>
        </w:tc>
        <w:tc>
          <w:tcPr>
            <w:tcW w:w="110"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3,306</w:t>
            </w:r>
          </w:p>
        </w:tc>
        <w:tc>
          <w:tcPr>
            <w:tcW w:w="165" w:type="dxa"/>
            <w:tcBorders/>
            <w:shd w:fill="CCEEFF" w:val="clear"/>
            <w:vAlign w:val="bottom"/>
          </w:tcPr>
          <w:p>
            <w:pPr>
              <w:pStyle w:val="TableContents"/>
              <w:spacing w:before="0" w:after="0"/>
              <w:ind w:left="0" w:right="0" w:hanging="0"/>
              <w:rPr/>
            </w:pPr>
            <w:r>
              <w:rPr/>
              <w:t> </w:t>
            </w:r>
          </w:p>
        </w:tc>
        <w:tc>
          <w:tcPr>
            <w:tcW w:w="110"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3,330</w:t>
            </w:r>
          </w:p>
        </w:tc>
        <w:tc>
          <w:tcPr>
            <w:tcW w:w="165" w:type="dxa"/>
            <w:tcBorders/>
            <w:shd w:fill="CCEEFF" w:val="clear"/>
            <w:vAlign w:val="bottom"/>
          </w:tcPr>
          <w:p>
            <w:pPr>
              <w:pStyle w:val="TableContents"/>
              <w:spacing w:before="0" w:after="0"/>
              <w:ind w:left="0" w:right="0" w:hanging="0"/>
              <w:rPr/>
            </w:pPr>
            <w:r>
              <w:rPr/>
              <w:t> </w:t>
            </w:r>
          </w:p>
        </w:tc>
        <w:tc>
          <w:tcPr>
            <w:tcW w:w="110"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3,306</w:t>
            </w:r>
          </w:p>
        </w:tc>
        <w:tc>
          <w:tcPr>
            <w:tcW w:w="165" w:type="dxa"/>
            <w:tcBorders/>
            <w:shd w:fill="CCEEFF" w:val="clear"/>
            <w:vAlign w:val="bottom"/>
          </w:tcPr>
          <w:p>
            <w:pPr>
              <w:pStyle w:val="TableContents"/>
              <w:spacing w:before="0" w:after="0"/>
              <w:ind w:left="0" w:right="0" w:hanging="0"/>
              <w:rPr/>
            </w:pPr>
            <w:r>
              <w:rPr/>
              <w:t> </w:t>
            </w:r>
          </w:p>
        </w:tc>
        <w:tc>
          <w:tcPr>
            <w:tcW w:w="110"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3,330</w:t>
            </w:r>
          </w:p>
        </w:tc>
        <w:tc>
          <w:tcPr>
            <w:tcW w:w="107" w:type="dxa"/>
            <w:tcBorders/>
            <w:shd w:fill="CCEEFF" w:val="clear"/>
            <w:vAlign w:val="bottom"/>
          </w:tcPr>
          <w:p>
            <w:pPr>
              <w:pStyle w:val="TableContents"/>
              <w:spacing w:before="0" w:after="0"/>
              <w:ind w:left="0" w:right="0" w:hanging="0"/>
              <w:rPr/>
            </w:pPr>
            <w:r>
              <w:rPr/>
              <w:t> </w:t>
            </w:r>
          </w:p>
        </w:tc>
      </w:tr>
      <w:tr>
        <w:trPr/>
        <w:tc>
          <w:tcPr>
            <w:tcW w:w="2575" w:type="dxa"/>
            <w:tcBorders/>
            <w:shd w:fill="auto" w:val="clear"/>
          </w:tcPr>
          <w:p>
            <w:pPr>
              <w:pStyle w:val="TableContents"/>
              <w:spacing w:before="0" w:after="0"/>
              <w:ind w:left="0" w:right="0" w:hanging="0"/>
              <w:rPr/>
            </w:pPr>
            <w:r>
              <w:rPr/>
              <w:t> </w:t>
            </w:r>
          </w:p>
        </w:tc>
        <w:tc>
          <w:tcPr>
            <w:tcW w:w="156" w:type="dxa"/>
            <w:tcBorders/>
            <w:shd w:fill="auto" w:val="clear"/>
            <w:vAlign w:val="bottom"/>
          </w:tcPr>
          <w:p>
            <w:pPr>
              <w:pStyle w:val="TableContents"/>
              <w:spacing w:before="0" w:after="0"/>
              <w:ind w:left="0" w:right="0" w:hanging="0"/>
              <w:rPr/>
            </w:pPr>
            <w:r>
              <w:rPr/>
              <w:t> </w:t>
            </w:r>
          </w:p>
        </w:tc>
        <w:tc>
          <w:tcPr>
            <w:tcW w:w="1080" w:type="dxa"/>
            <w:gridSpan w:val="2"/>
            <w:tcBorders/>
            <w:shd w:fill="auto" w:val="clear"/>
            <w:vAlign w:val="bottom"/>
          </w:tcPr>
          <w:p>
            <w:pPr>
              <w:pStyle w:val="TableContents"/>
              <w:spacing w:before="0" w:after="0"/>
              <w:ind w:left="0" w:right="0" w:hanging="0"/>
              <w:jc w:val="right"/>
              <w:rPr/>
            </w:pPr>
            <w:r>
              <w:rPr/>
              <w:t> </w:t>
            </w:r>
          </w:p>
        </w:tc>
        <w:tc>
          <w:tcPr>
            <w:tcW w:w="165" w:type="dxa"/>
            <w:tcBorders/>
            <w:shd w:fill="auto" w:val="clear"/>
            <w:vAlign w:val="bottom"/>
          </w:tcPr>
          <w:p>
            <w:pPr>
              <w:pStyle w:val="TableContents"/>
              <w:spacing w:before="0" w:after="0"/>
              <w:ind w:left="0" w:right="0" w:hanging="0"/>
              <w:rPr/>
            </w:pPr>
            <w:r>
              <w:rPr/>
              <w:t> </w:t>
            </w:r>
          </w:p>
        </w:tc>
        <w:tc>
          <w:tcPr>
            <w:tcW w:w="1080" w:type="dxa"/>
            <w:gridSpan w:val="2"/>
            <w:tcBorders/>
            <w:shd w:fill="auto" w:val="clear"/>
            <w:vAlign w:val="bottom"/>
          </w:tcPr>
          <w:p>
            <w:pPr>
              <w:pStyle w:val="TableContents"/>
              <w:spacing w:before="0" w:after="0"/>
              <w:ind w:left="0" w:right="0" w:hanging="0"/>
              <w:jc w:val="right"/>
              <w:rPr/>
            </w:pPr>
            <w:r>
              <w:rPr/>
              <w:t> </w:t>
            </w:r>
          </w:p>
        </w:tc>
        <w:tc>
          <w:tcPr>
            <w:tcW w:w="165" w:type="dxa"/>
            <w:tcBorders/>
            <w:shd w:fill="auto" w:val="clear"/>
            <w:vAlign w:val="bottom"/>
          </w:tcPr>
          <w:p>
            <w:pPr>
              <w:pStyle w:val="TableContents"/>
              <w:spacing w:before="0" w:after="0"/>
              <w:ind w:left="0" w:right="0" w:hanging="0"/>
              <w:rPr/>
            </w:pPr>
            <w:r>
              <w:rPr/>
              <w:t> </w:t>
            </w:r>
          </w:p>
        </w:tc>
        <w:tc>
          <w:tcPr>
            <w:tcW w:w="1080" w:type="dxa"/>
            <w:gridSpan w:val="2"/>
            <w:tcBorders/>
            <w:shd w:fill="auto" w:val="clear"/>
            <w:vAlign w:val="bottom"/>
          </w:tcPr>
          <w:p>
            <w:pPr>
              <w:pStyle w:val="TableContents"/>
              <w:spacing w:before="0" w:after="0"/>
              <w:ind w:left="0" w:right="0" w:hanging="0"/>
              <w:jc w:val="right"/>
              <w:rPr/>
            </w:pPr>
            <w:r>
              <w:rPr/>
              <w:t> </w:t>
            </w:r>
          </w:p>
        </w:tc>
        <w:tc>
          <w:tcPr>
            <w:tcW w:w="165" w:type="dxa"/>
            <w:tcBorders/>
            <w:shd w:fill="auto" w:val="clear"/>
            <w:vAlign w:val="bottom"/>
          </w:tcPr>
          <w:p>
            <w:pPr>
              <w:pStyle w:val="TableContents"/>
              <w:spacing w:before="0" w:after="0"/>
              <w:ind w:left="0" w:right="0" w:hanging="0"/>
              <w:rPr/>
            </w:pPr>
            <w:r>
              <w:rPr/>
              <w:t> </w:t>
            </w:r>
          </w:p>
        </w:tc>
        <w:tc>
          <w:tcPr>
            <w:tcW w:w="1080" w:type="dxa"/>
            <w:gridSpan w:val="2"/>
            <w:tcBorders/>
            <w:shd w:fill="auto" w:val="clear"/>
            <w:vAlign w:val="bottom"/>
          </w:tcPr>
          <w:p>
            <w:pPr>
              <w:pStyle w:val="TableContents"/>
              <w:spacing w:before="0" w:after="0"/>
              <w:ind w:left="0" w:right="0" w:hanging="0"/>
              <w:jc w:val="right"/>
              <w:rPr/>
            </w:pPr>
            <w:r>
              <w:rPr/>
              <w:t> </w:t>
            </w:r>
          </w:p>
        </w:tc>
        <w:tc>
          <w:tcPr>
            <w:tcW w:w="107" w:type="dxa"/>
            <w:tcBorders/>
            <w:shd w:fill="auto" w:val="clear"/>
            <w:vAlign w:val="bottom"/>
          </w:tcPr>
          <w:p>
            <w:pPr>
              <w:pStyle w:val="TableContents"/>
              <w:spacing w:before="0" w:after="0"/>
              <w:ind w:left="0" w:right="0" w:hanging="0"/>
              <w:rPr/>
            </w:pPr>
            <w:r>
              <w:rPr/>
              <w:t> </w:t>
            </w:r>
          </w:p>
        </w:tc>
      </w:tr>
      <w:tr>
        <w:trPr/>
        <w:tc>
          <w:tcPr>
            <w:tcW w:w="2575" w:type="dxa"/>
            <w:tcBorders/>
            <w:shd w:fill="auto" w:val="clear"/>
          </w:tcPr>
          <w:p>
            <w:pPr>
              <w:pStyle w:val="TableContents"/>
              <w:spacing w:before="0" w:after="0"/>
              <w:ind w:left="0" w:right="0" w:hanging="0"/>
              <w:jc w:val="center"/>
              <w:rPr/>
            </w:pPr>
            <w:r>
              <w:rPr/>
              <w:t> </w:t>
            </w:r>
          </w:p>
        </w:tc>
        <w:tc>
          <w:tcPr>
            <w:tcW w:w="156" w:type="dxa"/>
            <w:tcBorders/>
            <w:shd w:fill="auto" w:val="clear"/>
            <w:vAlign w:val="bottom"/>
          </w:tcPr>
          <w:p>
            <w:pPr>
              <w:pStyle w:val="TableContents"/>
              <w:spacing w:before="0" w:after="0"/>
              <w:ind w:left="0" w:right="0" w:hanging="0"/>
              <w:jc w:val="center"/>
              <w:rPr/>
            </w:pPr>
            <w:r>
              <w:rPr/>
              <w:t> </w:t>
            </w:r>
          </w:p>
        </w:tc>
        <w:tc>
          <w:tcPr>
            <w:tcW w:w="2325" w:type="dxa"/>
            <w:gridSpan w:val="5"/>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65" w:type="dxa"/>
            <w:tcBorders/>
            <w:shd w:fill="auto" w:val="clear"/>
            <w:vAlign w:val="bottom"/>
          </w:tcPr>
          <w:p>
            <w:pPr>
              <w:pStyle w:val="TableContents"/>
              <w:spacing w:before="0" w:after="0"/>
              <w:ind w:left="0" w:right="0" w:hanging="0"/>
              <w:jc w:val="center"/>
              <w:rPr/>
            </w:pPr>
            <w:r>
              <w:rPr/>
              <w:t> </w:t>
            </w:r>
          </w:p>
        </w:tc>
        <w:tc>
          <w:tcPr>
            <w:tcW w:w="232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07" w:type="dxa"/>
            <w:tcBorders/>
            <w:shd w:fill="auto" w:val="clear"/>
            <w:vAlign w:val="bottom"/>
          </w:tcPr>
          <w:p>
            <w:pPr>
              <w:pStyle w:val="TableContents"/>
              <w:spacing w:before="0" w:after="0"/>
              <w:ind w:left="0" w:right="0" w:hanging="0"/>
              <w:jc w:val="center"/>
              <w:rPr/>
            </w:pPr>
            <w:r>
              <w:rPr/>
              <w:t> </w:t>
            </w:r>
          </w:p>
        </w:tc>
      </w:tr>
      <w:tr>
        <w:trPr/>
        <w:tc>
          <w:tcPr>
            <w:tcW w:w="2575" w:type="dxa"/>
            <w:tcBorders/>
            <w:shd w:fill="auto" w:val="clear"/>
          </w:tcPr>
          <w:p>
            <w:pPr>
              <w:pStyle w:val="TableContents"/>
              <w:spacing w:before="0" w:after="0"/>
              <w:ind w:left="0" w:right="0" w:hanging="0"/>
              <w:jc w:val="center"/>
              <w:rPr/>
            </w:pPr>
            <w:r>
              <w:rPr/>
              <w:t> </w:t>
            </w:r>
          </w:p>
        </w:tc>
        <w:tc>
          <w:tcPr>
            <w:tcW w:w="156" w:type="dxa"/>
            <w:tcBorders/>
            <w:shd w:fill="auto" w:val="clear"/>
            <w:vAlign w:val="bottom"/>
          </w:tcPr>
          <w:p>
            <w:pPr>
              <w:pStyle w:val="TableContents"/>
              <w:spacing w:before="0" w:after="0"/>
              <w:ind w:left="0" w:right="0" w:hanging="0"/>
              <w:jc w:val="center"/>
              <w:rPr/>
            </w:pPr>
            <w:r>
              <w:rPr/>
              <w:t> </w:t>
            </w:r>
          </w:p>
        </w:tc>
        <w:tc>
          <w:tcPr>
            <w:tcW w:w="1080" w:type="dxa"/>
            <w:gridSpan w:val="2"/>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b/>
                <w:sz w:val="13"/>
              </w:rPr>
            </w:pPr>
            <w:r>
              <w:rPr>
                <w:rFonts w:ascii="Times New Roman" w:hAnsi="Times New Roman"/>
                <w:b/>
                <w:sz w:val="13"/>
              </w:rPr>
              <w:t>July 2, 2005</w:t>
            </w:r>
          </w:p>
        </w:tc>
        <w:tc>
          <w:tcPr>
            <w:tcW w:w="16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8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3, 2004</w:t>
            </w:r>
          </w:p>
        </w:tc>
        <w:tc>
          <w:tcPr>
            <w:tcW w:w="165" w:type="dxa"/>
            <w:tcBorders/>
            <w:shd w:fill="auto" w:val="clear"/>
            <w:vAlign w:val="bottom"/>
          </w:tcPr>
          <w:p>
            <w:pPr>
              <w:pStyle w:val="TableContents"/>
              <w:spacing w:before="0" w:after="0"/>
              <w:ind w:left="0" w:right="0" w:hanging="0"/>
              <w:jc w:val="center"/>
              <w:rPr/>
            </w:pPr>
            <w:r>
              <w:rPr/>
              <w:t> </w:t>
            </w:r>
          </w:p>
        </w:tc>
        <w:tc>
          <w:tcPr>
            <w:tcW w:w="10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2, 2005</w:t>
            </w:r>
          </w:p>
        </w:tc>
        <w:tc>
          <w:tcPr>
            <w:tcW w:w="165" w:type="dxa"/>
            <w:tcBorders/>
            <w:shd w:fill="auto" w:val="clear"/>
            <w:vAlign w:val="bottom"/>
          </w:tcPr>
          <w:p>
            <w:pPr>
              <w:pStyle w:val="TableContents"/>
              <w:spacing w:before="0" w:after="0"/>
              <w:ind w:left="0" w:right="0" w:hanging="0"/>
              <w:jc w:val="center"/>
              <w:rPr/>
            </w:pPr>
            <w:r>
              <w:rPr/>
              <w:t> </w:t>
            </w:r>
          </w:p>
        </w:tc>
        <w:tc>
          <w:tcPr>
            <w:tcW w:w="10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3, 2004</w:t>
            </w:r>
          </w:p>
        </w:tc>
        <w:tc>
          <w:tcPr>
            <w:tcW w:w="107" w:type="dxa"/>
            <w:tcBorders/>
            <w:shd w:fill="auto" w:val="clear"/>
            <w:vAlign w:val="bottom"/>
          </w:tcPr>
          <w:p>
            <w:pPr>
              <w:pStyle w:val="TableContents"/>
              <w:spacing w:before="0" w:after="0"/>
              <w:ind w:left="0" w:right="0" w:hanging="0"/>
              <w:jc w:val="center"/>
              <w:rPr/>
            </w:pPr>
            <w:r>
              <w:rPr/>
              <w:t> </w:t>
            </w:r>
          </w:p>
        </w:tc>
      </w:tr>
      <w:tr>
        <w:trPr/>
        <w:tc>
          <w:tcPr>
            <w:tcW w:w="257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Deferred premium revenue:</w:t>
            </w:r>
          </w:p>
        </w:tc>
        <w:tc>
          <w:tcPr>
            <w:tcW w:w="156" w:type="dxa"/>
            <w:tcBorders/>
            <w:shd w:fill="CCEEFF" w:val="clear"/>
            <w:vAlign w:val="bottom"/>
          </w:tcPr>
          <w:p>
            <w:pPr>
              <w:pStyle w:val="TableContents"/>
              <w:spacing w:before="0" w:after="0"/>
              <w:ind w:left="0" w:right="0" w:hanging="0"/>
              <w:rPr/>
            </w:pPr>
            <w:r>
              <w:rPr/>
              <w:t> </w:t>
            </w:r>
          </w:p>
        </w:tc>
        <w:tc>
          <w:tcPr>
            <w:tcW w:w="1080" w:type="dxa"/>
            <w:gridSpan w:val="2"/>
            <w:tcBorders/>
            <w:shd w:fill="CCEEFF" w:val="clear"/>
            <w:vAlign w:val="bottom"/>
          </w:tcPr>
          <w:p>
            <w:pPr>
              <w:pStyle w:val="TableContents"/>
              <w:spacing w:before="0" w:after="0"/>
              <w:ind w:left="0" w:right="0" w:hanging="0"/>
              <w:jc w:val="right"/>
              <w:rPr/>
            </w:pPr>
            <w:r>
              <w:rPr/>
              <w:t> </w:t>
            </w:r>
          </w:p>
        </w:tc>
        <w:tc>
          <w:tcPr>
            <w:tcW w:w="165" w:type="dxa"/>
            <w:tcBorders/>
            <w:shd w:fill="CCEEFF" w:val="clear"/>
            <w:vAlign w:val="bottom"/>
          </w:tcPr>
          <w:p>
            <w:pPr>
              <w:pStyle w:val="TableContents"/>
              <w:spacing w:before="0" w:after="0"/>
              <w:ind w:left="0" w:right="0" w:hanging="0"/>
              <w:rPr/>
            </w:pPr>
            <w:r>
              <w:rPr/>
              <w:t> </w:t>
            </w:r>
          </w:p>
        </w:tc>
        <w:tc>
          <w:tcPr>
            <w:tcW w:w="1080" w:type="dxa"/>
            <w:gridSpan w:val="2"/>
            <w:tcBorders/>
            <w:shd w:fill="CCEEFF" w:val="clear"/>
            <w:vAlign w:val="bottom"/>
          </w:tcPr>
          <w:p>
            <w:pPr>
              <w:pStyle w:val="TableContents"/>
              <w:spacing w:before="0" w:after="0"/>
              <w:ind w:left="0" w:right="0" w:hanging="0"/>
              <w:jc w:val="right"/>
              <w:rPr/>
            </w:pPr>
            <w:r>
              <w:rPr/>
              <w:t> </w:t>
            </w:r>
          </w:p>
        </w:tc>
        <w:tc>
          <w:tcPr>
            <w:tcW w:w="165" w:type="dxa"/>
            <w:tcBorders/>
            <w:shd w:fill="CCEEFF" w:val="clear"/>
            <w:vAlign w:val="bottom"/>
          </w:tcPr>
          <w:p>
            <w:pPr>
              <w:pStyle w:val="TableContents"/>
              <w:spacing w:before="0" w:after="0"/>
              <w:ind w:left="0" w:right="0" w:hanging="0"/>
              <w:rPr/>
            </w:pPr>
            <w:r>
              <w:rPr/>
              <w:t> </w:t>
            </w:r>
          </w:p>
        </w:tc>
        <w:tc>
          <w:tcPr>
            <w:tcW w:w="1080" w:type="dxa"/>
            <w:gridSpan w:val="2"/>
            <w:tcBorders/>
            <w:shd w:fill="CCEEFF" w:val="clear"/>
            <w:vAlign w:val="bottom"/>
          </w:tcPr>
          <w:p>
            <w:pPr>
              <w:pStyle w:val="TableContents"/>
              <w:spacing w:before="0" w:after="0"/>
              <w:ind w:left="0" w:right="0" w:hanging="0"/>
              <w:jc w:val="right"/>
              <w:rPr/>
            </w:pPr>
            <w:r>
              <w:rPr/>
              <w:t> </w:t>
            </w:r>
          </w:p>
        </w:tc>
        <w:tc>
          <w:tcPr>
            <w:tcW w:w="165" w:type="dxa"/>
            <w:tcBorders/>
            <w:shd w:fill="CCEEFF" w:val="clear"/>
            <w:vAlign w:val="bottom"/>
          </w:tcPr>
          <w:p>
            <w:pPr>
              <w:pStyle w:val="TableContents"/>
              <w:spacing w:before="0" w:after="0"/>
              <w:ind w:left="0" w:right="0" w:hanging="0"/>
              <w:rPr/>
            </w:pPr>
            <w:r>
              <w:rPr/>
              <w:t> </w:t>
            </w:r>
          </w:p>
        </w:tc>
        <w:tc>
          <w:tcPr>
            <w:tcW w:w="1080" w:type="dxa"/>
            <w:gridSpan w:val="2"/>
            <w:tcBorders/>
            <w:shd w:fill="CCEEFF" w:val="clear"/>
            <w:vAlign w:val="bottom"/>
          </w:tcPr>
          <w:p>
            <w:pPr>
              <w:pStyle w:val="TableContents"/>
              <w:spacing w:before="0" w:after="0"/>
              <w:ind w:left="0" w:right="0" w:hanging="0"/>
              <w:jc w:val="right"/>
              <w:rPr/>
            </w:pPr>
            <w:r>
              <w:rPr/>
              <w:t> </w:t>
            </w:r>
          </w:p>
        </w:tc>
        <w:tc>
          <w:tcPr>
            <w:tcW w:w="107" w:type="dxa"/>
            <w:tcBorders/>
            <w:shd w:fill="CCEEFF" w:val="clear"/>
            <w:vAlign w:val="bottom"/>
          </w:tcPr>
          <w:p>
            <w:pPr>
              <w:pStyle w:val="TableContents"/>
              <w:spacing w:before="0" w:after="0"/>
              <w:ind w:left="0" w:right="0" w:hanging="0"/>
              <w:rPr/>
            </w:pPr>
            <w:r>
              <w:rPr/>
              <w:t> </w:t>
            </w:r>
          </w:p>
        </w:tc>
      </w:tr>
      <w:tr>
        <w:trPr/>
        <w:tc>
          <w:tcPr>
            <w:tcW w:w="25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Balance, beginning of period</w:t>
            </w:r>
          </w:p>
        </w:tc>
        <w:tc>
          <w:tcPr>
            <w:tcW w:w="156"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364</w:t>
            </w:r>
          </w:p>
        </w:tc>
        <w:tc>
          <w:tcPr>
            <w:tcW w:w="16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308</w:t>
            </w:r>
          </w:p>
        </w:tc>
        <w:tc>
          <w:tcPr>
            <w:tcW w:w="16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w:t>
            </w:r>
          </w:p>
        </w:tc>
        <w:tc>
          <w:tcPr>
            <w:tcW w:w="16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285</w:t>
            </w:r>
          </w:p>
        </w:tc>
        <w:tc>
          <w:tcPr>
            <w:tcW w:w="107" w:type="dxa"/>
            <w:tcBorders/>
            <w:shd w:fill="auto" w:val="clear"/>
            <w:vAlign w:val="bottom"/>
          </w:tcPr>
          <w:p>
            <w:pPr>
              <w:pStyle w:val="TableContents"/>
              <w:spacing w:before="0" w:after="0"/>
              <w:ind w:left="0" w:right="0" w:hanging="0"/>
              <w:rPr/>
            </w:pPr>
            <w:r>
              <w:rPr/>
              <w:t> </w:t>
            </w:r>
          </w:p>
        </w:tc>
      </w:tr>
      <w:tr>
        <w:trPr/>
        <w:tc>
          <w:tcPr>
            <w:tcW w:w="257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Premiums collected</w:t>
            </w:r>
          </w:p>
        </w:tc>
        <w:tc>
          <w:tcPr>
            <w:tcW w:w="156" w:type="dxa"/>
            <w:tcBorders/>
            <w:shd w:fill="CCEEFF" w:val="clear"/>
            <w:vAlign w:val="bottom"/>
          </w:tcPr>
          <w:p>
            <w:pPr>
              <w:pStyle w:val="TableContents"/>
              <w:spacing w:before="0" w:after="0"/>
              <w:ind w:left="0" w:right="0" w:hanging="0"/>
              <w:rPr/>
            </w:pPr>
            <w:r>
              <w:rPr/>
              <w:t> </w:t>
            </w:r>
          </w:p>
        </w:tc>
        <w:tc>
          <w:tcPr>
            <w:tcW w:w="10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2,171</w:t>
            </w:r>
          </w:p>
        </w:tc>
        <w:tc>
          <w:tcPr>
            <w:tcW w:w="165" w:type="dxa"/>
            <w:tcBorders/>
            <w:shd w:fill="CCEEFF" w:val="clear"/>
            <w:vAlign w:val="bottom"/>
          </w:tcPr>
          <w:p>
            <w:pPr>
              <w:pStyle w:val="TableContents"/>
              <w:spacing w:before="0" w:after="0"/>
              <w:ind w:left="0" w:right="0" w:hanging="0"/>
              <w:rPr/>
            </w:pPr>
            <w:r>
              <w:rPr/>
              <w:t> </w:t>
            </w:r>
          </w:p>
        </w:tc>
        <w:tc>
          <w:tcPr>
            <w:tcW w:w="10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1,836</w:t>
            </w:r>
          </w:p>
        </w:tc>
        <w:tc>
          <w:tcPr>
            <w:tcW w:w="165" w:type="dxa"/>
            <w:tcBorders/>
            <w:shd w:fill="CCEEFF" w:val="clear"/>
            <w:vAlign w:val="bottom"/>
          </w:tcPr>
          <w:p>
            <w:pPr>
              <w:pStyle w:val="TableContents"/>
              <w:spacing w:before="0" w:after="0"/>
              <w:ind w:left="0" w:right="0" w:hanging="0"/>
              <w:rPr/>
            </w:pPr>
            <w:r>
              <w:rPr/>
              <w:t> </w:t>
            </w:r>
          </w:p>
        </w:tc>
        <w:tc>
          <w:tcPr>
            <w:tcW w:w="10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4,390</w:t>
            </w:r>
          </w:p>
        </w:tc>
        <w:tc>
          <w:tcPr>
            <w:tcW w:w="165" w:type="dxa"/>
            <w:tcBorders/>
            <w:shd w:fill="CCEEFF" w:val="clear"/>
            <w:vAlign w:val="bottom"/>
          </w:tcPr>
          <w:p>
            <w:pPr>
              <w:pStyle w:val="TableContents"/>
              <w:spacing w:before="0" w:after="0"/>
              <w:ind w:left="0" w:right="0" w:hanging="0"/>
              <w:rPr/>
            </w:pPr>
            <w:r>
              <w:rPr/>
              <w:t> </w:t>
            </w:r>
          </w:p>
        </w:tc>
        <w:tc>
          <w:tcPr>
            <w:tcW w:w="10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3,755</w:t>
            </w:r>
          </w:p>
        </w:tc>
        <w:tc>
          <w:tcPr>
            <w:tcW w:w="107" w:type="dxa"/>
            <w:tcBorders/>
            <w:shd w:fill="CCEEFF" w:val="clear"/>
            <w:vAlign w:val="bottom"/>
          </w:tcPr>
          <w:p>
            <w:pPr>
              <w:pStyle w:val="TableContents"/>
              <w:spacing w:before="0" w:after="0"/>
              <w:ind w:left="0" w:right="0" w:hanging="0"/>
              <w:rPr/>
            </w:pPr>
            <w:r>
              <w:rPr/>
              <w:t> </w:t>
            </w:r>
          </w:p>
        </w:tc>
      </w:tr>
      <w:tr>
        <w:trPr/>
        <w:tc>
          <w:tcPr>
            <w:tcW w:w="25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Premium revenue recognized</w:t>
            </w:r>
          </w:p>
        </w:tc>
        <w:tc>
          <w:tcPr>
            <w:tcW w:w="156" w:type="dxa"/>
            <w:tcBorders/>
            <w:shd w:fill="auto" w:val="clear"/>
            <w:vAlign w:val="bottom"/>
          </w:tcPr>
          <w:p>
            <w:pPr>
              <w:pStyle w:val="TableContents"/>
              <w:spacing w:before="0" w:after="0"/>
              <w:ind w:left="0" w:right="0" w:hanging="0"/>
              <w:rPr/>
            </w:pPr>
            <w:r>
              <w:rPr/>
              <w:t> </w:t>
            </w:r>
          </w:p>
        </w:tc>
        <w:tc>
          <w:tcPr>
            <w:tcW w:w="10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(2,191</w:t>
            </w:r>
          </w:p>
        </w:tc>
        <w:tc>
          <w:tcPr>
            <w:tcW w:w="1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(1,824</w:t>
            </w:r>
          </w:p>
        </w:tc>
        <w:tc>
          <w:tcPr>
            <w:tcW w:w="1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(4,376</w:t>
            </w:r>
          </w:p>
        </w:tc>
        <w:tc>
          <w:tcPr>
            <w:tcW w:w="1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(3,720</w:t>
            </w:r>
          </w:p>
        </w:tc>
        <w:tc>
          <w:tcPr>
            <w:tcW w:w="1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7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Balance, end of period</w:t>
            </w:r>
          </w:p>
        </w:tc>
        <w:tc>
          <w:tcPr>
            <w:tcW w:w="156" w:type="dxa"/>
            <w:tcBorders/>
            <w:shd w:fill="CCEEFF" w:val="clear"/>
            <w:vAlign w:val="bottom"/>
          </w:tcPr>
          <w:p>
            <w:pPr>
              <w:pStyle w:val="TableContents"/>
              <w:spacing w:before="0" w:after="0"/>
              <w:ind w:left="0" w:right="0" w:hanging="0"/>
              <w:rPr/>
            </w:pPr>
            <w:r>
              <w:rPr/>
              <w:t> </w:t>
            </w:r>
          </w:p>
        </w:tc>
        <w:tc>
          <w:tcPr>
            <w:tcW w:w="110"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344</w:t>
            </w:r>
          </w:p>
        </w:tc>
        <w:tc>
          <w:tcPr>
            <w:tcW w:w="165" w:type="dxa"/>
            <w:tcBorders/>
            <w:shd w:fill="CCEEFF" w:val="clear"/>
            <w:vAlign w:val="bottom"/>
          </w:tcPr>
          <w:p>
            <w:pPr>
              <w:pStyle w:val="TableContents"/>
              <w:spacing w:before="0" w:after="0"/>
              <w:ind w:left="0" w:right="0" w:hanging="0"/>
              <w:rPr/>
            </w:pPr>
            <w:r>
              <w:rPr/>
              <w:t> </w:t>
            </w:r>
          </w:p>
        </w:tc>
        <w:tc>
          <w:tcPr>
            <w:tcW w:w="110"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165" w:type="dxa"/>
            <w:tcBorders/>
            <w:shd w:fill="CCEEFF" w:val="clear"/>
            <w:vAlign w:val="bottom"/>
          </w:tcPr>
          <w:p>
            <w:pPr>
              <w:pStyle w:val="TableContents"/>
              <w:spacing w:before="0" w:after="0"/>
              <w:ind w:left="0" w:right="0" w:hanging="0"/>
              <w:rPr/>
            </w:pPr>
            <w:r>
              <w:rPr/>
              <w:t> </w:t>
            </w:r>
          </w:p>
        </w:tc>
        <w:tc>
          <w:tcPr>
            <w:tcW w:w="110"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344</w:t>
            </w:r>
          </w:p>
        </w:tc>
        <w:tc>
          <w:tcPr>
            <w:tcW w:w="165" w:type="dxa"/>
            <w:tcBorders/>
            <w:shd w:fill="CCEEFF" w:val="clear"/>
            <w:vAlign w:val="bottom"/>
          </w:tcPr>
          <w:p>
            <w:pPr>
              <w:pStyle w:val="TableContents"/>
              <w:spacing w:before="0" w:after="0"/>
              <w:ind w:left="0" w:right="0" w:hanging="0"/>
              <w:rPr/>
            </w:pPr>
            <w:r>
              <w:rPr/>
              <w:t> </w:t>
            </w:r>
          </w:p>
        </w:tc>
        <w:tc>
          <w:tcPr>
            <w:tcW w:w="110"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107"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17"/>
        </w:rPr>
      </w:pPr>
      <w:r>
        <w:rPr>
          <w:rFonts w:ascii="Times New Roman" w:hAnsi="Times New Roman"/>
          <w:b/>
          <w:sz w:val="17"/>
        </w:rPr>
        <w:t>Cost of Goods Sold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We recognize the cost of product sold concurrent with the recognition of revenue.  Occupancy costs for our retail locations are included in cost of goods sold.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Heading3"/>
        <w:spacing w:before="0" w:after="0"/>
        <w:ind w:left="0" w:right="0" w:hanging="0"/>
        <w:jc w:val="left"/>
        <w:rPr>
          <w:rFonts w:ascii="Times New Roman" w:hAnsi="Times New Roman"/>
          <w:b/>
          <w:sz w:val="17"/>
        </w:rPr>
      </w:pPr>
      <w:r>
        <w:rPr>
          <w:rFonts w:ascii="Times New Roman" w:hAnsi="Times New Roman"/>
          <w:b/>
          <w:sz w:val="17"/>
        </w:rPr>
        <w:t>Intangible Value Of Contractual Rights</w:t>
      </w:r>
    </w:p>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17"/>
        </w:rPr>
        <w:t>Our most significant asset is the Intangible Value of Contractual Rights which represents the value, when we emerged from bankruptcy in May 2001, of our lease agreement with Wal-Mart and the business relationship therein created</w:t>
      </w:r>
      <w:r>
        <w:rPr>
          <w:rFonts w:ascii="Times New Roman" w:hAnsi="Times New Roman"/>
          <w:sz w:val="20"/>
        </w:rPr>
        <w:t>.  The value ascribed was based upon estimated discounted cash flows and comprehended scheduled expirations of our leases in Wal-Mart as well as estimates of automatic lease extensions that occur upon conversion of Wal-Mart host stores to supercenter locations.  Based on those projections, our best estimate of the useful life of this asset was 15 years.  Due to the uncertainty involved in predicting the pattern of economic benefits realized from the Wal-Mart relationship we amortize this asset using the straight-line method.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Since May 31, 2001, actual lease expirations and supercenter conversions have not differed significantly from the assumptions in the financial projections used to establish the initial value of the Intangible Value of Contractual Rights at that date.  Nonetheless, the precise length of the assets life is still not known principally because we cannot precisely predict supercenter conversions.  Therefore, our best estimate of the remaining useful life of this asset is equal to the remaining amortization period of 10 years and 11 months.  We continually review our scheduled Wal-Mart lease expirations, projected supercenter conversions and related cash flows.  It is possible that at some time in the future, events and circumstances may indicate that a modification of the remaining useful life of and/or the method of amortizing this asset will be warranted.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Amortization expense on the Intangible Value of Contractual Rights was $1.9 million and $3.8 million in each of the three-month and six-month periods ended July 2, 2005 and July 3, 2004, respectively.  Future amortization expense is currently scheduled to be $7.5 million per year for each of the five succeeding years.</w:t>
      </w:r>
    </w:p>
    <w:p>
      <w:pPr>
        <w:pStyle w:val="TextBody"/>
        <w:spacing w:before="0" w:after="0"/>
        <w:ind w:left="0" w:right="0" w:hanging="0"/>
        <w:rPr/>
      </w:pPr>
      <w:r>
        <w:rPr/>
        <w:t> </w:t>
      </w:r>
    </w:p>
    <w:p>
      <w:pPr>
        <w:pStyle w:val="Heading3"/>
        <w:spacing w:before="0" w:after="0"/>
        <w:ind w:left="0" w:right="0" w:hanging="0"/>
        <w:jc w:val="left"/>
        <w:rPr>
          <w:rFonts w:ascii="Times New Roman" w:hAnsi="Times New Roman"/>
          <w:b/>
          <w:sz w:val="17"/>
        </w:rPr>
      </w:pPr>
      <w:r>
        <w:rPr>
          <w:rFonts w:ascii="Times New Roman" w:hAnsi="Times New Roman"/>
          <w:b/>
          <w:sz w:val="17"/>
        </w:rPr>
        <w:t>Impairment of Long-Lived Assets</w:t>
      </w:r>
    </w:p>
    <w:p>
      <w:pPr>
        <w:pStyle w:val="TextBody"/>
        <w:spacing w:before="0" w:after="0"/>
        <w:ind w:left="0" w:right="0" w:hanging="0"/>
        <w:rPr/>
      </w:pPr>
      <w:r>
        <w:rPr/>
        <w:t> </w:t>
      </w:r>
    </w:p>
    <w:p>
      <w:pPr>
        <w:pStyle w:val="TextBody"/>
        <w:spacing w:before="0" w:after="0"/>
        <w:ind w:left="0" w:right="0" w:hanging="0"/>
        <w:rPr>
          <w:rFonts w:ascii="Times New Roman" w:hAnsi="Times New Roman"/>
          <w:b w:val="false"/>
          <w:sz w:val="17"/>
        </w:rPr>
      </w:pPr>
      <w:r>
        <w:rPr>
          <w:rFonts w:ascii="Times New Roman" w:hAnsi="Times New Roman"/>
          <w:b w:val="false"/>
          <w:sz w:val="17"/>
        </w:rPr>
        <w:t>We assess impairment of long-lived assets whenever events or changes in circumstances indicate that their carrying value may not be recoverable.  Factors which could trigger an impairment review include (1) actual or anticipated operating losses at vision center locations; (2) a significant underperformance of vision center operations relative to expected historical or projected future operating results; (3) termination of individual leases prior to the expiration of their contractual term; (4) significantly fewer supercenter conversions than anticipated in 2001; (5) significant changes in the manner or use of our assets or the strategy for our overall retail optical business; (6) significant negative industry or economic trends; or (7) a permanent adverse change in cash flows generated by an operation.  If one or more of the above indicators of impairment exists, we determine if the carrying value of the respective long-lived assets may not be recoverable based on a projected undiscounted cash flow model.  If the projected cash flows are not in excess of the book value of the related asset, we measure the impairment based on a projected discounted cash flow model.</w:t>
      </w:r>
    </w:p>
    <w:p>
      <w:pPr>
        <w:pStyle w:val="TextBody"/>
        <w:spacing w:before="0" w:after="0"/>
        <w:ind w:left="0" w:right="0" w:hanging="0"/>
        <w:rPr/>
      </w:pPr>
      <w:r>
        <w:rPr/>
        <w:t> </w:t>
      </w:r>
    </w:p>
    <w:p>
      <w:pPr>
        <w:pStyle w:val="TextBody"/>
        <w:spacing w:before="0" w:after="0"/>
        <w:ind w:left="0" w:right="0" w:hanging="0"/>
        <w:rPr>
          <w:rFonts w:ascii="Times New Roman" w:hAnsi="Times New Roman"/>
          <w:b w:val="false"/>
          <w:sz w:val="17"/>
        </w:rPr>
      </w:pPr>
      <w:r>
        <w:rPr>
          <w:rFonts w:ascii="Times New Roman" w:hAnsi="Times New Roman"/>
          <w:b w:val="false"/>
          <w:sz w:val="17"/>
        </w:rPr>
        <w:t>We continually monitor our business for events or changes in circumstances that would indicate that the carrying value of our long-lived assets may not be recoverable.  In addition, each year when the following years budgets are prepared, we review the historical and projected operating results of each of our retail locations in order to assess whether such operating results are indicative of potential impairment.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tests for impairment of the Wal-Mart master license agreement involve developing new projections of the cash flows to be generated under the agreement and comparing this amount to the remaining carrying value of the Intangible Value of Contractual Rights.  We performed such a test in the third quarter of 2003 when the Company decided to close thirteen Wal-Mart vision centers prior to the expiration of their leases due to poor operating performance.  The test indicated that the sum of the undiscounted cash flows expected from our remaining Wal-Mart leases significantly exceeded the carrying value of the intangible asset.  Accordingly, no impairment loss was recorded.  Since the third quarter of 2003, we have not noted any other events or changes in circumstances pertaining to the Wal-Mart master license agreement that would warrant an impairment review.</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17"/>
        </w:rPr>
      </w:pPr>
      <w:r>
        <w:rPr>
          <w:rFonts w:ascii="Times New Roman" w:hAnsi="Times New Roman"/>
          <w:b/>
          <w:sz w:val="17"/>
        </w:rPr>
        <w:t>Income Taxes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Deferred income taxes are provided for the future tax benefits to be derived from the utilization of tax loss carry-forwards and the tax effect of items of income and expense that are recognized in different periods for financial and tax reporting purposes, such as depreciation and amortization, inventory basis differences and certain accrued expenses.  Deferred income taxes are computed using enacted tax rates in effect for the year in which the differences are expected to reverse.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A valuation allowance is recorded against any net deferred tax asset if it is more likely than not that we will not ultimately realize the benefit of the net deferred tax asset.  Due to uncertainties that existed during the first and second quarters of 2004, we provided a full valuation allowance for the net deferred tax asset.  At January 1, 2005, we reassessed our situation and based on our strong operating performance in 2004 and improved prospects for future profitability we were no longer able to</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conclude that it was more likely than not that we would not eventually realize the tax benefits of our net operating loss carry-forwards.  Accordingly, we reversed the valuation allowance effective as of January 1, 2005.</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17"/>
        </w:rPr>
      </w:pPr>
      <w:r>
        <w:rPr>
          <w:rFonts w:ascii="Times New Roman" w:hAnsi="Times New Roman"/>
          <w:b/>
          <w:sz w:val="17"/>
        </w:rPr>
        <w:t>Accounting for Stock Options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We apply the disclosure provisions of SFAS No. 123, Accounting for Stock-Based Compensation.  Stock option awards continue to be accounted for in accordance with APB Opinion No. 25.  The number of shares to be issued and the per share strike price are not subject to uncertainty and option prices approximate the fair value of the stock at date of grant; accordingly, our stock option grants qualify for fixed accounting treatment and we do not record compensation expense in connection with the granting of these stock options. (See Note 6 to the Condensed Consolidated Financial Statements.)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 xml:space="preserve">In December 2004, the Financial Accounting Standards Board (FASB) issued Statement No. 123(R), </w:t>
      </w:r>
      <w:r>
        <w:rPr>
          <w:rFonts w:ascii="Times New Roman" w:hAnsi="Times New Roman"/>
          <w:i/>
          <w:sz w:val="17"/>
        </w:rPr>
        <w:t>Share-Based Payments</w:t>
      </w:r>
      <w:r>
        <w:rPr>
          <w:rFonts w:ascii="Times New Roman" w:hAnsi="Times New Roman"/>
          <w:sz w:val="17"/>
        </w:rPr>
        <w:t>, which will require compensation costs related to share-based payment transactions to be recognized in the financial statements.  As permitted by the predecessor Statement No. 123, we do not recognize compensation expense with respect to stock options we have issued because the option price was no greater than the market price at the time the option was issued.  Statement 123(R) will be effective for us in our fiscal year beginning January 1, 2006.  We have not completed an evaluation of the impact of adopting Statement 123(R).</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17"/>
        </w:rPr>
      </w:pPr>
      <w:r>
        <w:rPr>
          <w:rFonts w:ascii="Times New Roman" w:hAnsi="Times New Roman"/>
          <w:b/>
          <w:sz w:val="17"/>
        </w:rPr>
        <w:t>Use of Estimates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The preparation of financial statements in accordance with accounting principles generally accepted in the United States of America requires that we make estimates and assumptions affecting the reported amounts of assets and liabilities and the disclosure of contingent assets and liabilities at the date of the financial statements and the reported amounts of revenues and expenses during the reporting periods.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On an ongoing basis, we evaluate our estimates and judgments, and incorporate any changes in such estimates and judgments into the accounting records underlying our consolidated financial statements.  We base our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17"/>
        </w:rPr>
      </w:pPr>
      <w:r>
        <w:rPr>
          <w:rFonts w:ascii="Times New Roman" w:hAnsi="Times New Roman"/>
          <w:b/>
          <w:sz w:val="17"/>
        </w:rPr>
        <w:t>(4) SENIOR SUBORDINATED NOTES AND REVOLVING LINE OF CREDIT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Interest on our Senior Subordinated Notes accrues at the rate of 12% per annum and is payable twice a year at the end of March and September.  Principal repayments are required semi-annually at the end of February and August based on excess cash flow (as defined) for the prior six-month periods ended June and December. The semi-annual principal repayments are limited to an amount that causes us to maintain a minimum pro forma consolidated cash balance of $3 million as of the measurement date.  Our consolidated cash balance at the most recent measurement date was $6,009,000, which limits our August 2005 principal repayment to $3,009,000.  The Senior Subordinated Notes mature on March 30, 2009 or earlier in the event of a change in control.</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p>
    <w:p>
      <w:pPr>
        <w:pStyle w:val="HorizontalLine"/>
        <w:pBdr>
          <w:bottom w:val="single" w:sz="12" w:space="0" w:color="808080"/>
        </w:pBdr>
        <w:spacing w:before="0" w:after="0"/>
        <w:rPr/>
      </w:pPr>
      <w:r>
        <w:rPr/>
      </w:r>
      <w:r>
        <w:br w:type="page"/>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On June 1, 2005, we made an optional partial redemption of our Senior Subordinated Notes in the amount of $5.2 million at par.  This redemption created an equal reduction in the amount of our mandatory redemption payment scheduled for August 31, 2005.  Had we not made this optional redemption, our August 31, 2005 mandatory redemptions would be approximately $8.2 million.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Our revolving credit facility with Bank of America (the Bank of America Facility) bears interest at the prime rate plus 0.75% per annum or at LIBOR plus 3.0%.  Any borrowings made under this facility are secured by substantially all of our assets.  The Bank of America Facility contains various restrictive covenants and requires us to maintain minimum levels of EBITDA (as defined) and a minimum fixed charge coverage ratio (as defined).  Prior to making the optional redemption described in the preceding paragraph, we entered into an amendment with Bank of America that excluded such redemption from the computation of certain financial covenants contained in the Bank of America Facility.  The Bank of America Facility also limits the amount of our capital expenditures.  We had no outstanding borrowings on the Bank of America Facility at July 2, 2005.  However, we had issued letters of credit under the facility aggregating $3.8 million.  Our availability under the Bank of America Facility at July 2, 2005, after reduction for the outstanding letters of credit, was approximately $2.7 million.</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sz w:val="17"/>
        </w:rPr>
      </w:pPr>
      <w:r>
        <w:rPr>
          <w:rFonts w:ascii="Times New Roman" w:hAnsi="Times New Roman"/>
          <w:b/>
          <w:sz w:val="17"/>
        </w:rPr>
        <w:t>(5) EARNINGS PER COMMON SHARE</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Basic earnings per common share are computed by dividing net income by the weighted average number of common shares outstanding during the period.  Diluted earnings per common share are computed as basic earnings per common share adjusted for the effect of all potential common stock equivalent shares.  The computations of basic and diluted earnings per common share (EPS) for the periods presented are summarized as follows (amounts in thousands except per share information):</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5242"/>
        <w:gridCol w:w="110"/>
        <w:gridCol w:w="111"/>
        <w:gridCol w:w="988"/>
        <w:gridCol w:w="110"/>
        <w:gridCol w:w="111"/>
        <w:gridCol w:w="991"/>
        <w:gridCol w:w="110"/>
        <w:gridCol w:w="111"/>
        <w:gridCol w:w="991"/>
        <w:gridCol w:w="110"/>
        <w:gridCol w:w="110"/>
        <w:gridCol w:w="991"/>
        <w:gridCol w:w="119"/>
      </w:tblGrid>
      <w:tr>
        <w:trPr/>
        <w:tc>
          <w:tcPr>
            <w:tcW w:w="5242" w:type="dxa"/>
            <w:tcBorders/>
            <w:shd w:fill="auto" w:val="clear"/>
            <w:vAlign w:val="bottom"/>
          </w:tcPr>
          <w:p>
            <w:pPr>
              <w:pStyle w:val="TableContents"/>
              <w:spacing w:before="0" w:after="0"/>
              <w:ind w:left="0" w:right="0" w:hanging="0"/>
              <w:jc w:val="center"/>
              <w:rPr/>
            </w:pPr>
            <w:r>
              <w:rPr/>
              <w:t> </w:t>
            </w:r>
          </w:p>
        </w:tc>
        <w:tc>
          <w:tcPr>
            <w:tcW w:w="110" w:type="dxa"/>
            <w:tcBorders/>
            <w:shd w:fill="auto" w:val="clear"/>
            <w:vAlign w:val="bottom"/>
          </w:tcPr>
          <w:p>
            <w:pPr>
              <w:pStyle w:val="TableContents"/>
              <w:spacing w:before="0" w:after="0"/>
              <w:ind w:left="0" w:right="0" w:hanging="0"/>
              <w:rPr/>
            </w:pPr>
            <w:r>
              <w:rPr/>
              <w:t> </w:t>
            </w:r>
          </w:p>
        </w:tc>
        <w:tc>
          <w:tcPr>
            <w:tcW w:w="231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10" w:type="dxa"/>
            <w:tcBorders/>
            <w:shd w:fill="auto" w:val="clear"/>
            <w:vAlign w:val="bottom"/>
          </w:tcPr>
          <w:p>
            <w:pPr>
              <w:pStyle w:val="TableContents"/>
              <w:spacing w:before="0" w:after="0"/>
              <w:ind w:left="0" w:right="0" w:hanging="0"/>
              <w:rPr/>
            </w:pPr>
            <w:r>
              <w:rPr/>
              <w:t> </w:t>
            </w:r>
          </w:p>
        </w:tc>
        <w:tc>
          <w:tcPr>
            <w:tcW w:w="231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19" w:type="dxa"/>
            <w:tcBorders/>
            <w:shd w:fill="auto" w:val="clear"/>
            <w:vAlign w:val="bottom"/>
          </w:tcPr>
          <w:p>
            <w:pPr>
              <w:pStyle w:val="TableContents"/>
              <w:spacing w:before="0" w:after="0"/>
              <w:ind w:left="0" w:right="0" w:hanging="0"/>
              <w:rPr/>
            </w:pPr>
            <w:r>
              <w:rPr/>
              <w:t> </w:t>
            </w:r>
          </w:p>
        </w:tc>
      </w:tr>
      <w:tr>
        <w:trPr/>
        <w:tc>
          <w:tcPr>
            <w:tcW w:w="5242" w:type="dxa"/>
            <w:tcBorders/>
            <w:shd w:fill="auto" w:val="clear"/>
            <w:vAlign w:val="bottom"/>
          </w:tcPr>
          <w:p>
            <w:pPr>
              <w:pStyle w:val="TableContents"/>
              <w:spacing w:before="0" w:after="0"/>
              <w:ind w:left="0" w:right="0" w:hanging="0"/>
              <w:jc w:val="center"/>
              <w:rPr/>
            </w:pPr>
            <w:r>
              <w:rPr/>
              <w:t> </w:t>
            </w:r>
          </w:p>
        </w:tc>
        <w:tc>
          <w:tcPr>
            <w:tcW w:w="110" w:type="dxa"/>
            <w:tcBorders/>
            <w:shd w:fill="auto" w:val="clear"/>
            <w:vAlign w:val="bottom"/>
          </w:tcPr>
          <w:p>
            <w:pPr>
              <w:pStyle w:val="TableContents"/>
              <w:spacing w:before="0" w:after="0"/>
              <w:ind w:left="0" w:right="0" w:hanging="0"/>
              <w:rPr/>
            </w:pPr>
            <w:r>
              <w:rPr/>
              <w:t> </w:t>
            </w:r>
          </w:p>
        </w:tc>
        <w:tc>
          <w:tcPr>
            <w:tcW w:w="109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2, 2005</w:t>
            </w:r>
          </w:p>
        </w:tc>
        <w:tc>
          <w:tcPr>
            <w:tcW w:w="110" w:type="dxa"/>
            <w:tcBorders>
              <w:top w:val="single" w:sz="8" w:space="0" w:color="000000"/>
            </w:tcBorders>
            <w:shd w:fill="auto" w:val="clear"/>
            <w:tcMar>
              <w:top w:w="28" w:type="dxa"/>
            </w:tcMar>
            <w:vAlign w:val="bottom"/>
          </w:tcPr>
          <w:p>
            <w:pPr>
              <w:pStyle w:val="TableContents"/>
              <w:spacing w:before="0" w:after="0"/>
              <w:ind w:left="0" w:right="0" w:hanging="0"/>
              <w:rPr/>
            </w:pPr>
            <w:r>
              <w:rPr/>
              <w:t> </w:t>
            </w:r>
          </w:p>
        </w:tc>
        <w:tc>
          <w:tcPr>
            <w:tcW w:w="110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3, 2004</w:t>
            </w:r>
          </w:p>
        </w:tc>
        <w:tc>
          <w:tcPr>
            <w:tcW w:w="110" w:type="dxa"/>
            <w:tcBorders/>
            <w:shd w:fill="auto" w:val="clear"/>
            <w:vAlign w:val="bottom"/>
          </w:tcPr>
          <w:p>
            <w:pPr>
              <w:pStyle w:val="TableContents"/>
              <w:spacing w:before="0" w:after="0"/>
              <w:ind w:left="0" w:right="0" w:hanging="0"/>
              <w:rPr/>
            </w:pPr>
            <w:r>
              <w:rPr/>
              <w:t> </w:t>
            </w:r>
          </w:p>
        </w:tc>
        <w:tc>
          <w:tcPr>
            <w:tcW w:w="110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2, 2005</w:t>
            </w:r>
          </w:p>
        </w:tc>
        <w:tc>
          <w:tcPr>
            <w:tcW w:w="110" w:type="dxa"/>
            <w:tcBorders>
              <w:top w:val="single" w:sz="8" w:space="0" w:color="000000"/>
            </w:tcBorders>
            <w:shd w:fill="auto" w:val="clear"/>
            <w:tcMar>
              <w:top w:w="28" w:type="dxa"/>
            </w:tcMar>
            <w:vAlign w:val="bottom"/>
          </w:tcPr>
          <w:p>
            <w:pPr>
              <w:pStyle w:val="TableContents"/>
              <w:spacing w:before="0" w:after="0"/>
              <w:ind w:left="0" w:right="0" w:hanging="0"/>
              <w:rPr/>
            </w:pPr>
            <w:r>
              <w:rPr/>
              <w:t> </w:t>
            </w:r>
          </w:p>
        </w:tc>
        <w:tc>
          <w:tcPr>
            <w:tcW w:w="110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3, 2004</w:t>
            </w:r>
          </w:p>
        </w:tc>
        <w:tc>
          <w:tcPr>
            <w:tcW w:w="119" w:type="dxa"/>
            <w:tcBorders/>
            <w:shd w:fill="auto" w:val="clear"/>
            <w:vAlign w:val="bottom"/>
          </w:tcPr>
          <w:p>
            <w:pPr>
              <w:pStyle w:val="TableContents"/>
              <w:spacing w:before="0" w:after="0"/>
              <w:ind w:left="0" w:right="0" w:hanging="0"/>
              <w:rPr/>
            </w:pPr>
            <w:r>
              <w:rPr/>
              <w:t> </w:t>
            </w:r>
          </w:p>
        </w:tc>
      </w:tr>
      <w:tr>
        <w:trPr/>
        <w:tc>
          <w:tcPr>
            <w:tcW w:w="5242" w:type="dxa"/>
            <w:tcBorders/>
            <w:shd w:fill="auto" w:val="clear"/>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pPr>
            <w:r>
              <w:rPr/>
              <w:t> </w:t>
            </w:r>
          </w:p>
        </w:tc>
        <w:tc>
          <w:tcPr>
            <w:tcW w:w="1099" w:type="dxa"/>
            <w:gridSpan w:val="2"/>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1102" w:type="dxa"/>
            <w:gridSpan w:val="2"/>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1102" w:type="dxa"/>
            <w:gridSpan w:val="2"/>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1101"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52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earnings before discontinued operations</w:t>
            </w:r>
          </w:p>
        </w:tc>
        <w:tc>
          <w:tcPr>
            <w:tcW w:w="110"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848</w:t>
            </w:r>
          </w:p>
        </w:tc>
        <w:tc>
          <w:tcPr>
            <w:tcW w:w="110"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3,824</w:t>
            </w:r>
          </w:p>
        </w:tc>
        <w:tc>
          <w:tcPr>
            <w:tcW w:w="110"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3,614</w:t>
            </w:r>
          </w:p>
        </w:tc>
        <w:tc>
          <w:tcPr>
            <w:tcW w:w="11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5,644</w:t>
            </w:r>
          </w:p>
        </w:tc>
        <w:tc>
          <w:tcPr>
            <w:tcW w:w="119" w:type="dxa"/>
            <w:tcBorders/>
            <w:shd w:fill="CCEEFF" w:val="clear"/>
            <w:vAlign w:val="bottom"/>
          </w:tcPr>
          <w:p>
            <w:pPr>
              <w:pStyle w:val="TableContents"/>
              <w:spacing w:before="0" w:after="0"/>
              <w:ind w:left="0" w:right="0" w:hanging="0"/>
              <w:rPr/>
            </w:pPr>
            <w:r>
              <w:rPr/>
              <w:t> </w:t>
            </w:r>
          </w:p>
        </w:tc>
      </w:tr>
      <w:tr>
        <w:trPr/>
        <w:tc>
          <w:tcPr>
            <w:tcW w:w="52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from discontinued operations</w:t>
            </w:r>
          </w:p>
        </w:tc>
        <w:tc>
          <w:tcPr>
            <w:tcW w:w="110" w:type="dxa"/>
            <w:tcBorders/>
            <w:shd w:fill="auto" w:val="clear"/>
            <w:vAlign w:val="bottom"/>
          </w:tcPr>
          <w:p>
            <w:pPr>
              <w:pStyle w:val="TableContents"/>
              <w:spacing w:before="0" w:after="0"/>
              <w:ind w:left="0" w:right="0" w:hanging="0"/>
              <w:rPr/>
            </w:pPr>
            <w:r>
              <w:rPr/>
              <w:t> </w:t>
            </w:r>
          </w:p>
        </w:tc>
        <w:tc>
          <w:tcPr>
            <w:tcW w:w="109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10" w:type="dxa"/>
            <w:tcBorders/>
            <w:shd w:fill="auto" w:val="clear"/>
            <w:vAlign w:val="bottom"/>
          </w:tcPr>
          <w:p>
            <w:pPr>
              <w:pStyle w:val="TableContents"/>
              <w:spacing w:before="0" w:after="0"/>
              <w:ind w:left="0" w:right="0" w:hanging="0"/>
              <w:rPr/>
            </w:pPr>
            <w:r>
              <w:rPr/>
              <w:t> </w:t>
            </w:r>
          </w:p>
        </w:tc>
        <w:tc>
          <w:tcPr>
            <w:tcW w:w="110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954</w:t>
            </w:r>
          </w:p>
        </w:tc>
        <w:tc>
          <w:tcPr>
            <w:tcW w:w="110" w:type="dxa"/>
            <w:tcBorders/>
            <w:shd w:fill="auto" w:val="clear"/>
            <w:vAlign w:val="bottom"/>
          </w:tcPr>
          <w:p>
            <w:pPr>
              <w:pStyle w:val="TableContents"/>
              <w:spacing w:before="0" w:after="0"/>
              <w:ind w:left="0" w:right="0" w:hanging="0"/>
              <w:rPr/>
            </w:pPr>
            <w:r>
              <w:rPr/>
              <w:t> </w:t>
            </w:r>
          </w:p>
        </w:tc>
        <w:tc>
          <w:tcPr>
            <w:tcW w:w="110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110" w:type="dxa"/>
            <w:tcBorders/>
            <w:shd w:fill="auto" w:val="clear"/>
            <w:vAlign w:val="bottom"/>
          </w:tcPr>
          <w:p>
            <w:pPr>
              <w:pStyle w:val="TableContents"/>
              <w:spacing w:before="0" w:after="0"/>
              <w:ind w:left="0" w:right="0" w:hanging="0"/>
              <w:rPr/>
            </w:pPr>
            <w:r>
              <w:rPr/>
              <w:t> </w:t>
            </w:r>
          </w:p>
        </w:tc>
        <w:tc>
          <w:tcPr>
            <w:tcW w:w="11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2,225</w:t>
            </w:r>
          </w:p>
        </w:tc>
        <w:tc>
          <w:tcPr>
            <w:tcW w:w="119" w:type="dxa"/>
            <w:tcBorders/>
            <w:shd w:fill="auto" w:val="clear"/>
            <w:vAlign w:val="bottom"/>
          </w:tcPr>
          <w:p>
            <w:pPr>
              <w:pStyle w:val="TableContents"/>
              <w:spacing w:before="0" w:after="0"/>
              <w:ind w:left="0" w:right="0" w:hanging="0"/>
              <w:rPr/>
            </w:pPr>
            <w:r>
              <w:rPr/>
              <w:t> </w:t>
            </w:r>
          </w:p>
        </w:tc>
      </w:tr>
      <w:tr>
        <w:trPr/>
        <w:tc>
          <w:tcPr>
            <w:tcW w:w="52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earnings</w:t>
            </w:r>
          </w:p>
        </w:tc>
        <w:tc>
          <w:tcPr>
            <w:tcW w:w="110" w:type="dxa"/>
            <w:tcBorders/>
            <w:shd w:fill="CCEEFF" w:val="clear"/>
            <w:vAlign w:val="bottom"/>
          </w:tcPr>
          <w:p>
            <w:pPr>
              <w:pStyle w:val="TableContents"/>
              <w:spacing w:before="0" w:after="0"/>
              <w:ind w:left="0" w:right="0" w:hanging="0"/>
              <w:rPr/>
            </w:pPr>
            <w:r>
              <w:rPr/>
              <w:t> </w:t>
            </w:r>
          </w:p>
        </w:tc>
        <w:tc>
          <w:tcPr>
            <w:tcW w:w="111"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864</w:t>
            </w:r>
          </w:p>
        </w:tc>
        <w:tc>
          <w:tcPr>
            <w:tcW w:w="110" w:type="dxa"/>
            <w:tcBorders/>
            <w:shd w:fill="CCEEFF" w:val="clear"/>
            <w:vAlign w:val="bottom"/>
          </w:tcPr>
          <w:p>
            <w:pPr>
              <w:pStyle w:val="TableContents"/>
              <w:spacing w:before="0" w:after="0"/>
              <w:ind w:left="0" w:right="0" w:hanging="0"/>
              <w:rPr/>
            </w:pPr>
            <w:r>
              <w:rPr/>
              <w:t> </w:t>
            </w:r>
          </w:p>
        </w:tc>
        <w:tc>
          <w:tcPr>
            <w:tcW w:w="111"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1"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4,778</w:t>
            </w:r>
          </w:p>
        </w:tc>
        <w:tc>
          <w:tcPr>
            <w:tcW w:w="110" w:type="dxa"/>
            <w:tcBorders/>
            <w:shd w:fill="CCEEFF" w:val="clear"/>
            <w:vAlign w:val="bottom"/>
          </w:tcPr>
          <w:p>
            <w:pPr>
              <w:pStyle w:val="TableContents"/>
              <w:spacing w:before="0" w:after="0"/>
              <w:ind w:left="0" w:right="0" w:hanging="0"/>
              <w:rPr/>
            </w:pPr>
            <w:r>
              <w:rPr/>
              <w:t> </w:t>
            </w:r>
          </w:p>
        </w:tc>
        <w:tc>
          <w:tcPr>
            <w:tcW w:w="111"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1"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3,693</w:t>
            </w:r>
          </w:p>
        </w:tc>
        <w:tc>
          <w:tcPr>
            <w:tcW w:w="110" w:type="dxa"/>
            <w:tcBorders/>
            <w:shd w:fill="CCEEFF" w:val="clear"/>
            <w:vAlign w:val="bottom"/>
          </w:tcPr>
          <w:p>
            <w:pPr>
              <w:pStyle w:val="TableContents"/>
              <w:spacing w:before="0" w:after="0"/>
              <w:ind w:left="0" w:right="0" w:hanging="0"/>
              <w:rPr/>
            </w:pPr>
            <w:r>
              <w:rPr/>
              <w:t> </w:t>
            </w:r>
          </w:p>
        </w:tc>
        <w:tc>
          <w:tcPr>
            <w:tcW w:w="110"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1"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7,869</w:t>
            </w:r>
          </w:p>
        </w:tc>
        <w:tc>
          <w:tcPr>
            <w:tcW w:w="119" w:type="dxa"/>
            <w:tcBorders/>
            <w:shd w:fill="CCEEFF" w:val="clear"/>
            <w:vAlign w:val="bottom"/>
          </w:tcPr>
          <w:p>
            <w:pPr>
              <w:pStyle w:val="TableContents"/>
              <w:spacing w:before="0" w:after="0"/>
              <w:ind w:left="0" w:right="0" w:hanging="0"/>
              <w:rPr/>
            </w:pPr>
            <w:r>
              <w:rPr/>
              <w:t> </w:t>
            </w:r>
          </w:p>
        </w:tc>
      </w:tr>
      <w:tr>
        <w:trPr/>
        <w:tc>
          <w:tcPr>
            <w:tcW w:w="5242" w:type="dxa"/>
            <w:tcBorders/>
            <w:shd w:fill="auto" w:val="clear"/>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pPr>
            <w:r>
              <w:rPr/>
              <w:t> </w:t>
            </w:r>
          </w:p>
        </w:tc>
        <w:tc>
          <w:tcPr>
            <w:tcW w:w="1099" w:type="dxa"/>
            <w:gridSpan w:val="2"/>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1102" w:type="dxa"/>
            <w:gridSpan w:val="2"/>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1102" w:type="dxa"/>
            <w:gridSpan w:val="2"/>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1101"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52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Weighted average shares outstanding for basic EPS</w:t>
            </w:r>
          </w:p>
        </w:tc>
        <w:tc>
          <w:tcPr>
            <w:tcW w:w="110" w:type="dxa"/>
            <w:tcBorders/>
            <w:shd w:fill="CCEEFF" w:val="clear"/>
            <w:vAlign w:val="bottom"/>
          </w:tcPr>
          <w:p>
            <w:pPr>
              <w:pStyle w:val="TableContents"/>
              <w:spacing w:before="0" w:after="0"/>
              <w:ind w:left="0" w:right="0" w:hanging="0"/>
              <w:rPr/>
            </w:pPr>
            <w:r>
              <w:rPr/>
              <w:t> </w:t>
            </w:r>
          </w:p>
        </w:tc>
        <w:tc>
          <w:tcPr>
            <w:tcW w:w="10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5,253</w:t>
            </w:r>
          </w:p>
        </w:tc>
        <w:tc>
          <w:tcPr>
            <w:tcW w:w="110" w:type="dxa"/>
            <w:tcBorders/>
            <w:shd w:fill="CCEEFF" w:val="clear"/>
            <w:vAlign w:val="bottom"/>
          </w:tcPr>
          <w:p>
            <w:pPr>
              <w:pStyle w:val="TableContents"/>
              <w:spacing w:before="0" w:after="0"/>
              <w:ind w:left="0" w:right="0" w:hanging="0"/>
              <w:rPr/>
            </w:pPr>
            <w:r>
              <w:rPr/>
              <w:t> </w:t>
            </w:r>
          </w:p>
        </w:tc>
        <w:tc>
          <w:tcPr>
            <w:tcW w:w="11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5,078</w:t>
            </w:r>
          </w:p>
        </w:tc>
        <w:tc>
          <w:tcPr>
            <w:tcW w:w="110" w:type="dxa"/>
            <w:tcBorders/>
            <w:shd w:fill="CCEEFF" w:val="clear"/>
            <w:vAlign w:val="bottom"/>
          </w:tcPr>
          <w:p>
            <w:pPr>
              <w:pStyle w:val="TableContents"/>
              <w:spacing w:before="0" w:after="0"/>
              <w:ind w:left="0" w:right="0" w:hanging="0"/>
              <w:rPr/>
            </w:pPr>
            <w:r>
              <w:rPr/>
              <w:t> </w:t>
            </w:r>
          </w:p>
        </w:tc>
        <w:tc>
          <w:tcPr>
            <w:tcW w:w="11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5,216</w:t>
            </w:r>
          </w:p>
        </w:tc>
        <w:tc>
          <w:tcPr>
            <w:tcW w:w="110" w:type="dxa"/>
            <w:tcBorders/>
            <w:shd w:fill="CCEEFF" w:val="clear"/>
            <w:vAlign w:val="bottom"/>
          </w:tcPr>
          <w:p>
            <w:pPr>
              <w:pStyle w:val="TableContents"/>
              <w:spacing w:before="0" w:after="0"/>
              <w:ind w:left="0" w:right="0" w:hanging="0"/>
              <w:rPr/>
            </w:pPr>
            <w:r>
              <w:rPr/>
              <w:t> </w:t>
            </w:r>
          </w:p>
        </w:tc>
        <w:tc>
          <w:tcPr>
            <w:tcW w:w="11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5,060</w:t>
            </w:r>
          </w:p>
        </w:tc>
        <w:tc>
          <w:tcPr>
            <w:tcW w:w="119" w:type="dxa"/>
            <w:tcBorders/>
            <w:shd w:fill="CCEEFF" w:val="clear"/>
            <w:vAlign w:val="bottom"/>
          </w:tcPr>
          <w:p>
            <w:pPr>
              <w:pStyle w:val="TableContents"/>
              <w:spacing w:before="0" w:after="0"/>
              <w:ind w:left="0" w:right="0" w:hanging="0"/>
              <w:rPr/>
            </w:pPr>
            <w:r>
              <w:rPr/>
              <w:t> </w:t>
            </w:r>
          </w:p>
        </w:tc>
      </w:tr>
      <w:tr>
        <w:trPr/>
        <w:tc>
          <w:tcPr>
            <w:tcW w:w="52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effect of dilutive stock options and restricted stock awards</w:t>
            </w:r>
          </w:p>
        </w:tc>
        <w:tc>
          <w:tcPr>
            <w:tcW w:w="110" w:type="dxa"/>
            <w:tcBorders/>
            <w:shd w:fill="auto" w:val="clear"/>
            <w:vAlign w:val="bottom"/>
          </w:tcPr>
          <w:p>
            <w:pPr>
              <w:pStyle w:val="TableContents"/>
              <w:spacing w:before="0" w:after="0"/>
              <w:ind w:left="0" w:right="0" w:hanging="0"/>
              <w:rPr/>
            </w:pPr>
            <w:r>
              <w:rPr/>
              <w:t> </w:t>
            </w:r>
          </w:p>
        </w:tc>
        <w:tc>
          <w:tcPr>
            <w:tcW w:w="109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359</w:t>
            </w:r>
          </w:p>
        </w:tc>
        <w:tc>
          <w:tcPr>
            <w:tcW w:w="110" w:type="dxa"/>
            <w:tcBorders/>
            <w:shd w:fill="auto" w:val="clear"/>
            <w:vAlign w:val="bottom"/>
          </w:tcPr>
          <w:p>
            <w:pPr>
              <w:pStyle w:val="TableContents"/>
              <w:spacing w:before="0" w:after="0"/>
              <w:ind w:left="0" w:right="0" w:hanging="0"/>
              <w:rPr/>
            </w:pPr>
            <w:r>
              <w:rPr/>
              <w:t> </w:t>
            </w:r>
          </w:p>
        </w:tc>
        <w:tc>
          <w:tcPr>
            <w:tcW w:w="110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479</w:t>
            </w:r>
          </w:p>
        </w:tc>
        <w:tc>
          <w:tcPr>
            <w:tcW w:w="110" w:type="dxa"/>
            <w:tcBorders/>
            <w:shd w:fill="auto" w:val="clear"/>
            <w:vAlign w:val="bottom"/>
          </w:tcPr>
          <w:p>
            <w:pPr>
              <w:pStyle w:val="TableContents"/>
              <w:spacing w:before="0" w:after="0"/>
              <w:ind w:left="0" w:right="0" w:hanging="0"/>
              <w:rPr/>
            </w:pPr>
            <w:r>
              <w:rPr/>
              <w:t> </w:t>
            </w:r>
          </w:p>
        </w:tc>
        <w:tc>
          <w:tcPr>
            <w:tcW w:w="110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381</w:t>
            </w:r>
          </w:p>
        </w:tc>
        <w:tc>
          <w:tcPr>
            <w:tcW w:w="110" w:type="dxa"/>
            <w:tcBorders/>
            <w:shd w:fill="auto" w:val="clear"/>
            <w:vAlign w:val="bottom"/>
          </w:tcPr>
          <w:p>
            <w:pPr>
              <w:pStyle w:val="TableContents"/>
              <w:spacing w:before="0" w:after="0"/>
              <w:ind w:left="0" w:right="0" w:hanging="0"/>
              <w:rPr/>
            </w:pPr>
            <w:r>
              <w:rPr/>
              <w:t> </w:t>
            </w:r>
          </w:p>
        </w:tc>
        <w:tc>
          <w:tcPr>
            <w:tcW w:w="11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486</w:t>
            </w:r>
          </w:p>
        </w:tc>
        <w:tc>
          <w:tcPr>
            <w:tcW w:w="119" w:type="dxa"/>
            <w:tcBorders/>
            <w:shd w:fill="auto" w:val="clear"/>
            <w:vAlign w:val="bottom"/>
          </w:tcPr>
          <w:p>
            <w:pPr>
              <w:pStyle w:val="TableContents"/>
              <w:spacing w:before="0" w:after="0"/>
              <w:ind w:left="0" w:right="0" w:hanging="0"/>
              <w:rPr/>
            </w:pPr>
            <w:r>
              <w:rPr/>
              <w:t> </w:t>
            </w:r>
          </w:p>
        </w:tc>
      </w:tr>
      <w:tr>
        <w:trPr/>
        <w:tc>
          <w:tcPr>
            <w:tcW w:w="52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Weighted average shares outstanding for diluted EPS</w:t>
            </w:r>
          </w:p>
        </w:tc>
        <w:tc>
          <w:tcPr>
            <w:tcW w:w="110" w:type="dxa"/>
            <w:tcBorders/>
            <w:shd w:fill="CCEEFF" w:val="clear"/>
            <w:vAlign w:val="bottom"/>
          </w:tcPr>
          <w:p>
            <w:pPr>
              <w:pStyle w:val="TableContents"/>
              <w:spacing w:before="0" w:after="0"/>
              <w:ind w:left="0" w:right="0" w:hanging="0"/>
              <w:rPr/>
            </w:pPr>
            <w:r>
              <w:rPr/>
              <w:t> </w:t>
            </w:r>
          </w:p>
        </w:tc>
        <w:tc>
          <w:tcPr>
            <w:tcW w:w="1099" w:type="dxa"/>
            <w:gridSpan w:val="2"/>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5,612</w:t>
            </w:r>
          </w:p>
        </w:tc>
        <w:tc>
          <w:tcPr>
            <w:tcW w:w="110" w:type="dxa"/>
            <w:tcBorders/>
            <w:shd w:fill="CCEEFF" w:val="clear"/>
            <w:vAlign w:val="bottom"/>
          </w:tcPr>
          <w:p>
            <w:pPr>
              <w:pStyle w:val="TableContents"/>
              <w:spacing w:before="0" w:after="0"/>
              <w:ind w:left="0" w:right="0" w:hanging="0"/>
              <w:rPr/>
            </w:pPr>
            <w:r>
              <w:rPr/>
              <w:t> </w:t>
            </w:r>
          </w:p>
        </w:tc>
        <w:tc>
          <w:tcPr>
            <w:tcW w:w="1102" w:type="dxa"/>
            <w:gridSpan w:val="2"/>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5,557</w:t>
            </w:r>
          </w:p>
        </w:tc>
        <w:tc>
          <w:tcPr>
            <w:tcW w:w="110" w:type="dxa"/>
            <w:tcBorders/>
            <w:shd w:fill="CCEEFF" w:val="clear"/>
            <w:vAlign w:val="bottom"/>
          </w:tcPr>
          <w:p>
            <w:pPr>
              <w:pStyle w:val="TableContents"/>
              <w:spacing w:before="0" w:after="0"/>
              <w:ind w:left="0" w:right="0" w:hanging="0"/>
              <w:rPr/>
            </w:pPr>
            <w:r>
              <w:rPr/>
              <w:t> </w:t>
            </w:r>
          </w:p>
        </w:tc>
        <w:tc>
          <w:tcPr>
            <w:tcW w:w="1102" w:type="dxa"/>
            <w:gridSpan w:val="2"/>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5,597</w:t>
            </w:r>
          </w:p>
        </w:tc>
        <w:tc>
          <w:tcPr>
            <w:tcW w:w="110" w:type="dxa"/>
            <w:tcBorders/>
            <w:shd w:fill="CCEEFF" w:val="clear"/>
            <w:vAlign w:val="bottom"/>
          </w:tcPr>
          <w:p>
            <w:pPr>
              <w:pStyle w:val="TableContents"/>
              <w:spacing w:before="0" w:after="0"/>
              <w:ind w:left="0" w:right="0" w:hanging="0"/>
              <w:rPr/>
            </w:pPr>
            <w:r>
              <w:rPr/>
              <w:t> </w:t>
            </w:r>
          </w:p>
        </w:tc>
        <w:tc>
          <w:tcPr>
            <w:tcW w:w="1101" w:type="dxa"/>
            <w:gridSpan w:val="2"/>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5,546</w:t>
            </w:r>
          </w:p>
        </w:tc>
        <w:tc>
          <w:tcPr>
            <w:tcW w:w="119" w:type="dxa"/>
            <w:tcBorders/>
            <w:shd w:fill="CCEEFF" w:val="clear"/>
            <w:vAlign w:val="bottom"/>
          </w:tcPr>
          <w:p>
            <w:pPr>
              <w:pStyle w:val="TableContents"/>
              <w:spacing w:before="0" w:after="0"/>
              <w:ind w:left="0" w:right="0" w:hanging="0"/>
              <w:rPr/>
            </w:pPr>
            <w:r>
              <w:rPr/>
              <w:t> </w:t>
            </w:r>
          </w:p>
        </w:tc>
      </w:tr>
      <w:tr>
        <w:trPr/>
        <w:tc>
          <w:tcPr>
            <w:tcW w:w="5242" w:type="dxa"/>
            <w:tcBorders/>
            <w:shd w:fill="auto" w:val="clear"/>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pPr>
            <w:r>
              <w:rPr/>
              <w:t> </w:t>
            </w:r>
          </w:p>
        </w:tc>
        <w:tc>
          <w:tcPr>
            <w:tcW w:w="1099" w:type="dxa"/>
            <w:gridSpan w:val="2"/>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1102" w:type="dxa"/>
            <w:gridSpan w:val="2"/>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1102" w:type="dxa"/>
            <w:gridSpan w:val="2"/>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1101"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52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earnings per basic share:</w:t>
            </w:r>
          </w:p>
        </w:tc>
        <w:tc>
          <w:tcPr>
            <w:tcW w:w="110" w:type="dxa"/>
            <w:tcBorders/>
            <w:shd w:fill="CCEEFF" w:val="clear"/>
            <w:vAlign w:val="bottom"/>
          </w:tcPr>
          <w:p>
            <w:pPr>
              <w:pStyle w:val="TableContents"/>
              <w:spacing w:before="0" w:after="0"/>
              <w:ind w:left="0" w:right="0" w:hanging="0"/>
              <w:rPr/>
            </w:pPr>
            <w:r>
              <w:rPr/>
              <w:t> </w:t>
            </w:r>
          </w:p>
        </w:tc>
        <w:tc>
          <w:tcPr>
            <w:tcW w:w="1099" w:type="dxa"/>
            <w:gridSpan w:val="2"/>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1102" w:type="dxa"/>
            <w:gridSpan w:val="2"/>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1102" w:type="dxa"/>
            <w:gridSpan w:val="2"/>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1101"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52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discontinued operations</w:t>
            </w:r>
          </w:p>
        </w:tc>
        <w:tc>
          <w:tcPr>
            <w:tcW w:w="110"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0.16</w:t>
            </w:r>
          </w:p>
        </w:tc>
        <w:tc>
          <w:tcPr>
            <w:tcW w:w="110"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0.75</w:t>
            </w:r>
          </w:p>
        </w:tc>
        <w:tc>
          <w:tcPr>
            <w:tcW w:w="110"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0.69</w:t>
            </w:r>
          </w:p>
        </w:tc>
        <w:tc>
          <w:tcPr>
            <w:tcW w:w="11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119" w:type="dxa"/>
            <w:tcBorders/>
            <w:shd w:fill="auto" w:val="clear"/>
            <w:vAlign w:val="bottom"/>
          </w:tcPr>
          <w:p>
            <w:pPr>
              <w:pStyle w:val="TableContents"/>
              <w:spacing w:before="0" w:after="0"/>
              <w:ind w:left="0" w:right="0" w:hanging="0"/>
              <w:rPr/>
            </w:pPr>
            <w:r>
              <w:rPr/>
              <w:t> </w:t>
            </w:r>
          </w:p>
        </w:tc>
      </w:tr>
      <w:tr>
        <w:trPr/>
        <w:tc>
          <w:tcPr>
            <w:tcW w:w="52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Earnings from discontinued operations</w:t>
            </w:r>
          </w:p>
        </w:tc>
        <w:tc>
          <w:tcPr>
            <w:tcW w:w="110" w:type="dxa"/>
            <w:tcBorders/>
            <w:shd w:fill="CCEEFF" w:val="clear"/>
            <w:vAlign w:val="bottom"/>
          </w:tcPr>
          <w:p>
            <w:pPr>
              <w:pStyle w:val="TableContents"/>
              <w:spacing w:before="0" w:after="0"/>
              <w:ind w:left="0" w:right="0" w:hanging="0"/>
              <w:rPr/>
            </w:pPr>
            <w:r>
              <w:rPr/>
              <w:t> </w:t>
            </w:r>
          </w:p>
        </w:tc>
        <w:tc>
          <w:tcPr>
            <w:tcW w:w="10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0" w:type="dxa"/>
            <w:tcBorders/>
            <w:shd w:fill="CCEEFF" w:val="clear"/>
            <w:vAlign w:val="bottom"/>
          </w:tcPr>
          <w:p>
            <w:pPr>
              <w:pStyle w:val="TableContents"/>
              <w:spacing w:before="0" w:after="0"/>
              <w:ind w:left="0" w:right="0" w:hanging="0"/>
              <w:rPr/>
            </w:pPr>
            <w:r>
              <w:rPr/>
              <w:t> </w:t>
            </w:r>
          </w:p>
        </w:tc>
        <w:tc>
          <w:tcPr>
            <w:tcW w:w="11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0.19</w:t>
            </w:r>
          </w:p>
        </w:tc>
        <w:tc>
          <w:tcPr>
            <w:tcW w:w="110" w:type="dxa"/>
            <w:tcBorders/>
            <w:shd w:fill="CCEEFF" w:val="clear"/>
            <w:vAlign w:val="bottom"/>
          </w:tcPr>
          <w:p>
            <w:pPr>
              <w:pStyle w:val="TableContents"/>
              <w:spacing w:before="0" w:after="0"/>
              <w:ind w:left="0" w:right="0" w:hanging="0"/>
              <w:rPr/>
            </w:pPr>
            <w:r>
              <w:rPr/>
              <w:t> </w:t>
            </w:r>
          </w:p>
        </w:tc>
        <w:tc>
          <w:tcPr>
            <w:tcW w:w="11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0.02</w:t>
            </w:r>
          </w:p>
        </w:tc>
        <w:tc>
          <w:tcPr>
            <w:tcW w:w="110" w:type="dxa"/>
            <w:tcBorders/>
            <w:shd w:fill="CCEEFF" w:val="clear"/>
            <w:vAlign w:val="bottom"/>
          </w:tcPr>
          <w:p>
            <w:pPr>
              <w:pStyle w:val="TableContents"/>
              <w:spacing w:before="0" w:after="0"/>
              <w:ind w:left="0" w:right="0" w:hanging="0"/>
              <w:rPr/>
            </w:pPr>
            <w:r>
              <w:rPr/>
              <w:t> </w:t>
            </w:r>
          </w:p>
        </w:tc>
        <w:tc>
          <w:tcPr>
            <w:tcW w:w="11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0.44</w:t>
            </w:r>
          </w:p>
        </w:tc>
        <w:tc>
          <w:tcPr>
            <w:tcW w:w="119" w:type="dxa"/>
            <w:tcBorders/>
            <w:shd w:fill="CCEEFF" w:val="clear"/>
            <w:vAlign w:val="bottom"/>
          </w:tcPr>
          <w:p>
            <w:pPr>
              <w:pStyle w:val="TableContents"/>
              <w:spacing w:before="0" w:after="0"/>
              <w:ind w:left="0" w:right="0" w:hanging="0"/>
              <w:rPr/>
            </w:pPr>
            <w:r>
              <w:rPr/>
              <w:t> </w:t>
            </w:r>
          </w:p>
        </w:tc>
      </w:tr>
      <w:tr>
        <w:trPr/>
        <w:tc>
          <w:tcPr>
            <w:tcW w:w="52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earnings per basic share</w:t>
            </w:r>
          </w:p>
        </w:tc>
        <w:tc>
          <w:tcPr>
            <w:tcW w:w="110" w:type="dxa"/>
            <w:tcBorders/>
            <w:shd w:fill="auto" w:val="clear"/>
            <w:vAlign w:val="bottom"/>
          </w:tcPr>
          <w:p>
            <w:pPr>
              <w:pStyle w:val="TableContents"/>
              <w:spacing w:before="0" w:after="0"/>
              <w:ind w:left="0" w:right="0" w:hanging="0"/>
              <w:rPr/>
            </w:pPr>
            <w:r>
              <w:rPr/>
              <w:t> </w:t>
            </w:r>
          </w:p>
        </w:tc>
        <w:tc>
          <w:tcPr>
            <w:tcW w:w="111"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0.16</w:t>
            </w:r>
          </w:p>
        </w:tc>
        <w:tc>
          <w:tcPr>
            <w:tcW w:w="110" w:type="dxa"/>
            <w:tcBorders/>
            <w:shd w:fill="auto" w:val="clear"/>
            <w:vAlign w:val="bottom"/>
          </w:tcPr>
          <w:p>
            <w:pPr>
              <w:pStyle w:val="TableContents"/>
              <w:spacing w:before="0" w:after="0"/>
              <w:ind w:left="0" w:right="0" w:hanging="0"/>
              <w:rPr/>
            </w:pPr>
            <w:r>
              <w:rPr/>
              <w:t> </w:t>
            </w:r>
          </w:p>
        </w:tc>
        <w:tc>
          <w:tcPr>
            <w:tcW w:w="111"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1"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0.94</w:t>
            </w:r>
          </w:p>
        </w:tc>
        <w:tc>
          <w:tcPr>
            <w:tcW w:w="110" w:type="dxa"/>
            <w:tcBorders/>
            <w:shd w:fill="auto" w:val="clear"/>
            <w:vAlign w:val="bottom"/>
          </w:tcPr>
          <w:p>
            <w:pPr>
              <w:pStyle w:val="TableContents"/>
              <w:spacing w:before="0" w:after="0"/>
              <w:ind w:left="0" w:right="0" w:hanging="0"/>
              <w:rPr/>
            </w:pPr>
            <w:r>
              <w:rPr/>
              <w:t> </w:t>
            </w:r>
          </w:p>
        </w:tc>
        <w:tc>
          <w:tcPr>
            <w:tcW w:w="111"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1"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0.71</w:t>
            </w:r>
          </w:p>
        </w:tc>
        <w:tc>
          <w:tcPr>
            <w:tcW w:w="110" w:type="dxa"/>
            <w:tcBorders/>
            <w:shd w:fill="auto" w:val="clear"/>
            <w:vAlign w:val="bottom"/>
          </w:tcPr>
          <w:p>
            <w:pPr>
              <w:pStyle w:val="TableContents"/>
              <w:spacing w:before="0" w:after="0"/>
              <w:ind w:left="0" w:right="0" w:hanging="0"/>
              <w:rPr/>
            </w:pPr>
            <w:r>
              <w:rPr/>
              <w:t> </w:t>
            </w:r>
          </w:p>
        </w:tc>
        <w:tc>
          <w:tcPr>
            <w:tcW w:w="110"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1"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119" w:type="dxa"/>
            <w:tcBorders/>
            <w:shd w:fill="auto" w:val="clear"/>
            <w:vAlign w:val="bottom"/>
          </w:tcPr>
          <w:p>
            <w:pPr>
              <w:pStyle w:val="TableContents"/>
              <w:spacing w:before="0" w:after="0"/>
              <w:ind w:left="0" w:right="0" w:hanging="0"/>
              <w:rPr/>
            </w:pPr>
            <w:r>
              <w:rPr/>
              <w:t> </w:t>
            </w:r>
          </w:p>
        </w:tc>
      </w:tr>
      <w:tr>
        <w:trPr/>
        <w:tc>
          <w:tcPr>
            <w:tcW w:w="5242" w:type="dxa"/>
            <w:tcBorders/>
            <w:shd w:fill="CCEEFF" w:val="clear"/>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pPr>
            <w:r>
              <w:rPr/>
              <w:t> </w:t>
            </w:r>
          </w:p>
        </w:tc>
        <w:tc>
          <w:tcPr>
            <w:tcW w:w="1099" w:type="dxa"/>
            <w:gridSpan w:val="2"/>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1102" w:type="dxa"/>
            <w:gridSpan w:val="2"/>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1102" w:type="dxa"/>
            <w:gridSpan w:val="2"/>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1101"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52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earnings per diluted share:</w:t>
            </w:r>
          </w:p>
        </w:tc>
        <w:tc>
          <w:tcPr>
            <w:tcW w:w="110" w:type="dxa"/>
            <w:tcBorders/>
            <w:shd w:fill="auto" w:val="clear"/>
            <w:vAlign w:val="bottom"/>
          </w:tcPr>
          <w:p>
            <w:pPr>
              <w:pStyle w:val="TableContents"/>
              <w:spacing w:before="0" w:after="0"/>
              <w:ind w:left="0" w:right="0" w:hanging="0"/>
              <w:rPr/>
            </w:pPr>
            <w:r>
              <w:rPr/>
              <w:t> </w:t>
            </w:r>
          </w:p>
        </w:tc>
        <w:tc>
          <w:tcPr>
            <w:tcW w:w="1099" w:type="dxa"/>
            <w:gridSpan w:val="2"/>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1102" w:type="dxa"/>
            <w:gridSpan w:val="2"/>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1102" w:type="dxa"/>
            <w:gridSpan w:val="2"/>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1101"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52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Earnings before discontinued operations</w:t>
            </w:r>
          </w:p>
        </w:tc>
        <w:tc>
          <w:tcPr>
            <w:tcW w:w="110"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0.15</w:t>
            </w:r>
          </w:p>
        </w:tc>
        <w:tc>
          <w:tcPr>
            <w:tcW w:w="110"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0.69</w:t>
            </w:r>
          </w:p>
        </w:tc>
        <w:tc>
          <w:tcPr>
            <w:tcW w:w="110"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0.65</w:t>
            </w:r>
          </w:p>
        </w:tc>
        <w:tc>
          <w:tcPr>
            <w:tcW w:w="11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119" w:type="dxa"/>
            <w:tcBorders/>
            <w:shd w:fill="CCEEFF" w:val="clear"/>
            <w:vAlign w:val="bottom"/>
          </w:tcPr>
          <w:p>
            <w:pPr>
              <w:pStyle w:val="TableContents"/>
              <w:spacing w:before="0" w:after="0"/>
              <w:ind w:left="0" w:right="0" w:hanging="0"/>
              <w:rPr/>
            </w:pPr>
            <w:r>
              <w:rPr/>
              <w:t> </w:t>
            </w:r>
          </w:p>
        </w:tc>
      </w:tr>
      <w:tr>
        <w:trPr/>
        <w:tc>
          <w:tcPr>
            <w:tcW w:w="52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from discontinued operations</w:t>
            </w:r>
          </w:p>
        </w:tc>
        <w:tc>
          <w:tcPr>
            <w:tcW w:w="110" w:type="dxa"/>
            <w:tcBorders/>
            <w:shd w:fill="auto" w:val="clear"/>
            <w:vAlign w:val="bottom"/>
          </w:tcPr>
          <w:p>
            <w:pPr>
              <w:pStyle w:val="TableContents"/>
              <w:spacing w:before="0" w:after="0"/>
              <w:ind w:left="0" w:right="0" w:hanging="0"/>
              <w:rPr/>
            </w:pPr>
            <w:r>
              <w:rPr/>
              <w:t> </w:t>
            </w:r>
          </w:p>
        </w:tc>
        <w:tc>
          <w:tcPr>
            <w:tcW w:w="109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0" w:type="dxa"/>
            <w:tcBorders/>
            <w:shd w:fill="auto" w:val="clear"/>
            <w:vAlign w:val="bottom"/>
          </w:tcPr>
          <w:p>
            <w:pPr>
              <w:pStyle w:val="TableContents"/>
              <w:spacing w:before="0" w:after="0"/>
              <w:ind w:left="0" w:right="0" w:hanging="0"/>
              <w:rPr/>
            </w:pPr>
            <w:r>
              <w:rPr/>
              <w:t> </w:t>
            </w:r>
          </w:p>
        </w:tc>
        <w:tc>
          <w:tcPr>
            <w:tcW w:w="110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0.17</w:t>
            </w:r>
          </w:p>
        </w:tc>
        <w:tc>
          <w:tcPr>
            <w:tcW w:w="110" w:type="dxa"/>
            <w:tcBorders/>
            <w:shd w:fill="auto" w:val="clear"/>
            <w:vAlign w:val="bottom"/>
          </w:tcPr>
          <w:p>
            <w:pPr>
              <w:pStyle w:val="TableContents"/>
              <w:spacing w:before="0" w:after="0"/>
              <w:ind w:left="0" w:right="0" w:hanging="0"/>
              <w:rPr/>
            </w:pPr>
            <w:r>
              <w:rPr/>
              <w:t> </w:t>
            </w:r>
          </w:p>
        </w:tc>
        <w:tc>
          <w:tcPr>
            <w:tcW w:w="110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0.01</w:t>
            </w:r>
          </w:p>
        </w:tc>
        <w:tc>
          <w:tcPr>
            <w:tcW w:w="110" w:type="dxa"/>
            <w:tcBorders/>
            <w:shd w:fill="auto" w:val="clear"/>
            <w:vAlign w:val="bottom"/>
          </w:tcPr>
          <w:p>
            <w:pPr>
              <w:pStyle w:val="TableContents"/>
              <w:spacing w:before="0" w:after="0"/>
              <w:ind w:left="0" w:right="0" w:hanging="0"/>
              <w:rPr/>
            </w:pPr>
            <w:r>
              <w:rPr/>
              <w:t> </w:t>
            </w:r>
          </w:p>
        </w:tc>
        <w:tc>
          <w:tcPr>
            <w:tcW w:w="11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0.40</w:t>
            </w:r>
          </w:p>
        </w:tc>
        <w:tc>
          <w:tcPr>
            <w:tcW w:w="119" w:type="dxa"/>
            <w:tcBorders/>
            <w:shd w:fill="auto" w:val="clear"/>
            <w:vAlign w:val="bottom"/>
          </w:tcPr>
          <w:p>
            <w:pPr>
              <w:pStyle w:val="TableContents"/>
              <w:spacing w:before="0" w:after="0"/>
              <w:ind w:left="0" w:right="0" w:hanging="0"/>
              <w:rPr/>
            </w:pPr>
            <w:r>
              <w:rPr/>
              <w:t> </w:t>
            </w:r>
          </w:p>
        </w:tc>
      </w:tr>
      <w:tr>
        <w:trPr/>
        <w:tc>
          <w:tcPr>
            <w:tcW w:w="52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earnings per diluted share</w:t>
            </w:r>
          </w:p>
        </w:tc>
        <w:tc>
          <w:tcPr>
            <w:tcW w:w="110" w:type="dxa"/>
            <w:tcBorders/>
            <w:shd w:fill="CCEEFF" w:val="clear"/>
            <w:vAlign w:val="bottom"/>
          </w:tcPr>
          <w:p>
            <w:pPr>
              <w:pStyle w:val="TableContents"/>
              <w:spacing w:before="0" w:after="0"/>
              <w:ind w:left="0" w:right="0" w:hanging="0"/>
              <w:rPr/>
            </w:pPr>
            <w:r>
              <w:rPr/>
              <w:t> </w:t>
            </w:r>
          </w:p>
        </w:tc>
        <w:tc>
          <w:tcPr>
            <w:tcW w:w="111"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0.15</w:t>
            </w:r>
          </w:p>
        </w:tc>
        <w:tc>
          <w:tcPr>
            <w:tcW w:w="110" w:type="dxa"/>
            <w:tcBorders/>
            <w:shd w:fill="CCEEFF" w:val="clear"/>
            <w:vAlign w:val="bottom"/>
          </w:tcPr>
          <w:p>
            <w:pPr>
              <w:pStyle w:val="TableContents"/>
              <w:spacing w:before="0" w:after="0"/>
              <w:ind w:left="0" w:right="0" w:hanging="0"/>
              <w:rPr/>
            </w:pPr>
            <w:r>
              <w:rPr/>
              <w:t> </w:t>
            </w:r>
          </w:p>
        </w:tc>
        <w:tc>
          <w:tcPr>
            <w:tcW w:w="111"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1"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0.86</w:t>
            </w:r>
          </w:p>
        </w:tc>
        <w:tc>
          <w:tcPr>
            <w:tcW w:w="110" w:type="dxa"/>
            <w:tcBorders/>
            <w:shd w:fill="CCEEFF" w:val="clear"/>
            <w:vAlign w:val="bottom"/>
          </w:tcPr>
          <w:p>
            <w:pPr>
              <w:pStyle w:val="TableContents"/>
              <w:spacing w:before="0" w:after="0"/>
              <w:ind w:left="0" w:right="0" w:hanging="0"/>
              <w:rPr/>
            </w:pPr>
            <w:r>
              <w:rPr/>
              <w:t> </w:t>
            </w:r>
          </w:p>
        </w:tc>
        <w:tc>
          <w:tcPr>
            <w:tcW w:w="111"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1"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0.66</w:t>
            </w:r>
          </w:p>
        </w:tc>
        <w:tc>
          <w:tcPr>
            <w:tcW w:w="110" w:type="dxa"/>
            <w:tcBorders/>
            <w:shd w:fill="CCEEFF" w:val="clear"/>
            <w:vAlign w:val="bottom"/>
          </w:tcPr>
          <w:p>
            <w:pPr>
              <w:pStyle w:val="TableContents"/>
              <w:spacing w:before="0" w:after="0"/>
              <w:ind w:left="0" w:right="0" w:hanging="0"/>
              <w:rPr/>
            </w:pPr>
            <w:r>
              <w:rPr/>
              <w:t> </w:t>
            </w:r>
          </w:p>
        </w:tc>
        <w:tc>
          <w:tcPr>
            <w:tcW w:w="110"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1"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19"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the three and six-month period ended July 3, 2004, approximately 72,000 stock options were excluded from the computation of diluted earnings per share due to their antidilutive effect.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p>
    <w:p>
      <w:pPr>
        <w:pStyle w:val="HorizontalLine"/>
        <w:pBdr>
          <w:bottom w:val="single" w:sz="12"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(6) ACCOUNTING FOR STOCK OPTIONS</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Had compensation cost for the employee and non-employee director stock options been determined based on the fair value at the grant date under the provisions of SFAS No. 123, our net earnings and earnings per share would have been reduced to the pro forma amounts indicated below (amounts in thousands):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440"/>
        <w:gridCol w:w="109"/>
        <w:gridCol w:w="110"/>
        <w:gridCol w:w="1192"/>
        <w:gridCol w:w="109"/>
        <w:gridCol w:w="110"/>
        <w:gridCol w:w="1194"/>
        <w:gridCol w:w="109"/>
        <w:gridCol w:w="110"/>
        <w:gridCol w:w="1193"/>
        <w:gridCol w:w="109"/>
        <w:gridCol w:w="110"/>
        <w:gridCol w:w="1194"/>
        <w:gridCol w:w="116"/>
      </w:tblGrid>
      <w:tr>
        <w:trPr/>
        <w:tc>
          <w:tcPr>
            <w:tcW w:w="4440" w:type="dxa"/>
            <w:tcBorders/>
            <w:shd w:fill="auto" w:val="clear"/>
            <w:vAlign w:val="bottom"/>
          </w:tcPr>
          <w:p>
            <w:pPr>
              <w:pStyle w:val="TableContents"/>
              <w:spacing w:before="0" w:after="0"/>
              <w:ind w:left="0" w:right="0" w:hanging="0"/>
              <w:jc w:val="center"/>
              <w:rPr/>
            </w:pPr>
            <w:r>
              <w:rPr/>
              <w:t> </w:t>
            </w:r>
          </w:p>
        </w:tc>
        <w:tc>
          <w:tcPr>
            <w:tcW w:w="109" w:type="dxa"/>
            <w:tcBorders/>
            <w:shd w:fill="auto" w:val="clear"/>
            <w:vAlign w:val="bottom"/>
          </w:tcPr>
          <w:p>
            <w:pPr>
              <w:pStyle w:val="TableContents"/>
              <w:spacing w:before="0" w:after="0"/>
              <w:ind w:left="0" w:right="0" w:hanging="0"/>
              <w:rPr/>
            </w:pPr>
            <w:r>
              <w:rPr/>
              <w:t> </w:t>
            </w:r>
          </w:p>
        </w:tc>
        <w:tc>
          <w:tcPr>
            <w:tcW w:w="271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09" w:type="dxa"/>
            <w:tcBorders/>
            <w:shd w:fill="auto" w:val="clear"/>
            <w:vAlign w:val="bottom"/>
          </w:tcPr>
          <w:p>
            <w:pPr>
              <w:pStyle w:val="TableContents"/>
              <w:spacing w:before="0" w:after="0"/>
              <w:ind w:left="0" w:right="0" w:hanging="0"/>
              <w:rPr/>
            </w:pPr>
            <w:r>
              <w:rPr/>
              <w:t> </w:t>
            </w:r>
          </w:p>
        </w:tc>
        <w:tc>
          <w:tcPr>
            <w:tcW w:w="271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16" w:type="dxa"/>
            <w:tcBorders/>
            <w:shd w:fill="auto" w:val="clear"/>
            <w:vAlign w:val="bottom"/>
          </w:tcPr>
          <w:p>
            <w:pPr>
              <w:pStyle w:val="TableContents"/>
              <w:spacing w:before="0" w:after="0"/>
              <w:ind w:left="0" w:right="0" w:hanging="0"/>
              <w:rPr/>
            </w:pPr>
            <w:r>
              <w:rPr/>
              <w:t> </w:t>
            </w:r>
          </w:p>
        </w:tc>
      </w:tr>
      <w:tr>
        <w:trPr/>
        <w:tc>
          <w:tcPr>
            <w:tcW w:w="4440" w:type="dxa"/>
            <w:tcBorders/>
            <w:shd w:fill="auto" w:val="clear"/>
            <w:vAlign w:val="bottom"/>
          </w:tcPr>
          <w:p>
            <w:pPr>
              <w:pStyle w:val="TableContents"/>
              <w:spacing w:before="0" w:after="0"/>
              <w:ind w:left="0" w:right="0" w:hanging="0"/>
              <w:jc w:val="center"/>
              <w:rPr/>
            </w:pPr>
            <w:r>
              <w:rPr/>
              <w:t> </w:t>
            </w:r>
          </w:p>
        </w:tc>
        <w:tc>
          <w:tcPr>
            <w:tcW w:w="109" w:type="dxa"/>
            <w:tcBorders/>
            <w:shd w:fill="auto" w:val="clear"/>
            <w:vAlign w:val="bottom"/>
          </w:tcPr>
          <w:p>
            <w:pPr>
              <w:pStyle w:val="TableContents"/>
              <w:spacing w:before="0" w:after="0"/>
              <w:ind w:left="0" w:right="0" w:hanging="0"/>
              <w:rPr/>
            </w:pPr>
            <w:r>
              <w:rPr/>
              <w:t> </w:t>
            </w:r>
          </w:p>
        </w:tc>
        <w:tc>
          <w:tcPr>
            <w:tcW w:w="130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2, 2005</w:t>
            </w:r>
          </w:p>
        </w:tc>
        <w:tc>
          <w:tcPr>
            <w:tcW w:w="109" w:type="dxa"/>
            <w:tcBorders>
              <w:top w:val="single" w:sz="8" w:space="0" w:color="000000"/>
            </w:tcBorders>
            <w:shd w:fill="auto" w:val="clear"/>
            <w:tcMar>
              <w:top w:w="28" w:type="dxa"/>
            </w:tcMar>
            <w:vAlign w:val="bottom"/>
          </w:tcPr>
          <w:p>
            <w:pPr>
              <w:pStyle w:val="TableContents"/>
              <w:spacing w:before="0" w:after="0"/>
              <w:ind w:left="0" w:right="0" w:hanging="0"/>
              <w:rPr/>
            </w:pPr>
            <w:r>
              <w:rPr/>
              <w:t> </w:t>
            </w:r>
          </w:p>
        </w:tc>
        <w:tc>
          <w:tcPr>
            <w:tcW w:w="130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3, 2004</w:t>
            </w:r>
          </w:p>
        </w:tc>
        <w:tc>
          <w:tcPr>
            <w:tcW w:w="109" w:type="dxa"/>
            <w:tcBorders/>
            <w:shd w:fill="auto" w:val="clear"/>
            <w:vAlign w:val="bottom"/>
          </w:tcPr>
          <w:p>
            <w:pPr>
              <w:pStyle w:val="TableContents"/>
              <w:spacing w:before="0" w:after="0"/>
              <w:ind w:left="0" w:right="0" w:hanging="0"/>
              <w:rPr/>
            </w:pPr>
            <w:r>
              <w:rPr/>
              <w:t> </w:t>
            </w:r>
          </w:p>
        </w:tc>
        <w:tc>
          <w:tcPr>
            <w:tcW w:w="130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2, 2005</w:t>
            </w:r>
          </w:p>
        </w:tc>
        <w:tc>
          <w:tcPr>
            <w:tcW w:w="109" w:type="dxa"/>
            <w:tcBorders>
              <w:top w:val="single" w:sz="8" w:space="0" w:color="000000"/>
            </w:tcBorders>
            <w:shd w:fill="auto" w:val="clear"/>
            <w:tcMar>
              <w:top w:w="28" w:type="dxa"/>
            </w:tcMar>
            <w:vAlign w:val="bottom"/>
          </w:tcPr>
          <w:p>
            <w:pPr>
              <w:pStyle w:val="TableContents"/>
              <w:spacing w:before="0" w:after="0"/>
              <w:ind w:left="0" w:right="0" w:hanging="0"/>
              <w:rPr/>
            </w:pPr>
            <w:r>
              <w:rPr/>
              <w:t> </w:t>
            </w:r>
          </w:p>
        </w:tc>
        <w:tc>
          <w:tcPr>
            <w:tcW w:w="130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3, 2004</w:t>
            </w:r>
          </w:p>
        </w:tc>
        <w:tc>
          <w:tcPr>
            <w:tcW w:w="116" w:type="dxa"/>
            <w:tcBorders/>
            <w:shd w:fill="auto" w:val="clear"/>
            <w:vAlign w:val="bottom"/>
          </w:tcPr>
          <w:p>
            <w:pPr>
              <w:pStyle w:val="TableContents"/>
              <w:spacing w:before="0" w:after="0"/>
              <w:ind w:left="0" w:right="0" w:hanging="0"/>
              <w:rPr/>
            </w:pPr>
            <w:r>
              <w:rPr/>
              <w:t> </w:t>
            </w:r>
          </w:p>
        </w:tc>
      </w:tr>
      <w:tr>
        <w:trPr/>
        <w:tc>
          <w:tcPr>
            <w:tcW w:w="4440" w:type="dxa"/>
            <w:tcBorders/>
            <w:shd w:fill="auto" w:val="clear"/>
          </w:tcPr>
          <w:p>
            <w:pPr>
              <w:pStyle w:val="TableContents"/>
              <w:spacing w:before="0" w:after="0"/>
              <w:ind w:left="0" w:right="0" w:hanging="0"/>
              <w:rPr/>
            </w:pPr>
            <w:r>
              <w:rPr/>
              <w:t> </w:t>
            </w:r>
          </w:p>
        </w:tc>
        <w:tc>
          <w:tcPr>
            <w:tcW w:w="109" w:type="dxa"/>
            <w:tcBorders/>
            <w:shd w:fill="auto" w:val="clear"/>
            <w:vAlign w:val="bottom"/>
          </w:tcPr>
          <w:p>
            <w:pPr>
              <w:pStyle w:val="TableContents"/>
              <w:spacing w:before="0" w:after="0"/>
              <w:ind w:left="0" w:right="0" w:hanging="0"/>
              <w:rPr/>
            </w:pPr>
            <w:r>
              <w:rPr/>
              <w:t> </w:t>
            </w:r>
          </w:p>
        </w:tc>
        <w:tc>
          <w:tcPr>
            <w:tcW w:w="1302" w:type="dxa"/>
            <w:gridSpan w:val="2"/>
            <w:tcBorders/>
            <w:shd w:fill="auto" w:val="clear"/>
            <w:vAlign w:val="bottom"/>
          </w:tcPr>
          <w:p>
            <w:pPr>
              <w:pStyle w:val="TableContents"/>
              <w:spacing w:before="0" w:after="0"/>
              <w:ind w:left="0" w:right="0" w:hanging="0"/>
              <w:jc w:val="right"/>
              <w:rPr/>
            </w:pPr>
            <w:r>
              <w:rPr/>
              <w:t> </w:t>
            </w:r>
          </w:p>
        </w:tc>
        <w:tc>
          <w:tcPr>
            <w:tcW w:w="109"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0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pPr>
            <w:r>
              <w:rPr/>
              <w:t> </w:t>
            </w:r>
          </w:p>
        </w:tc>
        <w:tc>
          <w:tcPr>
            <w:tcW w:w="109"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16" w:type="dxa"/>
            <w:tcBorders/>
            <w:shd w:fill="auto" w:val="clear"/>
            <w:vAlign w:val="bottom"/>
          </w:tcPr>
          <w:p>
            <w:pPr>
              <w:pStyle w:val="TableContents"/>
              <w:spacing w:before="0" w:after="0"/>
              <w:ind w:left="0" w:right="0" w:hanging="0"/>
              <w:rPr/>
            </w:pPr>
            <w:r>
              <w:rPr/>
              <w:t> </w:t>
            </w:r>
          </w:p>
        </w:tc>
      </w:tr>
      <w:tr>
        <w:trPr/>
        <w:tc>
          <w:tcPr>
            <w:tcW w:w="444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As reported:</w:t>
            </w:r>
          </w:p>
        </w:tc>
        <w:tc>
          <w:tcPr>
            <w:tcW w:w="109" w:type="dxa"/>
            <w:tcBorders/>
            <w:shd w:fill="CCEEFF" w:val="clear"/>
            <w:vAlign w:val="bottom"/>
          </w:tcPr>
          <w:p>
            <w:pPr>
              <w:pStyle w:val="TableContents"/>
              <w:spacing w:before="0" w:after="0"/>
              <w:ind w:left="0" w:right="0" w:hanging="0"/>
              <w:rPr/>
            </w:pPr>
            <w:r>
              <w:rPr/>
              <w:t> </w:t>
            </w:r>
          </w:p>
        </w:tc>
        <w:tc>
          <w:tcPr>
            <w:tcW w:w="1302" w:type="dxa"/>
            <w:gridSpan w:val="2"/>
            <w:tcBorders/>
            <w:shd w:fill="CCEEFF" w:val="clear"/>
            <w:vAlign w:val="bottom"/>
          </w:tcPr>
          <w:p>
            <w:pPr>
              <w:pStyle w:val="TableContents"/>
              <w:spacing w:before="0" w:after="0"/>
              <w:ind w:left="0" w:right="0" w:hanging="0"/>
              <w:jc w:val="right"/>
              <w:rPr/>
            </w:pPr>
            <w:r>
              <w:rPr/>
              <w:t> </w:t>
            </w:r>
          </w:p>
        </w:tc>
        <w:tc>
          <w:tcPr>
            <w:tcW w:w="109"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0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pPr>
            <w:r>
              <w:rPr/>
              <w:t> </w:t>
            </w:r>
          </w:p>
        </w:tc>
        <w:tc>
          <w:tcPr>
            <w:tcW w:w="109"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16" w:type="dxa"/>
            <w:tcBorders/>
            <w:shd w:fill="CCEEFF" w:val="clear"/>
            <w:vAlign w:val="bottom"/>
          </w:tcPr>
          <w:p>
            <w:pPr>
              <w:pStyle w:val="TableContents"/>
              <w:spacing w:before="0" w:after="0"/>
              <w:ind w:left="0" w:right="0" w:hanging="0"/>
              <w:rPr/>
            </w:pPr>
            <w:r>
              <w:rPr/>
              <w:t> </w:t>
            </w:r>
          </w:p>
        </w:tc>
      </w:tr>
      <w:tr>
        <w:trPr/>
        <w:tc>
          <w:tcPr>
            <w:tcW w:w="44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earnings</w:t>
            </w:r>
          </w:p>
        </w:tc>
        <w:tc>
          <w:tcPr>
            <w:tcW w:w="109"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864</w:t>
            </w:r>
          </w:p>
        </w:tc>
        <w:tc>
          <w:tcPr>
            <w:tcW w:w="109"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4,778</w:t>
            </w:r>
          </w:p>
        </w:tc>
        <w:tc>
          <w:tcPr>
            <w:tcW w:w="109"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3,693</w:t>
            </w:r>
          </w:p>
        </w:tc>
        <w:tc>
          <w:tcPr>
            <w:tcW w:w="109"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7,869</w:t>
            </w:r>
          </w:p>
        </w:tc>
        <w:tc>
          <w:tcPr>
            <w:tcW w:w="116" w:type="dxa"/>
            <w:tcBorders/>
            <w:shd w:fill="auto" w:val="clear"/>
            <w:vAlign w:val="bottom"/>
          </w:tcPr>
          <w:p>
            <w:pPr>
              <w:pStyle w:val="TableContents"/>
              <w:spacing w:before="0" w:after="0"/>
              <w:ind w:left="0" w:right="0" w:hanging="0"/>
              <w:rPr/>
            </w:pPr>
            <w:r>
              <w:rPr/>
              <w:t> </w:t>
            </w:r>
          </w:p>
        </w:tc>
      </w:tr>
      <w:tr>
        <w:trPr/>
        <w:tc>
          <w:tcPr>
            <w:tcW w:w="444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Pro forma compensation expense</w:t>
            </w:r>
          </w:p>
        </w:tc>
        <w:tc>
          <w:tcPr>
            <w:tcW w:w="109" w:type="dxa"/>
            <w:tcBorders/>
            <w:shd w:fill="CCEEFF" w:val="clear"/>
            <w:vAlign w:val="bottom"/>
          </w:tcPr>
          <w:p>
            <w:pPr>
              <w:pStyle w:val="TableContents"/>
              <w:spacing w:before="0" w:after="0"/>
              <w:ind w:left="0" w:right="0" w:hanging="0"/>
              <w:rPr/>
            </w:pPr>
            <w:r>
              <w:rPr/>
              <w:t> </w:t>
            </w:r>
          </w:p>
        </w:tc>
        <w:tc>
          <w:tcPr>
            <w:tcW w:w="13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1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4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Pro forma net earnings</w:t>
            </w:r>
          </w:p>
        </w:tc>
        <w:tc>
          <w:tcPr>
            <w:tcW w:w="109" w:type="dxa"/>
            <w:tcBorders/>
            <w:shd w:fill="auto" w:val="clear"/>
            <w:vAlign w:val="bottom"/>
          </w:tcPr>
          <w:p>
            <w:pPr>
              <w:pStyle w:val="TableContents"/>
              <w:spacing w:before="0" w:after="0"/>
              <w:ind w:left="0" w:right="0" w:hanging="0"/>
              <w:rPr/>
            </w:pPr>
            <w:r>
              <w:rPr/>
              <w:t> </w:t>
            </w:r>
          </w:p>
        </w:tc>
        <w:tc>
          <w:tcPr>
            <w:tcW w:w="110"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2"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832</w:t>
            </w:r>
          </w:p>
        </w:tc>
        <w:tc>
          <w:tcPr>
            <w:tcW w:w="109" w:type="dxa"/>
            <w:tcBorders/>
            <w:shd w:fill="auto" w:val="clear"/>
            <w:vAlign w:val="bottom"/>
          </w:tcPr>
          <w:p>
            <w:pPr>
              <w:pStyle w:val="TableContents"/>
              <w:spacing w:before="0" w:after="0"/>
              <w:ind w:left="0" w:right="0" w:hanging="0"/>
              <w:rPr/>
            </w:pPr>
            <w:r>
              <w:rPr/>
              <w:t> </w:t>
            </w:r>
          </w:p>
        </w:tc>
        <w:tc>
          <w:tcPr>
            <w:tcW w:w="110"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4"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4,748</w:t>
            </w:r>
          </w:p>
        </w:tc>
        <w:tc>
          <w:tcPr>
            <w:tcW w:w="109" w:type="dxa"/>
            <w:tcBorders/>
            <w:shd w:fill="auto" w:val="clear"/>
            <w:vAlign w:val="bottom"/>
          </w:tcPr>
          <w:p>
            <w:pPr>
              <w:pStyle w:val="TableContents"/>
              <w:spacing w:before="0" w:after="0"/>
              <w:ind w:left="0" w:right="0" w:hanging="0"/>
              <w:rPr/>
            </w:pPr>
            <w:r>
              <w:rPr/>
              <w:t> </w:t>
            </w:r>
          </w:p>
        </w:tc>
        <w:tc>
          <w:tcPr>
            <w:tcW w:w="110"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3"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3,621</w:t>
            </w:r>
          </w:p>
        </w:tc>
        <w:tc>
          <w:tcPr>
            <w:tcW w:w="109" w:type="dxa"/>
            <w:tcBorders/>
            <w:shd w:fill="auto" w:val="clear"/>
            <w:vAlign w:val="bottom"/>
          </w:tcPr>
          <w:p>
            <w:pPr>
              <w:pStyle w:val="TableContents"/>
              <w:spacing w:before="0" w:after="0"/>
              <w:ind w:left="0" w:right="0" w:hanging="0"/>
              <w:rPr/>
            </w:pPr>
            <w:r>
              <w:rPr/>
              <w:t> </w:t>
            </w:r>
          </w:p>
        </w:tc>
        <w:tc>
          <w:tcPr>
            <w:tcW w:w="110"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4"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7,817</w:t>
            </w:r>
          </w:p>
        </w:tc>
        <w:tc>
          <w:tcPr>
            <w:tcW w:w="116" w:type="dxa"/>
            <w:tcBorders/>
            <w:shd w:fill="auto" w:val="clear"/>
            <w:vAlign w:val="bottom"/>
          </w:tcPr>
          <w:p>
            <w:pPr>
              <w:pStyle w:val="TableContents"/>
              <w:spacing w:before="0" w:after="0"/>
              <w:ind w:left="0" w:right="0" w:hanging="0"/>
              <w:rPr/>
            </w:pPr>
            <w:r>
              <w:rPr/>
              <w:t> </w:t>
            </w:r>
          </w:p>
        </w:tc>
      </w:tr>
      <w:tr>
        <w:trPr/>
        <w:tc>
          <w:tcPr>
            <w:tcW w:w="4440" w:type="dxa"/>
            <w:tcBorders/>
            <w:shd w:fill="CCEEFF" w:val="clear"/>
          </w:tcPr>
          <w:p>
            <w:pPr>
              <w:pStyle w:val="TableContents"/>
              <w:spacing w:before="0" w:after="0"/>
              <w:ind w:left="0" w:right="0" w:hanging="0"/>
              <w:rPr/>
            </w:pPr>
            <w:r>
              <w:rPr/>
              <w:t> </w:t>
            </w:r>
          </w:p>
        </w:tc>
        <w:tc>
          <w:tcPr>
            <w:tcW w:w="109" w:type="dxa"/>
            <w:tcBorders/>
            <w:shd w:fill="CCEEFF" w:val="clear"/>
            <w:vAlign w:val="bottom"/>
          </w:tcPr>
          <w:p>
            <w:pPr>
              <w:pStyle w:val="TableContents"/>
              <w:spacing w:before="0" w:after="0"/>
              <w:ind w:left="0" w:right="0" w:hanging="0"/>
              <w:rPr/>
            </w:pPr>
            <w:r>
              <w:rPr/>
              <w:t> </w:t>
            </w:r>
          </w:p>
        </w:tc>
        <w:tc>
          <w:tcPr>
            <w:tcW w:w="1302" w:type="dxa"/>
            <w:gridSpan w:val="2"/>
            <w:tcBorders/>
            <w:shd w:fill="CCEEFF" w:val="clear"/>
            <w:vAlign w:val="bottom"/>
          </w:tcPr>
          <w:p>
            <w:pPr>
              <w:pStyle w:val="TableContents"/>
              <w:spacing w:before="0" w:after="0"/>
              <w:ind w:left="0" w:right="0" w:hanging="0"/>
              <w:jc w:val="right"/>
              <w:rPr/>
            </w:pPr>
            <w:r>
              <w:rPr/>
              <w:t> </w:t>
            </w:r>
          </w:p>
        </w:tc>
        <w:tc>
          <w:tcPr>
            <w:tcW w:w="109"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0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pPr>
            <w:r>
              <w:rPr/>
              <w:t> </w:t>
            </w:r>
          </w:p>
        </w:tc>
        <w:tc>
          <w:tcPr>
            <w:tcW w:w="109"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16" w:type="dxa"/>
            <w:tcBorders/>
            <w:shd w:fill="CCEEFF" w:val="clear"/>
            <w:vAlign w:val="bottom"/>
          </w:tcPr>
          <w:p>
            <w:pPr>
              <w:pStyle w:val="TableContents"/>
              <w:spacing w:before="0" w:after="0"/>
              <w:ind w:left="0" w:right="0" w:hanging="0"/>
              <w:rPr/>
            </w:pPr>
            <w:r>
              <w:rPr/>
              <w:t> </w:t>
            </w:r>
          </w:p>
        </w:tc>
      </w:tr>
      <w:tr>
        <w:trPr/>
        <w:tc>
          <w:tcPr>
            <w:tcW w:w="44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Basic net earnings per share as reported:</w:t>
            </w:r>
          </w:p>
        </w:tc>
        <w:tc>
          <w:tcPr>
            <w:tcW w:w="109" w:type="dxa"/>
            <w:tcBorders/>
            <w:shd w:fill="auto" w:val="clear"/>
            <w:vAlign w:val="bottom"/>
          </w:tcPr>
          <w:p>
            <w:pPr>
              <w:pStyle w:val="TableContents"/>
              <w:spacing w:before="0" w:after="0"/>
              <w:ind w:left="0" w:right="0" w:hanging="0"/>
              <w:rPr/>
            </w:pPr>
            <w:r>
              <w:rPr/>
              <w:t> </w:t>
            </w:r>
          </w:p>
        </w:tc>
        <w:tc>
          <w:tcPr>
            <w:tcW w:w="1302" w:type="dxa"/>
            <w:gridSpan w:val="2"/>
            <w:tcBorders/>
            <w:shd w:fill="auto" w:val="clear"/>
            <w:vAlign w:val="bottom"/>
          </w:tcPr>
          <w:p>
            <w:pPr>
              <w:pStyle w:val="TableContents"/>
              <w:spacing w:before="0" w:after="0"/>
              <w:ind w:left="0" w:right="0" w:hanging="0"/>
              <w:jc w:val="right"/>
              <w:rPr/>
            </w:pPr>
            <w:r>
              <w:rPr/>
              <w:t> </w:t>
            </w:r>
          </w:p>
        </w:tc>
        <w:tc>
          <w:tcPr>
            <w:tcW w:w="109"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0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pPr>
            <w:r>
              <w:rPr/>
              <w:t> </w:t>
            </w:r>
          </w:p>
        </w:tc>
        <w:tc>
          <w:tcPr>
            <w:tcW w:w="109"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16" w:type="dxa"/>
            <w:tcBorders/>
            <w:shd w:fill="auto" w:val="clear"/>
            <w:vAlign w:val="bottom"/>
          </w:tcPr>
          <w:p>
            <w:pPr>
              <w:pStyle w:val="TableContents"/>
              <w:spacing w:before="0" w:after="0"/>
              <w:ind w:left="0" w:right="0" w:hanging="0"/>
              <w:rPr/>
            </w:pPr>
            <w:r>
              <w:rPr/>
              <w:t> </w:t>
            </w:r>
          </w:p>
        </w:tc>
      </w:tr>
      <w:tr>
        <w:trPr/>
        <w:tc>
          <w:tcPr>
            <w:tcW w:w="444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earnings per basic share</w:t>
            </w:r>
          </w:p>
        </w:tc>
        <w:tc>
          <w:tcPr>
            <w:tcW w:w="109"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0.16</w:t>
            </w:r>
          </w:p>
        </w:tc>
        <w:tc>
          <w:tcPr>
            <w:tcW w:w="109"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0.94</w:t>
            </w:r>
          </w:p>
        </w:tc>
        <w:tc>
          <w:tcPr>
            <w:tcW w:w="109"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0.71</w:t>
            </w:r>
          </w:p>
        </w:tc>
        <w:tc>
          <w:tcPr>
            <w:tcW w:w="109"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116" w:type="dxa"/>
            <w:tcBorders/>
            <w:shd w:fill="CCEEFF" w:val="clear"/>
            <w:vAlign w:val="bottom"/>
          </w:tcPr>
          <w:p>
            <w:pPr>
              <w:pStyle w:val="TableContents"/>
              <w:spacing w:before="0" w:after="0"/>
              <w:ind w:left="0" w:right="0" w:hanging="0"/>
              <w:rPr/>
            </w:pPr>
            <w:r>
              <w:rPr/>
              <w:t> </w:t>
            </w:r>
          </w:p>
        </w:tc>
      </w:tr>
      <w:tr>
        <w:trPr/>
        <w:tc>
          <w:tcPr>
            <w:tcW w:w="44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Pro forma compensation expense per basic share</w:t>
            </w:r>
          </w:p>
        </w:tc>
        <w:tc>
          <w:tcPr>
            <w:tcW w:w="109" w:type="dxa"/>
            <w:tcBorders/>
            <w:shd w:fill="auto" w:val="clear"/>
            <w:vAlign w:val="bottom"/>
          </w:tcPr>
          <w:p>
            <w:pPr>
              <w:pStyle w:val="TableContents"/>
              <w:spacing w:before="0" w:after="0"/>
              <w:ind w:left="0" w:right="0" w:hanging="0"/>
              <w:rPr/>
            </w:pPr>
            <w:r>
              <w:rPr/>
              <w:t> </w:t>
            </w:r>
          </w:p>
        </w:tc>
        <w:tc>
          <w:tcPr>
            <w:tcW w:w="130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09" w:type="dxa"/>
            <w:tcBorders/>
            <w:shd w:fill="auto"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0.01</w:t>
            </w:r>
          </w:p>
        </w:tc>
        <w:tc>
          <w:tcPr>
            <w:tcW w:w="109" w:type="dxa"/>
            <w:tcBorders/>
            <w:shd w:fill="auto" w:val="clear"/>
            <w:vAlign w:val="bottom"/>
          </w:tcPr>
          <w:p>
            <w:pPr>
              <w:pStyle w:val="TableContents"/>
              <w:spacing w:before="0" w:after="0"/>
              <w:ind w:left="0" w:right="0" w:hanging="0"/>
              <w:rPr/>
            </w:pPr>
            <w:r>
              <w:rPr/>
              <w:t> </w:t>
            </w:r>
          </w:p>
        </w:tc>
        <w:tc>
          <w:tcPr>
            <w:tcW w:w="130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0.02</w:t>
            </w:r>
          </w:p>
        </w:tc>
        <w:tc>
          <w:tcPr>
            <w:tcW w:w="109" w:type="dxa"/>
            <w:tcBorders/>
            <w:shd w:fill="auto"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0.01</w:t>
            </w:r>
          </w:p>
        </w:tc>
        <w:tc>
          <w:tcPr>
            <w:tcW w:w="116" w:type="dxa"/>
            <w:tcBorders/>
            <w:shd w:fill="auto" w:val="clear"/>
            <w:vAlign w:val="bottom"/>
          </w:tcPr>
          <w:p>
            <w:pPr>
              <w:pStyle w:val="TableContents"/>
              <w:spacing w:before="0" w:after="0"/>
              <w:ind w:left="0" w:right="0" w:hanging="0"/>
              <w:rPr/>
            </w:pPr>
            <w:r>
              <w:rPr/>
              <w:t> </w:t>
            </w:r>
          </w:p>
        </w:tc>
      </w:tr>
      <w:tr>
        <w:trPr/>
        <w:tc>
          <w:tcPr>
            <w:tcW w:w="444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Pro forma earnings per basic share</w:t>
            </w:r>
          </w:p>
        </w:tc>
        <w:tc>
          <w:tcPr>
            <w:tcW w:w="109" w:type="dxa"/>
            <w:tcBorders/>
            <w:shd w:fill="CCEEFF" w:val="clear"/>
            <w:vAlign w:val="bottom"/>
          </w:tcPr>
          <w:p>
            <w:pPr>
              <w:pStyle w:val="TableContents"/>
              <w:spacing w:before="0" w:after="0"/>
              <w:ind w:left="0" w:right="0" w:hanging="0"/>
              <w:rPr/>
            </w:pPr>
            <w:r>
              <w:rPr/>
              <w:t> </w:t>
            </w:r>
          </w:p>
        </w:tc>
        <w:tc>
          <w:tcPr>
            <w:tcW w:w="110"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2"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0.16</w:t>
            </w:r>
          </w:p>
        </w:tc>
        <w:tc>
          <w:tcPr>
            <w:tcW w:w="109" w:type="dxa"/>
            <w:tcBorders/>
            <w:shd w:fill="CCEEFF" w:val="clear"/>
            <w:vAlign w:val="bottom"/>
          </w:tcPr>
          <w:p>
            <w:pPr>
              <w:pStyle w:val="TableContents"/>
              <w:spacing w:before="0" w:after="0"/>
              <w:ind w:left="0" w:right="0" w:hanging="0"/>
              <w:rPr/>
            </w:pPr>
            <w:r>
              <w:rPr/>
              <w:t> </w:t>
            </w:r>
          </w:p>
        </w:tc>
        <w:tc>
          <w:tcPr>
            <w:tcW w:w="110"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4"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0.93</w:t>
            </w:r>
          </w:p>
        </w:tc>
        <w:tc>
          <w:tcPr>
            <w:tcW w:w="109" w:type="dxa"/>
            <w:tcBorders/>
            <w:shd w:fill="CCEEFF" w:val="clear"/>
            <w:vAlign w:val="bottom"/>
          </w:tcPr>
          <w:p>
            <w:pPr>
              <w:pStyle w:val="TableContents"/>
              <w:spacing w:before="0" w:after="0"/>
              <w:ind w:left="0" w:right="0" w:hanging="0"/>
              <w:rPr/>
            </w:pPr>
            <w:r>
              <w:rPr/>
              <w:t> </w:t>
            </w:r>
          </w:p>
        </w:tc>
        <w:tc>
          <w:tcPr>
            <w:tcW w:w="110"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3"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0.69</w:t>
            </w:r>
          </w:p>
        </w:tc>
        <w:tc>
          <w:tcPr>
            <w:tcW w:w="109" w:type="dxa"/>
            <w:tcBorders/>
            <w:shd w:fill="CCEEFF" w:val="clear"/>
            <w:vAlign w:val="bottom"/>
          </w:tcPr>
          <w:p>
            <w:pPr>
              <w:pStyle w:val="TableContents"/>
              <w:spacing w:before="0" w:after="0"/>
              <w:ind w:left="0" w:right="0" w:hanging="0"/>
              <w:rPr/>
            </w:pPr>
            <w:r>
              <w:rPr/>
              <w:t> </w:t>
            </w:r>
          </w:p>
        </w:tc>
        <w:tc>
          <w:tcPr>
            <w:tcW w:w="110"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4"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w:t>
            </w:r>
          </w:p>
        </w:tc>
        <w:tc>
          <w:tcPr>
            <w:tcW w:w="116" w:type="dxa"/>
            <w:tcBorders/>
            <w:shd w:fill="CCEEFF" w:val="clear"/>
            <w:vAlign w:val="bottom"/>
          </w:tcPr>
          <w:p>
            <w:pPr>
              <w:pStyle w:val="TableContents"/>
              <w:spacing w:before="0" w:after="0"/>
              <w:ind w:left="0" w:right="0" w:hanging="0"/>
              <w:rPr/>
            </w:pPr>
            <w:r>
              <w:rPr/>
              <w:t> </w:t>
            </w:r>
          </w:p>
        </w:tc>
      </w:tr>
      <w:tr>
        <w:trPr/>
        <w:tc>
          <w:tcPr>
            <w:tcW w:w="4440" w:type="dxa"/>
            <w:tcBorders/>
            <w:shd w:fill="auto" w:val="clear"/>
          </w:tcPr>
          <w:p>
            <w:pPr>
              <w:pStyle w:val="TableContents"/>
              <w:spacing w:before="0" w:after="0"/>
              <w:ind w:left="0" w:right="0" w:hanging="0"/>
              <w:rPr/>
            </w:pPr>
            <w:r>
              <w:rPr/>
              <w:t> </w:t>
            </w:r>
          </w:p>
        </w:tc>
        <w:tc>
          <w:tcPr>
            <w:tcW w:w="109" w:type="dxa"/>
            <w:tcBorders/>
            <w:shd w:fill="auto" w:val="clear"/>
            <w:vAlign w:val="bottom"/>
          </w:tcPr>
          <w:p>
            <w:pPr>
              <w:pStyle w:val="TableContents"/>
              <w:spacing w:before="0" w:after="0"/>
              <w:ind w:left="0" w:right="0" w:hanging="0"/>
              <w:rPr/>
            </w:pPr>
            <w:r>
              <w:rPr/>
              <w:t> </w:t>
            </w:r>
          </w:p>
        </w:tc>
        <w:tc>
          <w:tcPr>
            <w:tcW w:w="1302" w:type="dxa"/>
            <w:gridSpan w:val="2"/>
            <w:tcBorders/>
            <w:shd w:fill="auto" w:val="clear"/>
            <w:vAlign w:val="bottom"/>
          </w:tcPr>
          <w:p>
            <w:pPr>
              <w:pStyle w:val="TableContents"/>
              <w:spacing w:before="0" w:after="0"/>
              <w:ind w:left="0" w:right="0" w:hanging="0"/>
              <w:jc w:val="right"/>
              <w:rPr/>
            </w:pPr>
            <w:r>
              <w:rPr/>
              <w:t> </w:t>
            </w:r>
          </w:p>
        </w:tc>
        <w:tc>
          <w:tcPr>
            <w:tcW w:w="109"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0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pPr>
            <w:r>
              <w:rPr/>
              <w:t> </w:t>
            </w:r>
          </w:p>
        </w:tc>
        <w:tc>
          <w:tcPr>
            <w:tcW w:w="109"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16" w:type="dxa"/>
            <w:tcBorders/>
            <w:shd w:fill="auto" w:val="clear"/>
            <w:vAlign w:val="bottom"/>
          </w:tcPr>
          <w:p>
            <w:pPr>
              <w:pStyle w:val="TableContents"/>
              <w:spacing w:before="0" w:after="0"/>
              <w:ind w:left="0" w:right="0" w:hanging="0"/>
              <w:rPr/>
            </w:pPr>
            <w:r>
              <w:rPr/>
              <w:t> </w:t>
            </w:r>
          </w:p>
        </w:tc>
      </w:tr>
      <w:tr>
        <w:trPr/>
        <w:tc>
          <w:tcPr>
            <w:tcW w:w="444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Diluted net earnings per share as reported:</w:t>
            </w:r>
          </w:p>
        </w:tc>
        <w:tc>
          <w:tcPr>
            <w:tcW w:w="109" w:type="dxa"/>
            <w:tcBorders/>
            <w:shd w:fill="CCEEFF" w:val="clear"/>
            <w:vAlign w:val="bottom"/>
          </w:tcPr>
          <w:p>
            <w:pPr>
              <w:pStyle w:val="TableContents"/>
              <w:spacing w:before="0" w:after="0"/>
              <w:ind w:left="0" w:right="0" w:hanging="0"/>
              <w:rPr/>
            </w:pPr>
            <w:r>
              <w:rPr/>
              <w:t> </w:t>
            </w:r>
          </w:p>
        </w:tc>
        <w:tc>
          <w:tcPr>
            <w:tcW w:w="1302" w:type="dxa"/>
            <w:gridSpan w:val="2"/>
            <w:tcBorders/>
            <w:shd w:fill="CCEEFF" w:val="clear"/>
            <w:vAlign w:val="bottom"/>
          </w:tcPr>
          <w:p>
            <w:pPr>
              <w:pStyle w:val="TableContents"/>
              <w:spacing w:before="0" w:after="0"/>
              <w:ind w:left="0" w:right="0" w:hanging="0"/>
              <w:jc w:val="right"/>
              <w:rPr/>
            </w:pPr>
            <w:r>
              <w:rPr/>
              <w:t> </w:t>
            </w:r>
          </w:p>
        </w:tc>
        <w:tc>
          <w:tcPr>
            <w:tcW w:w="109"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0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pPr>
            <w:r>
              <w:rPr/>
              <w:t> </w:t>
            </w:r>
          </w:p>
        </w:tc>
        <w:tc>
          <w:tcPr>
            <w:tcW w:w="109"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16" w:type="dxa"/>
            <w:tcBorders/>
            <w:shd w:fill="CCEEFF" w:val="clear"/>
            <w:vAlign w:val="bottom"/>
          </w:tcPr>
          <w:p>
            <w:pPr>
              <w:pStyle w:val="TableContents"/>
              <w:spacing w:before="0" w:after="0"/>
              <w:ind w:left="0" w:right="0" w:hanging="0"/>
              <w:rPr/>
            </w:pPr>
            <w:r>
              <w:rPr/>
              <w:t> </w:t>
            </w:r>
          </w:p>
        </w:tc>
      </w:tr>
      <w:tr>
        <w:trPr/>
        <w:tc>
          <w:tcPr>
            <w:tcW w:w="44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earnings per diluted share</w:t>
            </w:r>
          </w:p>
        </w:tc>
        <w:tc>
          <w:tcPr>
            <w:tcW w:w="109"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0.15</w:t>
            </w:r>
          </w:p>
        </w:tc>
        <w:tc>
          <w:tcPr>
            <w:tcW w:w="109"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0.86</w:t>
            </w:r>
          </w:p>
        </w:tc>
        <w:tc>
          <w:tcPr>
            <w:tcW w:w="109"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0.66</w:t>
            </w:r>
          </w:p>
        </w:tc>
        <w:tc>
          <w:tcPr>
            <w:tcW w:w="109"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16" w:type="dxa"/>
            <w:tcBorders/>
            <w:shd w:fill="auto" w:val="clear"/>
            <w:vAlign w:val="bottom"/>
          </w:tcPr>
          <w:p>
            <w:pPr>
              <w:pStyle w:val="TableContents"/>
              <w:spacing w:before="0" w:after="0"/>
              <w:ind w:left="0" w:right="0" w:hanging="0"/>
              <w:rPr/>
            </w:pPr>
            <w:r>
              <w:rPr/>
              <w:t> </w:t>
            </w:r>
          </w:p>
        </w:tc>
      </w:tr>
      <w:tr>
        <w:trPr/>
        <w:tc>
          <w:tcPr>
            <w:tcW w:w="444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Pro forma compensation expense per diluted share</w:t>
            </w:r>
          </w:p>
        </w:tc>
        <w:tc>
          <w:tcPr>
            <w:tcW w:w="109" w:type="dxa"/>
            <w:tcBorders/>
            <w:shd w:fill="CCEEFF" w:val="clear"/>
            <w:vAlign w:val="bottom"/>
          </w:tcPr>
          <w:p>
            <w:pPr>
              <w:pStyle w:val="TableContents"/>
              <w:spacing w:before="0" w:after="0"/>
              <w:ind w:left="0" w:right="0" w:hanging="0"/>
              <w:rPr/>
            </w:pPr>
            <w:r>
              <w:rPr/>
              <w:t> </w:t>
            </w:r>
          </w:p>
        </w:tc>
        <w:tc>
          <w:tcPr>
            <w:tcW w:w="13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09" w:type="dxa"/>
            <w:tcBorders/>
            <w:shd w:fill="CCEEFF"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0.01</w:t>
            </w:r>
          </w:p>
        </w:tc>
        <w:tc>
          <w:tcPr>
            <w:tcW w:w="109" w:type="dxa"/>
            <w:tcBorders/>
            <w:shd w:fill="CCEEFF" w:val="clear"/>
            <w:vAlign w:val="bottom"/>
          </w:tcPr>
          <w:p>
            <w:pPr>
              <w:pStyle w:val="TableContents"/>
              <w:spacing w:before="0" w:after="0"/>
              <w:ind w:left="0" w:right="0" w:hanging="0"/>
              <w:rPr/>
            </w:pPr>
            <w:r>
              <w:rPr/>
              <w:t> </w:t>
            </w:r>
          </w:p>
        </w:tc>
        <w:tc>
          <w:tcPr>
            <w:tcW w:w="13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0.01</w:t>
            </w:r>
          </w:p>
        </w:tc>
        <w:tc>
          <w:tcPr>
            <w:tcW w:w="109" w:type="dxa"/>
            <w:tcBorders/>
            <w:shd w:fill="CCEEFF"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0.01</w:t>
            </w:r>
          </w:p>
        </w:tc>
        <w:tc>
          <w:tcPr>
            <w:tcW w:w="116" w:type="dxa"/>
            <w:tcBorders/>
            <w:shd w:fill="CCEEFF" w:val="clear"/>
            <w:vAlign w:val="bottom"/>
          </w:tcPr>
          <w:p>
            <w:pPr>
              <w:pStyle w:val="TableContents"/>
              <w:spacing w:before="0" w:after="0"/>
              <w:ind w:left="0" w:right="0" w:hanging="0"/>
              <w:rPr/>
            </w:pPr>
            <w:r>
              <w:rPr/>
              <w:t> </w:t>
            </w:r>
          </w:p>
        </w:tc>
      </w:tr>
      <w:tr>
        <w:trPr/>
        <w:tc>
          <w:tcPr>
            <w:tcW w:w="44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Pro forma earnings per diluted share</w:t>
            </w:r>
          </w:p>
        </w:tc>
        <w:tc>
          <w:tcPr>
            <w:tcW w:w="109" w:type="dxa"/>
            <w:tcBorders/>
            <w:shd w:fill="auto" w:val="clear"/>
            <w:vAlign w:val="bottom"/>
          </w:tcPr>
          <w:p>
            <w:pPr>
              <w:pStyle w:val="TableContents"/>
              <w:spacing w:before="0" w:after="0"/>
              <w:ind w:left="0" w:right="0" w:hanging="0"/>
              <w:rPr/>
            </w:pPr>
            <w:r>
              <w:rPr/>
              <w:t> </w:t>
            </w:r>
          </w:p>
        </w:tc>
        <w:tc>
          <w:tcPr>
            <w:tcW w:w="110"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2"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0.15</w:t>
            </w:r>
          </w:p>
        </w:tc>
        <w:tc>
          <w:tcPr>
            <w:tcW w:w="109" w:type="dxa"/>
            <w:tcBorders/>
            <w:shd w:fill="auto" w:val="clear"/>
            <w:vAlign w:val="bottom"/>
          </w:tcPr>
          <w:p>
            <w:pPr>
              <w:pStyle w:val="TableContents"/>
              <w:spacing w:before="0" w:after="0"/>
              <w:ind w:left="0" w:right="0" w:hanging="0"/>
              <w:rPr/>
            </w:pPr>
            <w:r>
              <w:rPr/>
              <w:t> </w:t>
            </w:r>
          </w:p>
        </w:tc>
        <w:tc>
          <w:tcPr>
            <w:tcW w:w="110"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4"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0.85</w:t>
            </w:r>
          </w:p>
        </w:tc>
        <w:tc>
          <w:tcPr>
            <w:tcW w:w="109" w:type="dxa"/>
            <w:tcBorders/>
            <w:shd w:fill="auto" w:val="clear"/>
            <w:vAlign w:val="bottom"/>
          </w:tcPr>
          <w:p>
            <w:pPr>
              <w:pStyle w:val="TableContents"/>
              <w:spacing w:before="0" w:after="0"/>
              <w:ind w:left="0" w:right="0" w:hanging="0"/>
              <w:rPr/>
            </w:pPr>
            <w:r>
              <w:rPr/>
              <w:t> </w:t>
            </w:r>
          </w:p>
        </w:tc>
        <w:tc>
          <w:tcPr>
            <w:tcW w:w="110"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3"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0.65</w:t>
            </w:r>
          </w:p>
        </w:tc>
        <w:tc>
          <w:tcPr>
            <w:tcW w:w="109" w:type="dxa"/>
            <w:tcBorders/>
            <w:shd w:fill="auto" w:val="clear"/>
            <w:vAlign w:val="bottom"/>
          </w:tcPr>
          <w:p>
            <w:pPr>
              <w:pStyle w:val="TableContents"/>
              <w:spacing w:before="0" w:after="0"/>
              <w:ind w:left="0" w:right="0" w:hanging="0"/>
              <w:rPr/>
            </w:pPr>
            <w:r>
              <w:rPr/>
              <w:t> </w:t>
            </w:r>
          </w:p>
        </w:tc>
        <w:tc>
          <w:tcPr>
            <w:tcW w:w="110"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4"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116"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17"/>
        </w:rPr>
      </w:pPr>
      <w:r>
        <w:rPr>
          <w:rFonts w:ascii="Times New Roman" w:hAnsi="Times New Roman"/>
          <w:b/>
          <w:sz w:val="17"/>
        </w:rPr>
        <w:t>(7) SEGMENT REPORTING</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We have one reportable segment, Domestic Vision Centers, in which we aggregate the following four operating segments:  (1) retail vision centers operated in Wal-Mart stores in the United States, (2) retail vision centers operated in Fred Meyer stores in the United States, (3) retail vision centers operated on U.S. military bases in the United States and (4) retail vision centers operated in freestanding locations in the United States.  We aggregate these four operating segments because of the similarity of their economic and operating characteristics, as the domestic vision centers included in each such operating segment (i) have achieved similar long-term average gross profit margins, (ii) sell substantially identical products and services, consisting primarily of eyeglasses and contact lenses, (iii) sell products that are manufactured and/or assembled using the same production processes, (iv) have similar types and classes of customers and (v) have identical methods of distribution.  We also operate retail vision centers in Wal-Mart stores in Mexico and we operate a specialized health care service plan in California.  These other operating segments are individually not material and are included in the Other column in the tables below.</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Management evaluates segment performance based on segment income or loss before income taxes.  Segment income or loss excludes interest income, interest expense and certain other non-operating gains and losses, all of which are considered Corporate items.  Corporate assets consist primarily of cash and cash equivalents and deferred income taxes.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w:t>
      </w:r>
    </w:p>
    <w:p>
      <w:pPr>
        <w:pStyle w:val="HorizontalLine"/>
        <w:pBdr>
          <w:bottom w:val="single" w:sz="12" w:space="0" w:color="808080"/>
        </w:pBdr>
        <w:spacing w:before="0" w:after="0"/>
        <w:rPr/>
      </w:pPr>
      <w:r>
        <w:rPr/>
      </w:r>
      <w:r>
        <w:br w:type="page"/>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The accounting policies of the reportable segment and the other segments are the same as those described in the summary of significant accounting policies. Selected summarized segment financial information for the three and six-month periods ended July 2, 2005 and July 3, 2004 is as follows (in thousands):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2553"/>
        <w:gridCol w:w="101"/>
        <w:gridCol w:w="817"/>
        <w:gridCol w:w="101"/>
        <w:gridCol w:w="817"/>
        <w:gridCol w:w="102"/>
        <w:gridCol w:w="816"/>
        <w:gridCol w:w="102"/>
        <w:gridCol w:w="817"/>
        <w:gridCol w:w="101"/>
        <w:gridCol w:w="817"/>
        <w:gridCol w:w="102"/>
        <w:gridCol w:w="816"/>
        <w:gridCol w:w="102"/>
        <w:gridCol w:w="817"/>
        <w:gridCol w:w="101"/>
        <w:gridCol w:w="714"/>
        <w:gridCol w:w="409"/>
      </w:tblGrid>
      <w:tr>
        <w:trPr/>
        <w:tc>
          <w:tcPr>
            <w:tcW w:w="2553" w:type="dxa"/>
            <w:tcBorders/>
            <w:shd w:fill="auto" w:val="clear"/>
            <w:vAlign w:val="bottom"/>
          </w:tcPr>
          <w:p>
            <w:pPr>
              <w:pStyle w:val="TableContents"/>
              <w:spacing w:before="0" w:after="0"/>
              <w:ind w:left="0" w:right="0" w:hanging="0"/>
              <w:jc w:val="center"/>
              <w:rPr/>
            </w:pPr>
            <w:r>
              <w:rPr/>
              <w:t> </w:t>
            </w:r>
          </w:p>
        </w:tc>
        <w:tc>
          <w:tcPr>
            <w:tcW w:w="101" w:type="dxa"/>
            <w:tcBorders/>
            <w:shd w:fill="auto" w:val="clear"/>
            <w:vAlign w:val="bottom"/>
          </w:tcPr>
          <w:p>
            <w:pPr>
              <w:pStyle w:val="TableContents"/>
              <w:spacing w:before="0" w:after="0"/>
              <w:ind w:left="0" w:right="0" w:hanging="0"/>
              <w:rPr/>
            </w:pPr>
            <w:r>
              <w:rPr/>
              <w:t> </w:t>
            </w:r>
          </w:p>
        </w:tc>
        <w:tc>
          <w:tcPr>
            <w:tcW w:w="3572" w:type="dxa"/>
            <w:gridSpan w:val="7"/>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Three Months Ended July 2, 2005</w:t>
            </w:r>
          </w:p>
        </w:tc>
        <w:tc>
          <w:tcPr>
            <w:tcW w:w="101" w:type="dxa"/>
            <w:tcBorders/>
            <w:shd w:fill="auto" w:val="clear"/>
            <w:vAlign w:val="bottom"/>
          </w:tcPr>
          <w:p>
            <w:pPr>
              <w:pStyle w:val="TableContents"/>
              <w:spacing w:before="0" w:after="0"/>
              <w:ind w:left="0" w:right="0" w:hanging="0"/>
              <w:rPr/>
            </w:pPr>
            <w:r>
              <w:rPr/>
              <w:t> </w:t>
            </w:r>
          </w:p>
        </w:tc>
        <w:tc>
          <w:tcPr>
            <w:tcW w:w="3469" w:type="dxa"/>
            <w:gridSpan w:val="7"/>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Three Months Ended July 3, 2004</w:t>
            </w:r>
          </w:p>
        </w:tc>
        <w:tc>
          <w:tcPr>
            <w:tcW w:w="409" w:type="dxa"/>
            <w:tcBorders/>
            <w:shd w:fill="auto" w:val="clear"/>
            <w:vAlign w:val="bottom"/>
          </w:tcPr>
          <w:p>
            <w:pPr>
              <w:pStyle w:val="TableContents"/>
              <w:spacing w:before="0" w:after="0"/>
              <w:ind w:left="0" w:right="0" w:hanging="0"/>
              <w:rPr/>
            </w:pPr>
            <w:r>
              <w:rPr/>
              <w:t> </w:t>
            </w:r>
          </w:p>
        </w:tc>
      </w:tr>
      <w:tr>
        <w:trPr/>
        <w:tc>
          <w:tcPr>
            <w:tcW w:w="2553" w:type="dxa"/>
            <w:tcBorders/>
            <w:shd w:fill="auto" w:val="clear"/>
            <w:vAlign w:val="bottom"/>
          </w:tcPr>
          <w:p>
            <w:pPr>
              <w:pStyle w:val="TableContents"/>
              <w:spacing w:before="0" w:after="0"/>
              <w:ind w:left="0" w:right="0" w:hanging="0"/>
              <w:jc w:val="center"/>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Domestic</w:t>
              <w:br/>
              <w:t>Vision</w:t>
              <w:br/>
              <w:t>Centers</w:t>
            </w:r>
          </w:p>
        </w:tc>
        <w:tc>
          <w:tcPr>
            <w:tcW w:w="101" w:type="dxa"/>
            <w:tcBorders/>
            <w:shd w:fill="auto" w:val="clear"/>
            <w:vAlign w:val="bottom"/>
          </w:tcPr>
          <w:p>
            <w:pPr>
              <w:pStyle w:val="TableContents"/>
              <w:spacing w:before="0" w:after="0"/>
              <w:ind w:left="0" w:right="0" w:hanging="0"/>
              <w:rPr/>
            </w:pPr>
            <w:r>
              <w:rPr/>
              <w:t> </w:t>
            </w:r>
          </w:p>
        </w:tc>
        <w:tc>
          <w:tcPr>
            <w:tcW w:w="81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Other</w:t>
            </w:r>
          </w:p>
        </w:tc>
        <w:tc>
          <w:tcPr>
            <w:tcW w:w="102" w:type="dxa"/>
            <w:tcBorders/>
            <w:shd w:fill="auto" w:val="clear"/>
            <w:vAlign w:val="bottom"/>
          </w:tcPr>
          <w:p>
            <w:pPr>
              <w:pStyle w:val="TableContents"/>
              <w:spacing w:before="0" w:after="0"/>
              <w:ind w:left="0" w:right="0" w:hanging="0"/>
              <w:rPr/>
            </w:pPr>
            <w:r>
              <w:rPr/>
              <w:t> </w:t>
            </w:r>
          </w:p>
        </w:tc>
        <w:tc>
          <w:tcPr>
            <w:tcW w:w="81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Corporate &amp;</w:t>
              <w:br/>
              <w:t>Eliminations</w:t>
            </w:r>
          </w:p>
        </w:tc>
        <w:tc>
          <w:tcPr>
            <w:tcW w:w="102" w:type="dxa"/>
            <w:tcBorders/>
            <w:shd w:fill="auto" w:val="clear"/>
            <w:vAlign w:val="bottom"/>
          </w:tcPr>
          <w:p>
            <w:pPr>
              <w:pStyle w:val="TableContents"/>
              <w:spacing w:before="0" w:after="0"/>
              <w:ind w:left="0" w:right="0" w:hanging="0"/>
              <w:rPr/>
            </w:pPr>
            <w:r>
              <w:rPr/>
              <w:t> </w:t>
            </w:r>
          </w:p>
        </w:tc>
        <w:tc>
          <w:tcPr>
            <w:tcW w:w="81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Consolidated</w:t>
            </w:r>
          </w:p>
        </w:tc>
        <w:tc>
          <w:tcPr>
            <w:tcW w:w="101" w:type="dxa"/>
            <w:tcBorders/>
            <w:shd w:fill="auto" w:val="clear"/>
            <w:vAlign w:val="bottom"/>
          </w:tcPr>
          <w:p>
            <w:pPr>
              <w:pStyle w:val="TableContents"/>
              <w:spacing w:before="0" w:after="0"/>
              <w:ind w:left="0" w:right="0" w:hanging="0"/>
              <w:rPr/>
            </w:pPr>
            <w:r>
              <w:rPr/>
              <w:t> </w:t>
            </w:r>
          </w:p>
        </w:tc>
        <w:tc>
          <w:tcPr>
            <w:tcW w:w="81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Domestic</w:t>
              <w:br/>
              <w:t>Vision</w:t>
              <w:br/>
              <w:t>Centers</w:t>
            </w:r>
          </w:p>
        </w:tc>
        <w:tc>
          <w:tcPr>
            <w:tcW w:w="102" w:type="dxa"/>
            <w:tcBorders/>
            <w:shd w:fill="auto" w:val="clear"/>
            <w:vAlign w:val="bottom"/>
          </w:tcPr>
          <w:p>
            <w:pPr>
              <w:pStyle w:val="TableContents"/>
              <w:spacing w:before="0" w:after="0"/>
              <w:ind w:left="0" w:right="0" w:hanging="0"/>
              <w:rPr/>
            </w:pPr>
            <w:r>
              <w:rPr/>
              <w:t> </w:t>
            </w:r>
          </w:p>
        </w:tc>
        <w:tc>
          <w:tcPr>
            <w:tcW w:w="81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Other</w:t>
            </w:r>
          </w:p>
        </w:tc>
        <w:tc>
          <w:tcPr>
            <w:tcW w:w="102" w:type="dxa"/>
            <w:tcBorders/>
            <w:shd w:fill="auto" w:val="clear"/>
            <w:vAlign w:val="bottom"/>
          </w:tcPr>
          <w:p>
            <w:pPr>
              <w:pStyle w:val="TableContents"/>
              <w:spacing w:before="0" w:after="0"/>
              <w:ind w:left="0" w:right="0" w:hanging="0"/>
              <w:rPr/>
            </w:pPr>
            <w:r>
              <w:rPr/>
              <w:t> </w:t>
            </w:r>
          </w:p>
        </w:tc>
        <w:tc>
          <w:tcPr>
            <w:tcW w:w="81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Corporate &amp;</w:t>
              <w:br/>
              <w:t>Eliminations</w:t>
            </w:r>
          </w:p>
        </w:tc>
        <w:tc>
          <w:tcPr>
            <w:tcW w:w="101" w:type="dxa"/>
            <w:tcBorders/>
            <w:shd w:fill="auto" w:val="clear"/>
            <w:vAlign w:val="bottom"/>
          </w:tcPr>
          <w:p>
            <w:pPr>
              <w:pStyle w:val="TableContents"/>
              <w:spacing w:before="0" w:after="0"/>
              <w:ind w:left="0" w:right="0" w:hanging="0"/>
              <w:rPr/>
            </w:pPr>
            <w:r>
              <w:rPr/>
              <w:t> </w:t>
            </w:r>
          </w:p>
        </w:tc>
        <w:tc>
          <w:tcPr>
            <w:tcW w:w="71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Consolidated</w:t>
            </w:r>
          </w:p>
        </w:tc>
        <w:tc>
          <w:tcPr>
            <w:tcW w:w="409" w:type="dxa"/>
            <w:tcBorders/>
            <w:shd w:fill="auto" w:val="clear"/>
            <w:vAlign w:val="bottom"/>
          </w:tcPr>
          <w:p>
            <w:pPr>
              <w:pStyle w:val="TableContents"/>
              <w:spacing w:before="0" w:after="0"/>
              <w:ind w:left="0" w:right="0" w:hanging="0"/>
              <w:rPr/>
            </w:pPr>
            <w:r>
              <w:rPr/>
              <w:t> </w:t>
            </w:r>
          </w:p>
        </w:tc>
      </w:tr>
      <w:tr>
        <w:trPr/>
        <w:tc>
          <w:tcPr>
            <w:tcW w:w="2553"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pPr>
            <w:r>
              <w:rPr/>
              <w:t> </w:t>
            </w:r>
          </w:p>
        </w:tc>
        <w:tc>
          <w:tcPr>
            <w:tcW w:w="409" w:type="dxa"/>
            <w:tcBorders/>
            <w:shd w:fill="auto" w:val="clear"/>
            <w:vAlign w:val="bottom"/>
          </w:tcPr>
          <w:p>
            <w:pPr>
              <w:pStyle w:val="TableContents"/>
              <w:spacing w:before="0" w:after="0"/>
              <w:ind w:left="0" w:right="0" w:hanging="0"/>
              <w:rPr/>
            </w:pPr>
            <w:r>
              <w:rPr/>
              <w:t> </w:t>
            </w:r>
          </w:p>
        </w:tc>
      </w:tr>
      <w:tr>
        <w:trPr/>
        <w:tc>
          <w:tcPr>
            <w:tcW w:w="2553" w:type="dxa"/>
            <w:tcBorders/>
            <w:shd w:fill="CCEEFF" w:val="clear"/>
          </w:tcPr>
          <w:p>
            <w:pPr>
              <w:pStyle w:val="TableContents"/>
              <w:spacing w:before="0" w:after="0"/>
              <w:ind w:left="0" w:right="0" w:hanging="0"/>
              <w:rPr>
                <w:rFonts w:ascii="Times New Roman" w:hAnsi="Times New Roman"/>
                <w:sz w:val="12"/>
              </w:rPr>
            </w:pPr>
            <w:r>
              <w:rPr>
                <w:rFonts w:ascii="Times New Roman" w:hAnsi="Times New Roman"/>
                <w:sz w:val="12"/>
              </w:rPr>
              <w:t>Revenues from external customers</w:t>
            </w:r>
          </w:p>
        </w:tc>
        <w:tc>
          <w:tcPr>
            <w:tcW w:w="101"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55,040</w:t>
            </w:r>
          </w:p>
        </w:tc>
        <w:tc>
          <w:tcPr>
            <w:tcW w:w="101"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3,689</w:t>
            </w:r>
          </w:p>
        </w:tc>
        <w:tc>
          <w:tcPr>
            <w:tcW w:w="102" w:type="dxa"/>
            <w:tcBorders/>
            <w:shd w:fill="CCEEFF" w:val="clear"/>
            <w:vAlign w:val="bottom"/>
          </w:tcPr>
          <w:p>
            <w:pPr>
              <w:pStyle w:val="TableContents"/>
              <w:spacing w:before="0" w:after="0"/>
              <w:ind w:left="0" w:right="0" w:hanging="0"/>
              <w:rPr/>
            </w:pPr>
            <w:r>
              <w:rPr/>
              <w:t> </w:t>
            </w:r>
          </w:p>
        </w:tc>
        <w:tc>
          <w:tcPr>
            <w:tcW w:w="816" w:type="dxa"/>
            <w:tcBorders>
              <w:bottom w:val="double" w:sz="4" w:space="0" w:color="000000"/>
            </w:tcBorders>
            <w:shd w:fill="CCEEFF" w:val="clear"/>
            <w:tcMar>
              <w:bottom w:w="28" w:type="dxa"/>
            </w:tcM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58,729</w:t>
            </w:r>
          </w:p>
        </w:tc>
        <w:tc>
          <w:tcPr>
            <w:tcW w:w="101"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53,437</w:t>
            </w:r>
          </w:p>
        </w:tc>
        <w:tc>
          <w:tcPr>
            <w:tcW w:w="102" w:type="dxa"/>
            <w:tcBorders/>
            <w:shd w:fill="CCEEFF" w:val="clear"/>
            <w:vAlign w:val="bottom"/>
          </w:tcPr>
          <w:p>
            <w:pPr>
              <w:pStyle w:val="TableContents"/>
              <w:spacing w:before="0" w:after="0"/>
              <w:ind w:left="0" w:right="0" w:hanging="0"/>
              <w:rPr/>
            </w:pPr>
            <w:r>
              <w:rPr/>
              <w:t> </w:t>
            </w:r>
          </w:p>
        </w:tc>
        <w:tc>
          <w:tcPr>
            <w:tcW w:w="816"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2,893</w:t>
            </w:r>
          </w:p>
        </w:tc>
        <w:tc>
          <w:tcPr>
            <w:tcW w:w="102"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pPr>
            <w:r>
              <w:rPr/>
              <w:t> </w:t>
            </w:r>
          </w:p>
        </w:tc>
        <w:tc>
          <w:tcPr>
            <w:tcW w:w="101" w:type="dxa"/>
            <w:tcBorders/>
            <w:shd w:fill="CCEEFF" w:val="clear"/>
            <w:vAlign w:val="bottom"/>
          </w:tcPr>
          <w:p>
            <w:pPr>
              <w:pStyle w:val="TableContents"/>
              <w:spacing w:before="0" w:after="0"/>
              <w:ind w:left="0" w:right="0" w:hanging="0"/>
              <w:rPr/>
            </w:pPr>
            <w:r>
              <w:rPr/>
              <w:t> </w:t>
            </w:r>
          </w:p>
        </w:tc>
        <w:tc>
          <w:tcPr>
            <w:tcW w:w="714"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56,330</w:t>
            </w:r>
          </w:p>
        </w:tc>
        <w:tc>
          <w:tcPr>
            <w:tcW w:w="409" w:type="dxa"/>
            <w:tcBorders/>
            <w:shd w:fill="CCEEFF" w:val="clear"/>
            <w:vAlign w:val="bottom"/>
          </w:tcPr>
          <w:p>
            <w:pPr>
              <w:pStyle w:val="TableContents"/>
              <w:spacing w:before="0" w:after="0"/>
              <w:ind w:left="0" w:right="0" w:hanging="0"/>
              <w:rPr/>
            </w:pPr>
            <w:r>
              <w:rPr/>
              <w:t> </w:t>
            </w:r>
          </w:p>
        </w:tc>
      </w:tr>
      <w:tr>
        <w:trPr/>
        <w:tc>
          <w:tcPr>
            <w:tcW w:w="2553"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pPr>
            <w:r>
              <w:rPr/>
              <w:t> </w:t>
            </w:r>
          </w:p>
        </w:tc>
        <w:tc>
          <w:tcPr>
            <w:tcW w:w="409" w:type="dxa"/>
            <w:tcBorders/>
            <w:shd w:fill="auto" w:val="clear"/>
            <w:vAlign w:val="bottom"/>
          </w:tcPr>
          <w:p>
            <w:pPr>
              <w:pStyle w:val="TableContents"/>
              <w:spacing w:before="0" w:after="0"/>
              <w:ind w:left="0" w:right="0" w:hanging="0"/>
              <w:rPr/>
            </w:pPr>
            <w:r>
              <w:rPr/>
              <w:t> </w:t>
            </w:r>
          </w:p>
        </w:tc>
      </w:tr>
      <w:tr>
        <w:trPr/>
        <w:tc>
          <w:tcPr>
            <w:tcW w:w="2553" w:type="dxa"/>
            <w:tcBorders/>
            <w:shd w:fill="CCEEFF" w:val="clear"/>
          </w:tcPr>
          <w:p>
            <w:pPr>
              <w:pStyle w:val="TableContents"/>
              <w:spacing w:before="0" w:after="0"/>
              <w:ind w:left="0" w:right="0" w:hanging="0"/>
              <w:rPr>
                <w:rFonts w:ascii="Times New Roman" w:hAnsi="Times New Roman"/>
                <w:sz w:val="12"/>
              </w:rPr>
            </w:pPr>
            <w:r>
              <w:rPr>
                <w:rFonts w:ascii="Times New Roman" w:hAnsi="Times New Roman"/>
                <w:sz w:val="12"/>
              </w:rPr>
              <w:t>Depreciation and amortization</w:t>
            </w:r>
          </w:p>
        </w:tc>
        <w:tc>
          <w:tcPr>
            <w:tcW w:w="101"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2,855</w:t>
            </w:r>
          </w:p>
        </w:tc>
        <w:tc>
          <w:tcPr>
            <w:tcW w:w="101"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93</w:t>
            </w:r>
          </w:p>
        </w:tc>
        <w:tc>
          <w:tcPr>
            <w:tcW w:w="102" w:type="dxa"/>
            <w:tcBorders/>
            <w:shd w:fill="CCEEFF" w:val="clear"/>
            <w:vAlign w:val="bottom"/>
          </w:tcPr>
          <w:p>
            <w:pPr>
              <w:pStyle w:val="TableContents"/>
              <w:spacing w:before="0" w:after="0"/>
              <w:ind w:left="0" w:right="0" w:hanging="0"/>
              <w:rPr/>
            </w:pPr>
            <w:r>
              <w:rPr/>
              <w:t> </w:t>
            </w:r>
          </w:p>
        </w:tc>
        <w:tc>
          <w:tcPr>
            <w:tcW w:w="816" w:type="dxa"/>
            <w:tcBorders>
              <w:bottom w:val="double" w:sz="4" w:space="0" w:color="000000"/>
            </w:tcBorders>
            <w:shd w:fill="CCEEFF" w:val="clear"/>
            <w:tcMar>
              <w:bottom w:w="28" w:type="dxa"/>
            </w:tcM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2,948</w:t>
            </w:r>
          </w:p>
        </w:tc>
        <w:tc>
          <w:tcPr>
            <w:tcW w:w="101"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2,919</w:t>
            </w:r>
          </w:p>
        </w:tc>
        <w:tc>
          <w:tcPr>
            <w:tcW w:w="102" w:type="dxa"/>
            <w:tcBorders/>
            <w:shd w:fill="CCEEFF" w:val="clear"/>
            <w:vAlign w:val="bottom"/>
          </w:tcPr>
          <w:p>
            <w:pPr>
              <w:pStyle w:val="TableContents"/>
              <w:spacing w:before="0" w:after="0"/>
              <w:ind w:left="0" w:right="0" w:hanging="0"/>
              <w:rPr/>
            </w:pPr>
            <w:r>
              <w:rPr/>
              <w:t> </w:t>
            </w:r>
          </w:p>
        </w:tc>
        <w:tc>
          <w:tcPr>
            <w:tcW w:w="816"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134</w:t>
            </w:r>
          </w:p>
        </w:tc>
        <w:tc>
          <w:tcPr>
            <w:tcW w:w="102"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pPr>
            <w:r>
              <w:rPr/>
              <w:t> </w:t>
            </w:r>
          </w:p>
        </w:tc>
        <w:tc>
          <w:tcPr>
            <w:tcW w:w="101" w:type="dxa"/>
            <w:tcBorders/>
            <w:shd w:fill="CCEEFF" w:val="clear"/>
            <w:vAlign w:val="bottom"/>
          </w:tcPr>
          <w:p>
            <w:pPr>
              <w:pStyle w:val="TableContents"/>
              <w:spacing w:before="0" w:after="0"/>
              <w:ind w:left="0" w:right="0" w:hanging="0"/>
              <w:rPr/>
            </w:pPr>
            <w:r>
              <w:rPr/>
              <w:t> </w:t>
            </w:r>
          </w:p>
        </w:tc>
        <w:tc>
          <w:tcPr>
            <w:tcW w:w="714"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3,053</w:t>
            </w:r>
          </w:p>
        </w:tc>
        <w:tc>
          <w:tcPr>
            <w:tcW w:w="409" w:type="dxa"/>
            <w:tcBorders/>
            <w:shd w:fill="CCEEFF" w:val="clear"/>
            <w:vAlign w:val="bottom"/>
          </w:tcPr>
          <w:p>
            <w:pPr>
              <w:pStyle w:val="TableContents"/>
              <w:spacing w:before="0" w:after="0"/>
              <w:ind w:left="0" w:right="0" w:hanging="0"/>
              <w:rPr/>
            </w:pPr>
            <w:r>
              <w:rPr/>
              <w:t> </w:t>
            </w:r>
          </w:p>
        </w:tc>
      </w:tr>
      <w:tr>
        <w:trPr/>
        <w:tc>
          <w:tcPr>
            <w:tcW w:w="2553"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pPr>
            <w:r>
              <w:rPr/>
              <w:t> </w:t>
            </w:r>
          </w:p>
        </w:tc>
        <w:tc>
          <w:tcPr>
            <w:tcW w:w="409" w:type="dxa"/>
            <w:tcBorders/>
            <w:shd w:fill="auto" w:val="clear"/>
            <w:vAlign w:val="bottom"/>
          </w:tcPr>
          <w:p>
            <w:pPr>
              <w:pStyle w:val="TableContents"/>
              <w:spacing w:before="0" w:after="0"/>
              <w:ind w:left="0" w:right="0" w:hanging="0"/>
              <w:rPr/>
            </w:pPr>
            <w:r>
              <w:rPr/>
              <w:t> </w:t>
            </w:r>
          </w:p>
        </w:tc>
      </w:tr>
      <w:tr>
        <w:trPr/>
        <w:tc>
          <w:tcPr>
            <w:tcW w:w="2553" w:type="dxa"/>
            <w:tcBorders/>
            <w:shd w:fill="CCEEFF" w:val="clear"/>
          </w:tcPr>
          <w:p>
            <w:pPr>
              <w:pStyle w:val="TableContents"/>
              <w:spacing w:before="0" w:after="0"/>
              <w:ind w:left="0" w:right="0" w:hanging="0"/>
              <w:rPr>
                <w:rFonts w:ascii="Times New Roman" w:hAnsi="Times New Roman"/>
                <w:sz w:val="12"/>
              </w:rPr>
            </w:pPr>
            <w:r>
              <w:rPr>
                <w:rFonts w:ascii="Times New Roman" w:hAnsi="Times New Roman"/>
                <w:sz w:val="12"/>
              </w:rPr>
              <w:t>Segment operating profit</w:t>
            </w:r>
          </w:p>
        </w:tc>
        <w:tc>
          <w:tcPr>
            <w:tcW w:w="101" w:type="dxa"/>
            <w:tcBorders/>
            <w:shd w:fill="CCEEFF" w:val="clear"/>
            <w:vAlign w:val="bottom"/>
          </w:tcPr>
          <w:p>
            <w:pPr>
              <w:pStyle w:val="TableContents"/>
              <w:spacing w:before="0" w:after="0"/>
              <w:ind w:left="0" w:right="0" w:hanging="0"/>
              <w:rPr/>
            </w:pPr>
            <w:r>
              <w:rPr/>
              <w:t> </w:t>
            </w:r>
          </w:p>
        </w:tc>
        <w:tc>
          <w:tcPr>
            <w:tcW w:w="817" w:type="dxa"/>
            <w:tcBorders/>
            <w:shd w:fill="CCEEFF" w:val="cle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3,832</w:t>
            </w:r>
          </w:p>
        </w:tc>
        <w:tc>
          <w:tcPr>
            <w:tcW w:w="101" w:type="dxa"/>
            <w:tcBorders/>
            <w:shd w:fill="CCEEFF" w:val="clear"/>
            <w:vAlign w:val="bottom"/>
          </w:tcPr>
          <w:p>
            <w:pPr>
              <w:pStyle w:val="TableContents"/>
              <w:spacing w:before="0" w:after="0"/>
              <w:ind w:left="0" w:right="0" w:hanging="0"/>
              <w:rPr/>
            </w:pPr>
            <w:r>
              <w:rPr/>
              <w:t> </w:t>
            </w:r>
          </w:p>
        </w:tc>
        <w:tc>
          <w:tcPr>
            <w:tcW w:w="817" w:type="dxa"/>
            <w:tcBorders/>
            <w:shd w:fill="CCEEFF" w:val="cle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(23</w:t>
            </w:r>
          </w:p>
        </w:tc>
        <w:tc>
          <w:tcPr>
            <w:tcW w:w="102"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816"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817" w:type="dxa"/>
            <w:tcBorders/>
            <w:shd w:fill="CCEEFF" w:val="cle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3,809</w:t>
            </w:r>
          </w:p>
        </w:tc>
        <w:tc>
          <w:tcPr>
            <w:tcW w:w="101" w:type="dxa"/>
            <w:tcBorders/>
            <w:shd w:fill="CCEEFF" w:val="clear"/>
            <w:vAlign w:val="bottom"/>
          </w:tcPr>
          <w:p>
            <w:pPr>
              <w:pStyle w:val="TableContents"/>
              <w:spacing w:before="0" w:after="0"/>
              <w:ind w:left="0" w:right="0" w:hanging="0"/>
              <w:rPr/>
            </w:pPr>
            <w:r>
              <w:rPr/>
              <w:t> </w:t>
            </w:r>
          </w:p>
        </w:tc>
        <w:tc>
          <w:tcPr>
            <w:tcW w:w="817" w:type="dxa"/>
            <w:tcBorders/>
            <w:shd w:fill="CCEEFF" w:val="cle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3,916</w:t>
            </w:r>
          </w:p>
        </w:tc>
        <w:tc>
          <w:tcPr>
            <w:tcW w:w="102" w:type="dxa"/>
            <w:tcBorders/>
            <w:shd w:fill="CCEEFF" w:val="clear"/>
            <w:vAlign w:val="bottom"/>
          </w:tcPr>
          <w:p>
            <w:pPr>
              <w:pStyle w:val="TableContents"/>
              <w:spacing w:before="0" w:after="0"/>
              <w:ind w:left="0" w:right="0" w:hanging="0"/>
              <w:rPr/>
            </w:pPr>
            <w:r>
              <w:rPr/>
              <w:t> </w:t>
            </w:r>
          </w:p>
        </w:tc>
        <w:tc>
          <w:tcPr>
            <w:tcW w:w="816" w:type="dxa"/>
            <w:tcBorders/>
            <w:shd w:fill="CCEEFF" w:val="cle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5</w:t>
            </w:r>
          </w:p>
        </w:tc>
        <w:tc>
          <w:tcPr>
            <w:tcW w:w="102" w:type="dxa"/>
            <w:tcBorders/>
            <w:shd w:fill="CCEEFF" w:val="clear"/>
            <w:vAlign w:val="bottom"/>
          </w:tcPr>
          <w:p>
            <w:pPr>
              <w:pStyle w:val="TableContents"/>
              <w:spacing w:before="0" w:after="0"/>
              <w:ind w:left="0" w:right="0" w:hanging="0"/>
              <w:rPr/>
            </w:pPr>
            <w:r>
              <w:rPr/>
              <w:t> </w:t>
            </w:r>
          </w:p>
        </w:tc>
        <w:tc>
          <w:tcPr>
            <w:tcW w:w="817" w:type="dxa"/>
            <w:tcBorders/>
            <w:shd w:fill="CCEEFF" w:val="clear"/>
            <w:vAlign w:val="bottom"/>
          </w:tcPr>
          <w:p>
            <w:pPr>
              <w:pStyle w:val="TableContents"/>
              <w:spacing w:before="0" w:after="0"/>
              <w:ind w:left="0" w:right="0" w:hanging="0"/>
              <w:jc w:val="right"/>
              <w:rPr/>
            </w:pPr>
            <w:r>
              <w:rPr/>
              <w:t> </w:t>
            </w:r>
          </w:p>
        </w:tc>
        <w:tc>
          <w:tcPr>
            <w:tcW w:w="101" w:type="dxa"/>
            <w:tcBorders/>
            <w:shd w:fill="CCEEFF" w:val="clear"/>
            <w:vAlign w:val="bottom"/>
          </w:tcPr>
          <w:p>
            <w:pPr>
              <w:pStyle w:val="TableContents"/>
              <w:spacing w:before="0" w:after="0"/>
              <w:ind w:left="0" w:right="0" w:hanging="0"/>
              <w:rPr/>
            </w:pPr>
            <w:r>
              <w:rPr/>
              <w:t> </w:t>
            </w:r>
          </w:p>
        </w:tc>
        <w:tc>
          <w:tcPr>
            <w:tcW w:w="714" w:type="dxa"/>
            <w:tcBorders/>
            <w:shd w:fill="CCEEFF" w:val="cle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3,921</w:t>
            </w:r>
          </w:p>
        </w:tc>
        <w:tc>
          <w:tcPr>
            <w:tcW w:w="409" w:type="dxa"/>
            <w:tcBorders/>
            <w:shd w:fill="CCEEFF" w:val="clear"/>
            <w:vAlign w:val="bottom"/>
          </w:tcPr>
          <w:p>
            <w:pPr>
              <w:pStyle w:val="TableContents"/>
              <w:spacing w:before="0" w:after="0"/>
              <w:ind w:left="0" w:right="0" w:hanging="0"/>
              <w:rPr/>
            </w:pPr>
            <w:r>
              <w:rPr/>
              <w:t> </w:t>
            </w:r>
          </w:p>
        </w:tc>
      </w:tr>
      <w:tr>
        <w:trPr/>
        <w:tc>
          <w:tcPr>
            <w:tcW w:w="2553"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pPr>
            <w:r>
              <w:rPr/>
              <w:t> </w:t>
            </w:r>
          </w:p>
        </w:tc>
        <w:tc>
          <w:tcPr>
            <w:tcW w:w="409" w:type="dxa"/>
            <w:tcBorders/>
            <w:shd w:fill="auto" w:val="clear"/>
            <w:vAlign w:val="bottom"/>
          </w:tcPr>
          <w:p>
            <w:pPr>
              <w:pStyle w:val="TableContents"/>
              <w:spacing w:before="0" w:after="0"/>
              <w:ind w:left="0" w:right="0" w:hanging="0"/>
              <w:rPr/>
            </w:pPr>
            <w:r>
              <w:rPr/>
              <w:t> </w:t>
            </w:r>
          </w:p>
        </w:tc>
      </w:tr>
      <w:tr>
        <w:trPr/>
        <w:tc>
          <w:tcPr>
            <w:tcW w:w="2553" w:type="dxa"/>
            <w:tcBorders/>
            <w:shd w:fill="CCEEFF" w:val="clear"/>
          </w:tcPr>
          <w:p>
            <w:pPr>
              <w:pStyle w:val="TableContents"/>
              <w:spacing w:before="0" w:after="0"/>
              <w:ind w:left="0" w:right="0" w:hanging="0"/>
              <w:rPr>
                <w:rFonts w:ascii="Times New Roman" w:hAnsi="Times New Roman"/>
                <w:sz w:val="12"/>
              </w:rPr>
            </w:pPr>
            <w:r>
              <w:rPr>
                <w:rFonts w:ascii="Times New Roman" w:hAnsi="Times New Roman"/>
                <w:sz w:val="12"/>
              </w:rPr>
              <w:t>Interest expense</w:t>
            </w:r>
          </w:p>
        </w:tc>
        <w:tc>
          <w:tcPr>
            <w:tcW w:w="101" w:type="dxa"/>
            <w:tcBorders/>
            <w:shd w:fill="CCEEFF" w:val="clear"/>
            <w:vAlign w:val="bottom"/>
          </w:tcPr>
          <w:p>
            <w:pPr>
              <w:pStyle w:val="TableContents"/>
              <w:spacing w:before="0" w:after="0"/>
              <w:ind w:left="0" w:right="0" w:hanging="0"/>
              <w:rPr/>
            </w:pPr>
            <w:r>
              <w:rPr/>
              <w:t> </w:t>
            </w:r>
          </w:p>
        </w:tc>
        <w:tc>
          <w:tcPr>
            <w:tcW w:w="817" w:type="dxa"/>
            <w:tcBorders/>
            <w:shd w:fill="CCEEFF" w:val="clear"/>
            <w:vAlign w:val="bottom"/>
          </w:tcPr>
          <w:p>
            <w:pPr>
              <w:pStyle w:val="TableContents"/>
              <w:spacing w:before="0" w:after="0"/>
              <w:ind w:left="0" w:right="0" w:hanging="0"/>
              <w:jc w:val="right"/>
              <w:rPr/>
            </w:pPr>
            <w:r>
              <w:rPr/>
              <w:t> </w:t>
            </w:r>
          </w:p>
        </w:tc>
        <w:tc>
          <w:tcPr>
            <w:tcW w:w="101" w:type="dxa"/>
            <w:tcBorders/>
            <w:shd w:fill="CCEEFF" w:val="clear"/>
            <w:vAlign w:val="bottom"/>
          </w:tcPr>
          <w:p>
            <w:pPr>
              <w:pStyle w:val="TableContents"/>
              <w:spacing w:before="0" w:after="0"/>
              <w:ind w:left="0" w:right="0" w:hanging="0"/>
              <w:rPr/>
            </w:pPr>
            <w:r>
              <w:rPr/>
              <w:t> </w:t>
            </w:r>
          </w:p>
        </w:tc>
        <w:tc>
          <w:tcPr>
            <w:tcW w:w="817"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816" w:type="dxa"/>
            <w:tcBorders/>
            <w:shd w:fill="CCEEFF" w:val="cle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(2,180</w:t>
            </w:r>
          </w:p>
        </w:tc>
        <w:tc>
          <w:tcPr>
            <w:tcW w:w="102"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817" w:type="dxa"/>
            <w:tcBorders/>
            <w:shd w:fill="CCEEFF" w:val="cle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(2,180</w:t>
            </w:r>
          </w:p>
        </w:tc>
        <w:tc>
          <w:tcPr>
            <w:tcW w:w="101"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817"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816"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817" w:type="dxa"/>
            <w:tcBorders/>
            <w:shd w:fill="CCEEFF" w:val="cle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(2,842</w:t>
            </w:r>
          </w:p>
        </w:tc>
        <w:tc>
          <w:tcPr>
            <w:tcW w:w="101"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714" w:type="dxa"/>
            <w:tcBorders/>
            <w:shd w:fill="CCEEFF" w:val="cle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(2,842</w:t>
            </w:r>
          </w:p>
        </w:tc>
        <w:tc>
          <w:tcPr>
            <w:tcW w:w="409"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r>
      <w:tr>
        <w:trPr/>
        <w:tc>
          <w:tcPr>
            <w:tcW w:w="2553"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pPr>
            <w:r>
              <w:rPr/>
              <w:t> </w:t>
            </w:r>
          </w:p>
        </w:tc>
        <w:tc>
          <w:tcPr>
            <w:tcW w:w="409" w:type="dxa"/>
            <w:tcBorders/>
            <w:shd w:fill="auto" w:val="clear"/>
            <w:vAlign w:val="bottom"/>
          </w:tcPr>
          <w:p>
            <w:pPr>
              <w:pStyle w:val="TableContents"/>
              <w:spacing w:before="0" w:after="0"/>
              <w:ind w:left="0" w:right="0" w:hanging="0"/>
              <w:rPr/>
            </w:pPr>
            <w:r>
              <w:rPr/>
              <w:t> </w:t>
            </w:r>
          </w:p>
        </w:tc>
      </w:tr>
      <w:tr>
        <w:trPr/>
        <w:tc>
          <w:tcPr>
            <w:tcW w:w="2553" w:type="dxa"/>
            <w:tcBorders/>
            <w:shd w:fill="CCEEFF" w:val="clear"/>
          </w:tcPr>
          <w:p>
            <w:pPr>
              <w:pStyle w:val="TableContents"/>
              <w:spacing w:before="0" w:after="0"/>
              <w:ind w:left="0" w:right="0" w:hanging="0"/>
              <w:rPr>
                <w:rFonts w:ascii="Times New Roman" w:hAnsi="Times New Roman"/>
                <w:sz w:val="12"/>
              </w:rPr>
            </w:pPr>
            <w:r>
              <w:rPr>
                <w:rFonts w:ascii="Times New Roman" w:hAnsi="Times New Roman"/>
                <w:sz w:val="12"/>
              </w:rPr>
              <w:t>Gain on note repurchases</w:t>
            </w:r>
          </w:p>
        </w:tc>
        <w:tc>
          <w:tcPr>
            <w:tcW w:w="101" w:type="dxa"/>
            <w:tcBorders/>
            <w:shd w:fill="CCEEFF" w:val="clear"/>
            <w:vAlign w:val="bottom"/>
          </w:tcPr>
          <w:p>
            <w:pPr>
              <w:pStyle w:val="TableContents"/>
              <w:spacing w:before="0" w:after="0"/>
              <w:ind w:left="0" w:right="0" w:hanging="0"/>
              <w:rPr/>
            </w:pPr>
            <w:r>
              <w:rPr/>
              <w:t> </w:t>
            </w:r>
          </w:p>
        </w:tc>
        <w:tc>
          <w:tcPr>
            <w:tcW w:w="817" w:type="dxa"/>
            <w:tcBorders/>
            <w:shd w:fill="CCEEFF" w:val="clear"/>
            <w:vAlign w:val="bottom"/>
          </w:tcPr>
          <w:p>
            <w:pPr>
              <w:pStyle w:val="TableContents"/>
              <w:spacing w:before="0" w:after="0"/>
              <w:ind w:left="0" w:right="0" w:hanging="0"/>
              <w:jc w:val="right"/>
              <w:rPr/>
            </w:pPr>
            <w:r>
              <w:rPr/>
              <w:t> </w:t>
            </w:r>
          </w:p>
        </w:tc>
        <w:tc>
          <w:tcPr>
            <w:tcW w:w="101" w:type="dxa"/>
            <w:tcBorders/>
            <w:shd w:fill="CCEEFF" w:val="clear"/>
            <w:vAlign w:val="bottom"/>
          </w:tcPr>
          <w:p>
            <w:pPr>
              <w:pStyle w:val="TableContents"/>
              <w:spacing w:before="0" w:after="0"/>
              <w:ind w:left="0" w:right="0" w:hanging="0"/>
              <w:rPr/>
            </w:pPr>
            <w:r>
              <w:rPr/>
              <w:t> </w:t>
            </w:r>
          </w:p>
        </w:tc>
        <w:tc>
          <w:tcPr>
            <w:tcW w:w="817"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816" w:type="dxa"/>
            <w:tcBorders/>
            <w:shd w:fill="CCEEFF" w:val="cle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17</w:t>
            </w:r>
          </w:p>
        </w:tc>
        <w:tc>
          <w:tcPr>
            <w:tcW w:w="102" w:type="dxa"/>
            <w:tcBorders/>
            <w:shd w:fill="CCEEFF" w:val="clear"/>
            <w:vAlign w:val="bottom"/>
          </w:tcPr>
          <w:p>
            <w:pPr>
              <w:pStyle w:val="TableContents"/>
              <w:spacing w:before="0" w:after="0"/>
              <w:ind w:left="0" w:right="0" w:hanging="0"/>
              <w:rPr/>
            </w:pPr>
            <w:r>
              <w:rPr/>
              <w:t> </w:t>
            </w:r>
          </w:p>
        </w:tc>
        <w:tc>
          <w:tcPr>
            <w:tcW w:w="817" w:type="dxa"/>
            <w:tcBorders/>
            <w:shd w:fill="CCEEFF" w:val="cle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17</w:t>
            </w:r>
          </w:p>
        </w:tc>
        <w:tc>
          <w:tcPr>
            <w:tcW w:w="101" w:type="dxa"/>
            <w:tcBorders/>
            <w:shd w:fill="CCEEFF" w:val="clear"/>
            <w:vAlign w:val="bottom"/>
          </w:tcPr>
          <w:p>
            <w:pPr>
              <w:pStyle w:val="TableContents"/>
              <w:spacing w:before="0" w:after="0"/>
              <w:ind w:left="0" w:right="0" w:hanging="0"/>
              <w:rPr/>
            </w:pPr>
            <w:r>
              <w:rPr/>
              <w:t> </w:t>
            </w:r>
          </w:p>
        </w:tc>
        <w:tc>
          <w:tcPr>
            <w:tcW w:w="817"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816"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817" w:type="dxa"/>
            <w:tcBorders/>
            <w:shd w:fill="CCEEFF" w:val="cle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2,902</w:t>
            </w:r>
          </w:p>
        </w:tc>
        <w:tc>
          <w:tcPr>
            <w:tcW w:w="101" w:type="dxa"/>
            <w:tcBorders/>
            <w:shd w:fill="CCEEFF" w:val="clear"/>
            <w:vAlign w:val="bottom"/>
          </w:tcPr>
          <w:p>
            <w:pPr>
              <w:pStyle w:val="TableContents"/>
              <w:spacing w:before="0" w:after="0"/>
              <w:ind w:left="0" w:right="0" w:hanging="0"/>
              <w:rPr/>
            </w:pPr>
            <w:r>
              <w:rPr/>
              <w:t> </w:t>
            </w:r>
          </w:p>
        </w:tc>
        <w:tc>
          <w:tcPr>
            <w:tcW w:w="714" w:type="dxa"/>
            <w:tcBorders/>
            <w:shd w:fill="CCEEFF" w:val="cle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2,902</w:t>
            </w:r>
          </w:p>
        </w:tc>
        <w:tc>
          <w:tcPr>
            <w:tcW w:w="409" w:type="dxa"/>
            <w:tcBorders/>
            <w:shd w:fill="CCEEFF" w:val="clear"/>
            <w:vAlign w:val="bottom"/>
          </w:tcPr>
          <w:p>
            <w:pPr>
              <w:pStyle w:val="TableContents"/>
              <w:spacing w:before="0" w:after="0"/>
              <w:ind w:left="0" w:right="0" w:hanging="0"/>
              <w:rPr/>
            </w:pPr>
            <w:r>
              <w:rPr/>
              <w:t> </w:t>
            </w:r>
          </w:p>
        </w:tc>
      </w:tr>
      <w:tr>
        <w:trPr/>
        <w:tc>
          <w:tcPr>
            <w:tcW w:w="2553"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pPr>
            <w:r>
              <w:rPr/>
              <w:t> </w:t>
            </w:r>
          </w:p>
        </w:tc>
        <w:tc>
          <w:tcPr>
            <w:tcW w:w="409" w:type="dxa"/>
            <w:tcBorders/>
            <w:shd w:fill="auto" w:val="clear"/>
            <w:vAlign w:val="bottom"/>
          </w:tcPr>
          <w:p>
            <w:pPr>
              <w:pStyle w:val="TableContents"/>
              <w:spacing w:before="0" w:after="0"/>
              <w:ind w:left="0" w:right="0" w:hanging="0"/>
              <w:rPr/>
            </w:pPr>
            <w:r>
              <w:rPr/>
              <w:t> </w:t>
            </w:r>
          </w:p>
        </w:tc>
      </w:tr>
      <w:tr>
        <w:trPr/>
        <w:tc>
          <w:tcPr>
            <w:tcW w:w="2553" w:type="dxa"/>
            <w:tcBorders/>
            <w:shd w:fill="CCEEFF" w:val="clear"/>
          </w:tcPr>
          <w:p>
            <w:pPr>
              <w:pStyle w:val="TableContents"/>
              <w:spacing w:before="0" w:after="0"/>
              <w:ind w:left="0" w:right="0" w:hanging="0"/>
              <w:rPr>
                <w:rFonts w:ascii="Times New Roman" w:hAnsi="Times New Roman"/>
                <w:sz w:val="12"/>
              </w:rPr>
            </w:pPr>
            <w:r>
              <w:rPr>
                <w:rFonts w:ascii="Times New Roman" w:hAnsi="Times New Roman"/>
                <w:sz w:val="12"/>
              </w:rPr>
              <w:t>Other income</w:t>
            </w:r>
          </w:p>
        </w:tc>
        <w:tc>
          <w:tcPr>
            <w:tcW w:w="101" w:type="dxa"/>
            <w:tcBorders/>
            <w:shd w:fill="CCEEFF" w:val="clear"/>
            <w:vAlign w:val="bottom"/>
          </w:tcPr>
          <w:p>
            <w:pPr>
              <w:pStyle w:val="TableContents"/>
              <w:spacing w:before="0" w:after="0"/>
              <w:ind w:left="0" w:right="0" w:hanging="0"/>
              <w:rPr/>
            </w:pPr>
            <w:r>
              <w:rPr/>
              <w:t> </w:t>
            </w:r>
          </w:p>
        </w:tc>
        <w:tc>
          <w:tcPr>
            <w:tcW w:w="817" w:type="dxa"/>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01" w:type="dxa"/>
            <w:tcBorders/>
            <w:shd w:fill="CCEEFF" w:val="clear"/>
            <w:vAlign w:val="bottom"/>
          </w:tcPr>
          <w:p>
            <w:pPr>
              <w:pStyle w:val="TableContents"/>
              <w:spacing w:before="0" w:after="0"/>
              <w:ind w:left="0" w:right="0" w:hanging="0"/>
              <w:rPr/>
            </w:pPr>
            <w:r>
              <w:rPr/>
              <w:t> </w:t>
            </w:r>
          </w:p>
        </w:tc>
        <w:tc>
          <w:tcPr>
            <w:tcW w:w="817" w:type="dxa"/>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81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50</w:t>
            </w:r>
          </w:p>
        </w:tc>
        <w:tc>
          <w:tcPr>
            <w:tcW w:w="102" w:type="dxa"/>
            <w:tcBorders/>
            <w:shd w:fill="CCEEFF" w:val="clear"/>
            <w:vAlign w:val="bottom"/>
          </w:tcPr>
          <w:p>
            <w:pPr>
              <w:pStyle w:val="TableContents"/>
              <w:spacing w:before="0" w:after="0"/>
              <w:ind w:left="0" w:right="0" w:hanging="0"/>
              <w:rPr/>
            </w:pPr>
            <w:r>
              <w:rPr/>
              <w:t> </w:t>
            </w:r>
          </w:p>
        </w:tc>
        <w:tc>
          <w:tcPr>
            <w:tcW w:w="81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50</w:t>
            </w:r>
          </w:p>
        </w:tc>
        <w:tc>
          <w:tcPr>
            <w:tcW w:w="101" w:type="dxa"/>
            <w:tcBorders/>
            <w:shd w:fill="CCEEFF" w:val="clear"/>
            <w:vAlign w:val="bottom"/>
          </w:tcPr>
          <w:p>
            <w:pPr>
              <w:pStyle w:val="TableContents"/>
              <w:spacing w:before="0" w:after="0"/>
              <w:ind w:left="0" w:right="0" w:hanging="0"/>
              <w:rPr/>
            </w:pPr>
            <w:r>
              <w:rPr/>
              <w:t> </w:t>
            </w:r>
          </w:p>
        </w:tc>
        <w:tc>
          <w:tcPr>
            <w:tcW w:w="817" w:type="dxa"/>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816" w:type="dxa"/>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81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30</w:t>
            </w:r>
          </w:p>
        </w:tc>
        <w:tc>
          <w:tcPr>
            <w:tcW w:w="101" w:type="dxa"/>
            <w:tcBorders/>
            <w:shd w:fill="CCEEFF" w:val="clear"/>
            <w:vAlign w:val="bottom"/>
          </w:tcPr>
          <w:p>
            <w:pPr>
              <w:pStyle w:val="TableContents"/>
              <w:spacing w:before="0" w:after="0"/>
              <w:ind w:left="0" w:right="0" w:hanging="0"/>
              <w:rPr/>
            </w:pPr>
            <w:r>
              <w:rPr/>
              <w:t> </w:t>
            </w:r>
          </w:p>
        </w:tc>
        <w:tc>
          <w:tcPr>
            <w:tcW w:w="71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30</w:t>
            </w:r>
          </w:p>
        </w:tc>
        <w:tc>
          <w:tcPr>
            <w:tcW w:w="409" w:type="dxa"/>
            <w:tcBorders/>
            <w:shd w:fill="CCEEFF" w:val="clear"/>
            <w:vAlign w:val="bottom"/>
          </w:tcPr>
          <w:p>
            <w:pPr>
              <w:pStyle w:val="TableContents"/>
              <w:spacing w:before="0" w:after="0"/>
              <w:ind w:left="0" w:right="0" w:hanging="0"/>
              <w:rPr/>
            </w:pPr>
            <w:r>
              <w:rPr/>
              <w:t> </w:t>
            </w:r>
          </w:p>
        </w:tc>
      </w:tr>
      <w:tr>
        <w:trPr/>
        <w:tc>
          <w:tcPr>
            <w:tcW w:w="2553"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pPr>
            <w:r>
              <w:rPr/>
              <w:t> </w:t>
            </w:r>
          </w:p>
        </w:tc>
        <w:tc>
          <w:tcPr>
            <w:tcW w:w="409" w:type="dxa"/>
            <w:tcBorders/>
            <w:shd w:fill="auto" w:val="clear"/>
            <w:vAlign w:val="bottom"/>
          </w:tcPr>
          <w:p>
            <w:pPr>
              <w:pStyle w:val="TableContents"/>
              <w:spacing w:before="0" w:after="0"/>
              <w:ind w:left="0" w:right="0" w:hanging="0"/>
              <w:rPr/>
            </w:pPr>
            <w:r>
              <w:rPr/>
              <w:t> </w:t>
            </w:r>
          </w:p>
        </w:tc>
      </w:tr>
      <w:tr>
        <w:trPr/>
        <w:tc>
          <w:tcPr>
            <w:tcW w:w="2553" w:type="dxa"/>
            <w:tcBorders/>
            <w:shd w:fill="CCEEFF" w:val="clear"/>
          </w:tcPr>
          <w:p>
            <w:pPr>
              <w:pStyle w:val="TableContents"/>
              <w:spacing w:before="0" w:after="0"/>
              <w:ind w:left="0" w:right="0" w:hanging="0"/>
              <w:rPr>
                <w:rFonts w:ascii="Times New Roman" w:hAnsi="Times New Roman"/>
                <w:sz w:val="12"/>
              </w:rPr>
            </w:pPr>
            <w:r>
              <w:rPr>
                <w:rFonts w:ascii="Times New Roman" w:hAnsi="Times New Roman"/>
                <w:sz w:val="12"/>
              </w:rPr>
              <w:t>Earnings before income taxes and discontinued operations</w:t>
            </w:r>
          </w:p>
        </w:tc>
        <w:tc>
          <w:tcPr>
            <w:tcW w:w="101"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3,832</w:t>
            </w:r>
          </w:p>
        </w:tc>
        <w:tc>
          <w:tcPr>
            <w:tcW w:w="101"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(23</w:t>
            </w:r>
          </w:p>
        </w:tc>
        <w:tc>
          <w:tcPr>
            <w:tcW w:w="102"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816"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(2,113</w:t>
            </w:r>
          </w:p>
        </w:tc>
        <w:tc>
          <w:tcPr>
            <w:tcW w:w="102"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1,696</w:t>
            </w:r>
          </w:p>
        </w:tc>
        <w:tc>
          <w:tcPr>
            <w:tcW w:w="101"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3,909</w:t>
            </w:r>
          </w:p>
        </w:tc>
        <w:tc>
          <w:tcPr>
            <w:tcW w:w="102" w:type="dxa"/>
            <w:tcBorders/>
            <w:shd w:fill="CCEEFF" w:val="clear"/>
            <w:vAlign w:val="bottom"/>
          </w:tcPr>
          <w:p>
            <w:pPr>
              <w:pStyle w:val="TableContents"/>
              <w:spacing w:before="0" w:after="0"/>
              <w:ind w:left="0" w:right="0" w:hanging="0"/>
              <w:rPr/>
            </w:pPr>
            <w:r>
              <w:rPr/>
              <w:t> </w:t>
            </w:r>
          </w:p>
        </w:tc>
        <w:tc>
          <w:tcPr>
            <w:tcW w:w="816"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12</w:t>
            </w:r>
          </w:p>
        </w:tc>
        <w:tc>
          <w:tcPr>
            <w:tcW w:w="102"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90</w:t>
            </w:r>
          </w:p>
        </w:tc>
        <w:tc>
          <w:tcPr>
            <w:tcW w:w="101" w:type="dxa"/>
            <w:tcBorders/>
            <w:shd w:fill="CCEEFF" w:val="clear"/>
            <w:vAlign w:val="bottom"/>
          </w:tcPr>
          <w:p>
            <w:pPr>
              <w:pStyle w:val="TableContents"/>
              <w:spacing w:before="0" w:after="0"/>
              <w:ind w:left="0" w:right="0" w:hanging="0"/>
              <w:rPr/>
            </w:pPr>
            <w:r>
              <w:rPr/>
              <w:t> </w:t>
            </w:r>
          </w:p>
        </w:tc>
        <w:tc>
          <w:tcPr>
            <w:tcW w:w="714"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4,011</w:t>
            </w:r>
          </w:p>
        </w:tc>
        <w:tc>
          <w:tcPr>
            <w:tcW w:w="409" w:type="dxa"/>
            <w:tcBorders/>
            <w:shd w:fill="CCEEFF" w:val="clear"/>
            <w:vAlign w:val="bottom"/>
          </w:tcPr>
          <w:p>
            <w:pPr>
              <w:pStyle w:val="TableContents"/>
              <w:spacing w:before="0" w:after="0"/>
              <w:ind w:left="0" w:right="0" w:hanging="0"/>
              <w:rPr/>
            </w:pPr>
            <w:r>
              <w:rPr/>
              <w:t> </w:t>
            </w:r>
          </w:p>
        </w:tc>
      </w:tr>
      <w:tr>
        <w:trPr/>
        <w:tc>
          <w:tcPr>
            <w:tcW w:w="2553"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pPr>
            <w:r>
              <w:rPr/>
              <w:t> </w:t>
            </w:r>
          </w:p>
        </w:tc>
        <w:tc>
          <w:tcPr>
            <w:tcW w:w="409" w:type="dxa"/>
            <w:tcBorders/>
            <w:shd w:fill="auto" w:val="clear"/>
            <w:vAlign w:val="bottom"/>
          </w:tcPr>
          <w:p>
            <w:pPr>
              <w:pStyle w:val="TableContents"/>
              <w:spacing w:before="0" w:after="0"/>
              <w:ind w:left="0" w:right="0" w:hanging="0"/>
              <w:rPr/>
            </w:pPr>
            <w:r>
              <w:rPr/>
              <w:t> </w:t>
            </w:r>
          </w:p>
        </w:tc>
      </w:tr>
      <w:tr>
        <w:trPr/>
        <w:tc>
          <w:tcPr>
            <w:tcW w:w="2553" w:type="dxa"/>
            <w:tcBorders/>
            <w:shd w:fill="CCEEFF" w:val="clear"/>
          </w:tcPr>
          <w:p>
            <w:pPr>
              <w:pStyle w:val="TableContents"/>
              <w:spacing w:before="0" w:after="0"/>
              <w:ind w:left="0" w:right="0" w:hanging="0"/>
              <w:rPr>
                <w:rFonts w:ascii="Times New Roman" w:hAnsi="Times New Roman"/>
                <w:sz w:val="12"/>
              </w:rPr>
            </w:pPr>
            <w:r>
              <w:rPr>
                <w:rFonts w:ascii="Times New Roman" w:hAnsi="Times New Roman"/>
                <w:sz w:val="12"/>
              </w:rPr>
              <w:t>Segment assets</w:t>
            </w:r>
          </w:p>
        </w:tc>
        <w:tc>
          <w:tcPr>
            <w:tcW w:w="101"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113,291</w:t>
            </w:r>
          </w:p>
        </w:tc>
        <w:tc>
          <w:tcPr>
            <w:tcW w:w="101"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4,886</w:t>
            </w:r>
          </w:p>
        </w:tc>
        <w:tc>
          <w:tcPr>
            <w:tcW w:w="102" w:type="dxa"/>
            <w:tcBorders/>
            <w:shd w:fill="CCEEFF" w:val="clear"/>
            <w:vAlign w:val="bottom"/>
          </w:tcPr>
          <w:p>
            <w:pPr>
              <w:pStyle w:val="TableContents"/>
              <w:spacing w:before="0" w:after="0"/>
              <w:ind w:left="0" w:right="0" w:hanging="0"/>
              <w:rPr/>
            </w:pPr>
            <w:r>
              <w:rPr/>
              <w:t> </w:t>
            </w:r>
          </w:p>
        </w:tc>
        <w:tc>
          <w:tcPr>
            <w:tcW w:w="816"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10,351</w:t>
            </w:r>
          </w:p>
        </w:tc>
        <w:tc>
          <w:tcPr>
            <w:tcW w:w="102"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128,528</w:t>
            </w:r>
          </w:p>
        </w:tc>
        <w:tc>
          <w:tcPr>
            <w:tcW w:w="101"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121,127</w:t>
            </w:r>
          </w:p>
        </w:tc>
        <w:tc>
          <w:tcPr>
            <w:tcW w:w="102" w:type="dxa"/>
            <w:tcBorders/>
            <w:shd w:fill="CCEEFF" w:val="clear"/>
            <w:vAlign w:val="bottom"/>
          </w:tcPr>
          <w:p>
            <w:pPr>
              <w:pStyle w:val="TableContents"/>
              <w:spacing w:before="0" w:after="0"/>
              <w:ind w:left="0" w:right="0" w:hanging="0"/>
              <w:rPr/>
            </w:pPr>
            <w:r>
              <w:rPr/>
              <w:t> </w:t>
            </w:r>
          </w:p>
        </w:tc>
        <w:tc>
          <w:tcPr>
            <w:tcW w:w="816"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6,084</w:t>
            </w:r>
          </w:p>
        </w:tc>
        <w:tc>
          <w:tcPr>
            <w:tcW w:w="102"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8,717</w:t>
            </w:r>
          </w:p>
        </w:tc>
        <w:tc>
          <w:tcPr>
            <w:tcW w:w="101" w:type="dxa"/>
            <w:tcBorders/>
            <w:shd w:fill="CCEEFF" w:val="clear"/>
            <w:vAlign w:val="bottom"/>
          </w:tcPr>
          <w:p>
            <w:pPr>
              <w:pStyle w:val="TableContents"/>
              <w:spacing w:before="0" w:after="0"/>
              <w:ind w:left="0" w:right="0" w:hanging="0"/>
              <w:rPr/>
            </w:pPr>
            <w:r>
              <w:rPr/>
              <w:t> </w:t>
            </w:r>
          </w:p>
        </w:tc>
        <w:tc>
          <w:tcPr>
            <w:tcW w:w="714"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135,928</w:t>
            </w:r>
          </w:p>
        </w:tc>
        <w:tc>
          <w:tcPr>
            <w:tcW w:w="409" w:type="dxa"/>
            <w:tcBorders/>
            <w:shd w:fill="CCEEFF" w:val="clear"/>
            <w:vAlign w:val="bottom"/>
          </w:tcPr>
          <w:p>
            <w:pPr>
              <w:pStyle w:val="TableContents"/>
              <w:spacing w:before="0" w:after="0"/>
              <w:ind w:left="0" w:right="0" w:hanging="0"/>
              <w:rPr/>
            </w:pPr>
            <w:r>
              <w:rPr/>
              <w:t> </w:t>
            </w:r>
          </w:p>
        </w:tc>
      </w:tr>
      <w:tr>
        <w:trPr/>
        <w:tc>
          <w:tcPr>
            <w:tcW w:w="2553"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pPr>
            <w:r>
              <w:rPr/>
              <w:t> </w:t>
            </w:r>
          </w:p>
        </w:tc>
        <w:tc>
          <w:tcPr>
            <w:tcW w:w="409" w:type="dxa"/>
            <w:tcBorders/>
            <w:shd w:fill="auto" w:val="clear"/>
            <w:vAlign w:val="bottom"/>
          </w:tcPr>
          <w:p>
            <w:pPr>
              <w:pStyle w:val="TableContents"/>
              <w:spacing w:before="0" w:after="0"/>
              <w:ind w:left="0" w:right="0" w:hanging="0"/>
              <w:rPr/>
            </w:pPr>
            <w:r>
              <w:rPr/>
              <w:t> </w:t>
            </w:r>
          </w:p>
        </w:tc>
      </w:tr>
      <w:tr>
        <w:trPr/>
        <w:tc>
          <w:tcPr>
            <w:tcW w:w="2553" w:type="dxa"/>
            <w:tcBorders/>
            <w:shd w:fill="CCEEFF" w:val="clear"/>
          </w:tcPr>
          <w:p>
            <w:pPr>
              <w:pStyle w:val="TableContents"/>
              <w:spacing w:before="0" w:after="0"/>
              <w:ind w:left="0" w:right="0" w:hanging="0"/>
              <w:rPr>
                <w:rFonts w:ascii="Times New Roman" w:hAnsi="Times New Roman"/>
                <w:sz w:val="12"/>
              </w:rPr>
            </w:pPr>
            <w:r>
              <w:rPr>
                <w:rFonts w:ascii="Times New Roman" w:hAnsi="Times New Roman"/>
                <w:sz w:val="12"/>
              </w:rPr>
              <w:t>Expenditures for long-lived assets</w:t>
            </w:r>
          </w:p>
        </w:tc>
        <w:tc>
          <w:tcPr>
            <w:tcW w:w="101"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1,355</w:t>
            </w:r>
          </w:p>
        </w:tc>
        <w:tc>
          <w:tcPr>
            <w:tcW w:w="101"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90</w:t>
            </w:r>
          </w:p>
        </w:tc>
        <w:tc>
          <w:tcPr>
            <w:tcW w:w="102" w:type="dxa"/>
            <w:tcBorders/>
            <w:shd w:fill="CCEEFF" w:val="clear"/>
            <w:vAlign w:val="bottom"/>
          </w:tcPr>
          <w:p>
            <w:pPr>
              <w:pStyle w:val="TableContents"/>
              <w:spacing w:before="0" w:after="0"/>
              <w:ind w:left="0" w:right="0" w:hanging="0"/>
              <w:rPr/>
            </w:pPr>
            <w:r>
              <w:rPr/>
              <w:t> </w:t>
            </w:r>
          </w:p>
        </w:tc>
        <w:tc>
          <w:tcPr>
            <w:tcW w:w="816" w:type="dxa"/>
            <w:tcBorders>
              <w:bottom w:val="double" w:sz="4" w:space="0" w:color="000000"/>
            </w:tcBorders>
            <w:shd w:fill="CCEEFF" w:val="clear"/>
            <w:tcMar>
              <w:bottom w:w="28" w:type="dxa"/>
            </w:tcM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1,445</w:t>
            </w:r>
          </w:p>
        </w:tc>
        <w:tc>
          <w:tcPr>
            <w:tcW w:w="101"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588</w:t>
            </w:r>
          </w:p>
        </w:tc>
        <w:tc>
          <w:tcPr>
            <w:tcW w:w="102" w:type="dxa"/>
            <w:tcBorders/>
            <w:shd w:fill="CCEEFF" w:val="clear"/>
            <w:vAlign w:val="bottom"/>
          </w:tcPr>
          <w:p>
            <w:pPr>
              <w:pStyle w:val="TableContents"/>
              <w:spacing w:before="0" w:after="0"/>
              <w:ind w:left="0" w:right="0" w:hanging="0"/>
              <w:rPr/>
            </w:pPr>
            <w:r>
              <w:rPr/>
              <w:t> </w:t>
            </w:r>
          </w:p>
        </w:tc>
        <w:tc>
          <w:tcPr>
            <w:tcW w:w="816"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(26</w:t>
            </w:r>
          </w:p>
        </w:tc>
        <w:tc>
          <w:tcPr>
            <w:tcW w:w="102"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pPr>
            <w:r>
              <w:rPr/>
              <w:t> </w:t>
            </w:r>
          </w:p>
        </w:tc>
        <w:tc>
          <w:tcPr>
            <w:tcW w:w="101" w:type="dxa"/>
            <w:tcBorders/>
            <w:shd w:fill="CCEEFF" w:val="clear"/>
            <w:vAlign w:val="bottom"/>
          </w:tcPr>
          <w:p>
            <w:pPr>
              <w:pStyle w:val="TableContents"/>
              <w:spacing w:before="0" w:after="0"/>
              <w:ind w:left="0" w:right="0" w:hanging="0"/>
              <w:rPr/>
            </w:pPr>
            <w:r>
              <w:rPr/>
              <w:t> </w:t>
            </w:r>
          </w:p>
        </w:tc>
        <w:tc>
          <w:tcPr>
            <w:tcW w:w="714"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562</w:t>
            </w:r>
          </w:p>
        </w:tc>
        <w:tc>
          <w:tcPr>
            <w:tcW w:w="409" w:type="dxa"/>
            <w:tcBorders/>
            <w:shd w:fill="CCEEFF" w:val="clear"/>
            <w:vAlign w:val="bottom"/>
          </w:tcPr>
          <w:p>
            <w:pPr>
              <w:pStyle w:val="TableContents"/>
              <w:spacing w:before="0" w:after="0"/>
              <w:ind w:left="0" w:right="0" w:hanging="0"/>
              <w:rPr/>
            </w:pPr>
            <w:r>
              <w:rPr/>
              <w:t> </w:t>
            </w:r>
          </w:p>
        </w:tc>
      </w:tr>
      <w:tr>
        <w:trPr/>
        <w:tc>
          <w:tcPr>
            <w:tcW w:w="2553"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pPr>
            <w:r>
              <w:rPr/>
              <w:t> </w:t>
            </w:r>
          </w:p>
        </w:tc>
        <w:tc>
          <w:tcPr>
            <w:tcW w:w="409" w:type="dxa"/>
            <w:tcBorders/>
            <w:shd w:fill="auto" w:val="clear"/>
            <w:vAlign w:val="bottom"/>
          </w:tcPr>
          <w:p>
            <w:pPr>
              <w:pStyle w:val="TableContents"/>
              <w:spacing w:before="0" w:after="0"/>
              <w:ind w:left="0" w:right="0" w:hanging="0"/>
              <w:rPr/>
            </w:pPr>
            <w:r>
              <w:rPr/>
              <w:t> </w:t>
            </w:r>
          </w:p>
        </w:tc>
      </w:tr>
      <w:tr>
        <w:trPr/>
        <w:tc>
          <w:tcPr>
            <w:tcW w:w="2553"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rPr/>
            </w:pPr>
            <w:r>
              <w:rPr/>
              <w:t> </w:t>
            </w:r>
          </w:p>
        </w:tc>
        <w:tc>
          <w:tcPr>
            <w:tcW w:w="3572" w:type="dxa"/>
            <w:gridSpan w:val="7"/>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b/>
                <w:sz w:val="12"/>
              </w:rPr>
            </w:pPr>
            <w:r>
              <w:rPr>
                <w:rFonts w:ascii="Times New Roman" w:hAnsi="Times New Roman"/>
                <w:b/>
                <w:sz w:val="12"/>
              </w:rPr>
              <w:t>Six Months Ended July 2, 2005</w:t>
            </w:r>
          </w:p>
        </w:tc>
        <w:tc>
          <w:tcPr>
            <w:tcW w:w="101" w:type="dxa"/>
            <w:tcBorders/>
            <w:shd w:fill="auto" w:val="clear"/>
            <w:vAlign w:val="bottom"/>
          </w:tcPr>
          <w:p>
            <w:pPr>
              <w:pStyle w:val="TableContents"/>
              <w:spacing w:before="0" w:after="0"/>
              <w:ind w:left="0" w:right="0" w:hanging="0"/>
              <w:rPr/>
            </w:pPr>
            <w:r>
              <w:rPr/>
              <w:t> </w:t>
            </w:r>
          </w:p>
        </w:tc>
        <w:tc>
          <w:tcPr>
            <w:tcW w:w="3469" w:type="dxa"/>
            <w:gridSpan w:val="7"/>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Six Months Ended July 3, 2004</w:t>
            </w:r>
          </w:p>
        </w:tc>
        <w:tc>
          <w:tcPr>
            <w:tcW w:w="409" w:type="dxa"/>
            <w:tcBorders/>
            <w:shd w:fill="auto" w:val="clear"/>
            <w:vAlign w:val="bottom"/>
          </w:tcPr>
          <w:p>
            <w:pPr>
              <w:pStyle w:val="TableContents"/>
              <w:spacing w:before="0" w:after="0"/>
              <w:ind w:left="0" w:right="0" w:hanging="0"/>
              <w:rPr/>
            </w:pPr>
            <w:r>
              <w:rPr/>
              <w:t> </w:t>
            </w:r>
          </w:p>
        </w:tc>
      </w:tr>
      <w:tr>
        <w:trPr/>
        <w:tc>
          <w:tcPr>
            <w:tcW w:w="2553"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b/>
                <w:sz w:val="12"/>
              </w:rPr>
            </w:pPr>
            <w:r>
              <w:rPr>
                <w:rFonts w:ascii="Times New Roman" w:hAnsi="Times New Roman"/>
                <w:b/>
                <w:sz w:val="12"/>
              </w:rPr>
              <w:t>Domestic</w:t>
              <w:br/>
              <w:t>Vision</w:t>
              <w:br/>
              <w:t>Centers</w:t>
            </w:r>
          </w:p>
        </w:tc>
        <w:tc>
          <w:tcPr>
            <w:tcW w:w="101" w:type="dxa"/>
            <w:tcBorders/>
            <w:shd w:fill="auto" w:val="clear"/>
            <w:vAlign w:val="bottom"/>
          </w:tcPr>
          <w:p>
            <w:pPr>
              <w:pStyle w:val="TableContents"/>
              <w:spacing w:before="0" w:after="0"/>
              <w:ind w:left="0" w:right="0" w:hanging="0"/>
              <w:jc w:val="center"/>
              <w:rPr/>
            </w:pPr>
            <w:r>
              <w:rPr/>
              <w:t> </w:t>
            </w:r>
          </w:p>
        </w:tc>
        <w:tc>
          <w:tcPr>
            <w:tcW w:w="81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Other</w:t>
            </w:r>
          </w:p>
        </w:tc>
        <w:tc>
          <w:tcPr>
            <w:tcW w:w="102" w:type="dxa"/>
            <w:tcBorders/>
            <w:shd w:fill="auto" w:val="clear"/>
            <w:vAlign w:val="bottom"/>
          </w:tcPr>
          <w:p>
            <w:pPr>
              <w:pStyle w:val="TableContents"/>
              <w:spacing w:before="0" w:after="0"/>
              <w:ind w:left="0" w:right="0" w:hanging="0"/>
              <w:jc w:val="center"/>
              <w:rPr/>
            </w:pPr>
            <w:r>
              <w:rPr/>
              <w:t> </w:t>
            </w:r>
          </w:p>
        </w:tc>
        <w:tc>
          <w:tcPr>
            <w:tcW w:w="81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Corporate &amp;</w:t>
              <w:br/>
              <w:t>Eliminations</w:t>
            </w:r>
          </w:p>
        </w:tc>
        <w:tc>
          <w:tcPr>
            <w:tcW w:w="102" w:type="dxa"/>
            <w:tcBorders/>
            <w:shd w:fill="auto" w:val="clear"/>
            <w:vAlign w:val="bottom"/>
          </w:tcPr>
          <w:p>
            <w:pPr>
              <w:pStyle w:val="TableContents"/>
              <w:spacing w:before="0" w:after="0"/>
              <w:ind w:left="0" w:right="0" w:hanging="0"/>
              <w:jc w:val="center"/>
              <w:rPr/>
            </w:pPr>
            <w:r>
              <w:rPr/>
              <w:t> </w:t>
            </w:r>
          </w:p>
        </w:tc>
        <w:tc>
          <w:tcPr>
            <w:tcW w:w="81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Consolidated</w:t>
            </w:r>
          </w:p>
        </w:tc>
        <w:tc>
          <w:tcPr>
            <w:tcW w:w="101" w:type="dxa"/>
            <w:tcBorders/>
            <w:shd w:fill="auto" w:val="clear"/>
            <w:vAlign w:val="bottom"/>
          </w:tcPr>
          <w:p>
            <w:pPr>
              <w:pStyle w:val="TableContents"/>
              <w:spacing w:before="0" w:after="0"/>
              <w:ind w:left="0" w:right="0" w:hanging="0"/>
              <w:jc w:val="center"/>
              <w:rPr/>
            </w:pPr>
            <w:r>
              <w:rPr/>
              <w:t> </w:t>
            </w:r>
          </w:p>
        </w:tc>
        <w:tc>
          <w:tcPr>
            <w:tcW w:w="81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Domestic</w:t>
              <w:br/>
              <w:t>Vision</w:t>
              <w:br/>
              <w:t>Centers</w:t>
            </w:r>
          </w:p>
        </w:tc>
        <w:tc>
          <w:tcPr>
            <w:tcW w:w="102" w:type="dxa"/>
            <w:tcBorders/>
            <w:shd w:fill="auto" w:val="clear"/>
            <w:vAlign w:val="bottom"/>
          </w:tcPr>
          <w:p>
            <w:pPr>
              <w:pStyle w:val="TableContents"/>
              <w:spacing w:before="0" w:after="0"/>
              <w:ind w:left="0" w:right="0" w:hanging="0"/>
              <w:jc w:val="center"/>
              <w:rPr/>
            </w:pPr>
            <w:r>
              <w:rPr/>
              <w:t> </w:t>
            </w:r>
          </w:p>
        </w:tc>
        <w:tc>
          <w:tcPr>
            <w:tcW w:w="81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Other</w:t>
            </w:r>
          </w:p>
        </w:tc>
        <w:tc>
          <w:tcPr>
            <w:tcW w:w="102" w:type="dxa"/>
            <w:tcBorders/>
            <w:shd w:fill="auto" w:val="clear"/>
            <w:vAlign w:val="bottom"/>
          </w:tcPr>
          <w:p>
            <w:pPr>
              <w:pStyle w:val="TableContents"/>
              <w:spacing w:before="0" w:after="0"/>
              <w:ind w:left="0" w:right="0" w:hanging="0"/>
              <w:jc w:val="center"/>
              <w:rPr/>
            </w:pPr>
            <w:r>
              <w:rPr/>
              <w:t> </w:t>
            </w:r>
          </w:p>
        </w:tc>
        <w:tc>
          <w:tcPr>
            <w:tcW w:w="81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Corporate &amp;</w:t>
              <w:br/>
              <w:t>Eliminations</w:t>
            </w:r>
          </w:p>
        </w:tc>
        <w:tc>
          <w:tcPr>
            <w:tcW w:w="101" w:type="dxa"/>
            <w:tcBorders/>
            <w:shd w:fill="auto" w:val="clear"/>
            <w:vAlign w:val="bottom"/>
          </w:tcPr>
          <w:p>
            <w:pPr>
              <w:pStyle w:val="TableContents"/>
              <w:spacing w:before="0" w:after="0"/>
              <w:ind w:left="0" w:right="0" w:hanging="0"/>
              <w:jc w:val="center"/>
              <w:rPr/>
            </w:pPr>
            <w:r>
              <w:rPr/>
              <w:t> </w:t>
            </w:r>
          </w:p>
        </w:tc>
        <w:tc>
          <w:tcPr>
            <w:tcW w:w="71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Consolidated</w:t>
            </w:r>
          </w:p>
        </w:tc>
        <w:tc>
          <w:tcPr>
            <w:tcW w:w="409" w:type="dxa"/>
            <w:tcBorders/>
            <w:shd w:fill="auto" w:val="clear"/>
            <w:vAlign w:val="bottom"/>
          </w:tcPr>
          <w:p>
            <w:pPr>
              <w:pStyle w:val="TableContents"/>
              <w:spacing w:before="0" w:after="0"/>
              <w:ind w:left="0" w:right="0" w:hanging="0"/>
              <w:jc w:val="center"/>
              <w:rPr/>
            </w:pPr>
            <w:r>
              <w:rPr/>
              <w:t> </w:t>
            </w:r>
          </w:p>
        </w:tc>
      </w:tr>
      <w:tr>
        <w:trPr/>
        <w:tc>
          <w:tcPr>
            <w:tcW w:w="2553"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pPr>
            <w:r>
              <w:rPr/>
              <w:t> </w:t>
            </w:r>
          </w:p>
        </w:tc>
        <w:tc>
          <w:tcPr>
            <w:tcW w:w="409" w:type="dxa"/>
            <w:tcBorders/>
            <w:shd w:fill="auto" w:val="clear"/>
            <w:vAlign w:val="bottom"/>
          </w:tcPr>
          <w:p>
            <w:pPr>
              <w:pStyle w:val="TableContents"/>
              <w:spacing w:before="0" w:after="0"/>
              <w:ind w:left="0" w:right="0" w:hanging="0"/>
              <w:rPr/>
            </w:pPr>
            <w:r>
              <w:rPr/>
              <w:t> </w:t>
            </w:r>
          </w:p>
        </w:tc>
      </w:tr>
      <w:tr>
        <w:trPr/>
        <w:tc>
          <w:tcPr>
            <w:tcW w:w="2553" w:type="dxa"/>
            <w:tcBorders/>
            <w:shd w:fill="CCEEFF" w:val="clear"/>
          </w:tcPr>
          <w:p>
            <w:pPr>
              <w:pStyle w:val="TableContents"/>
              <w:spacing w:before="0" w:after="0"/>
              <w:ind w:left="0" w:right="0" w:hanging="0"/>
              <w:rPr>
                <w:rFonts w:ascii="Times New Roman" w:hAnsi="Times New Roman"/>
                <w:sz w:val="12"/>
              </w:rPr>
            </w:pPr>
            <w:r>
              <w:rPr>
                <w:rFonts w:ascii="Times New Roman" w:hAnsi="Times New Roman"/>
                <w:sz w:val="12"/>
              </w:rPr>
              <w:t>Revenues from external customers</w:t>
            </w:r>
          </w:p>
        </w:tc>
        <w:tc>
          <w:tcPr>
            <w:tcW w:w="101"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111,472</w:t>
            </w:r>
          </w:p>
        </w:tc>
        <w:tc>
          <w:tcPr>
            <w:tcW w:w="101"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7,306</w:t>
            </w:r>
          </w:p>
        </w:tc>
        <w:tc>
          <w:tcPr>
            <w:tcW w:w="102" w:type="dxa"/>
            <w:tcBorders/>
            <w:shd w:fill="CCEEFF" w:val="clear"/>
            <w:vAlign w:val="bottom"/>
          </w:tcPr>
          <w:p>
            <w:pPr>
              <w:pStyle w:val="TableContents"/>
              <w:spacing w:before="0" w:after="0"/>
              <w:ind w:left="0" w:right="0" w:hanging="0"/>
              <w:rPr/>
            </w:pPr>
            <w:r>
              <w:rPr/>
              <w:t> </w:t>
            </w:r>
          </w:p>
        </w:tc>
        <w:tc>
          <w:tcPr>
            <w:tcW w:w="816" w:type="dxa"/>
            <w:tcBorders>
              <w:bottom w:val="double" w:sz="4" w:space="0" w:color="000000"/>
            </w:tcBorders>
            <w:shd w:fill="CCEEFF" w:val="clear"/>
            <w:tcMar>
              <w:bottom w:w="28" w:type="dxa"/>
            </w:tcM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118,778</w:t>
            </w:r>
          </w:p>
        </w:tc>
        <w:tc>
          <w:tcPr>
            <w:tcW w:w="101"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107,968</w:t>
            </w:r>
          </w:p>
        </w:tc>
        <w:tc>
          <w:tcPr>
            <w:tcW w:w="102" w:type="dxa"/>
            <w:tcBorders/>
            <w:shd w:fill="CCEEFF" w:val="clear"/>
            <w:vAlign w:val="bottom"/>
          </w:tcPr>
          <w:p>
            <w:pPr>
              <w:pStyle w:val="TableContents"/>
              <w:spacing w:before="0" w:after="0"/>
              <w:ind w:left="0" w:right="0" w:hanging="0"/>
              <w:rPr/>
            </w:pPr>
            <w:r>
              <w:rPr/>
              <w:t> </w:t>
            </w:r>
          </w:p>
        </w:tc>
        <w:tc>
          <w:tcPr>
            <w:tcW w:w="816"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5,893</w:t>
            </w:r>
          </w:p>
        </w:tc>
        <w:tc>
          <w:tcPr>
            <w:tcW w:w="102"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pPr>
            <w:r>
              <w:rPr/>
              <w:t> </w:t>
            </w:r>
          </w:p>
        </w:tc>
        <w:tc>
          <w:tcPr>
            <w:tcW w:w="101" w:type="dxa"/>
            <w:tcBorders/>
            <w:shd w:fill="CCEEFF" w:val="clear"/>
            <w:vAlign w:val="bottom"/>
          </w:tcPr>
          <w:p>
            <w:pPr>
              <w:pStyle w:val="TableContents"/>
              <w:spacing w:before="0" w:after="0"/>
              <w:ind w:left="0" w:right="0" w:hanging="0"/>
              <w:rPr/>
            </w:pPr>
            <w:r>
              <w:rPr/>
              <w:t> </w:t>
            </w:r>
          </w:p>
        </w:tc>
        <w:tc>
          <w:tcPr>
            <w:tcW w:w="714"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113,861</w:t>
            </w:r>
          </w:p>
        </w:tc>
        <w:tc>
          <w:tcPr>
            <w:tcW w:w="409" w:type="dxa"/>
            <w:tcBorders/>
            <w:shd w:fill="CCEEFF" w:val="clear"/>
            <w:vAlign w:val="bottom"/>
          </w:tcPr>
          <w:p>
            <w:pPr>
              <w:pStyle w:val="TableContents"/>
              <w:spacing w:before="0" w:after="0"/>
              <w:ind w:left="0" w:right="0" w:hanging="0"/>
              <w:rPr/>
            </w:pPr>
            <w:r>
              <w:rPr/>
              <w:t> </w:t>
            </w:r>
          </w:p>
        </w:tc>
      </w:tr>
      <w:tr>
        <w:trPr/>
        <w:tc>
          <w:tcPr>
            <w:tcW w:w="2553"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pPr>
            <w:r>
              <w:rPr/>
              <w:t> </w:t>
            </w:r>
          </w:p>
        </w:tc>
        <w:tc>
          <w:tcPr>
            <w:tcW w:w="409" w:type="dxa"/>
            <w:tcBorders/>
            <w:shd w:fill="auto" w:val="clear"/>
            <w:vAlign w:val="bottom"/>
          </w:tcPr>
          <w:p>
            <w:pPr>
              <w:pStyle w:val="TableContents"/>
              <w:spacing w:before="0" w:after="0"/>
              <w:ind w:left="0" w:right="0" w:hanging="0"/>
              <w:rPr/>
            </w:pPr>
            <w:r>
              <w:rPr/>
              <w:t> </w:t>
            </w:r>
          </w:p>
        </w:tc>
      </w:tr>
      <w:tr>
        <w:trPr/>
        <w:tc>
          <w:tcPr>
            <w:tcW w:w="2553" w:type="dxa"/>
            <w:tcBorders/>
            <w:shd w:fill="CCEEFF" w:val="clear"/>
          </w:tcPr>
          <w:p>
            <w:pPr>
              <w:pStyle w:val="TableContents"/>
              <w:spacing w:before="0" w:after="0"/>
              <w:ind w:left="0" w:right="0" w:hanging="0"/>
              <w:rPr>
                <w:rFonts w:ascii="Times New Roman" w:hAnsi="Times New Roman"/>
                <w:sz w:val="12"/>
              </w:rPr>
            </w:pPr>
            <w:r>
              <w:rPr>
                <w:rFonts w:ascii="Times New Roman" w:hAnsi="Times New Roman"/>
                <w:sz w:val="12"/>
              </w:rPr>
              <w:t>Depreciation and amortization</w:t>
            </w:r>
          </w:p>
        </w:tc>
        <w:tc>
          <w:tcPr>
            <w:tcW w:w="101"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5,682</w:t>
            </w:r>
          </w:p>
        </w:tc>
        <w:tc>
          <w:tcPr>
            <w:tcW w:w="101"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213</w:t>
            </w:r>
          </w:p>
        </w:tc>
        <w:tc>
          <w:tcPr>
            <w:tcW w:w="102" w:type="dxa"/>
            <w:tcBorders/>
            <w:shd w:fill="CCEEFF" w:val="clear"/>
            <w:vAlign w:val="bottom"/>
          </w:tcPr>
          <w:p>
            <w:pPr>
              <w:pStyle w:val="TableContents"/>
              <w:spacing w:before="0" w:after="0"/>
              <w:ind w:left="0" w:right="0" w:hanging="0"/>
              <w:rPr/>
            </w:pPr>
            <w:r>
              <w:rPr/>
              <w:t> </w:t>
            </w:r>
          </w:p>
        </w:tc>
        <w:tc>
          <w:tcPr>
            <w:tcW w:w="816" w:type="dxa"/>
            <w:tcBorders>
              <w:bottom w:val="double" w:sz="4" w:space="0" w:color="000000"/>
            </w:tcBorders>
            <w:shd w:fill="CCEEFF" w:val="clear"/>
            <w:tcMar>
              <w:bottom w:w="28" w:type="dxa"/>
            </w:tcM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5,895</w:t>
            </w:r>
          </w:p>
        </w:tc>
        <w:tc>
          <w:tcPr>
            <w:tcW w:w="101"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5,930</w:t>
            </w:r>
          </w:p>
        </w:tc>
        <w:tc>
          <w:tcPr>
            <w:tcW w:w="102" w:type="dxa"/>
            <w:tcBorders/>
            <w:shd w:fill="CCEEFF" w:val="clear"/>
            <w:vAlign w:val="bottom"/>
          </w:tcPr>
          <w:p>
            <w:pPr>
              <w:pStyle w:val="TableContents"/>
              <w:spacing w:before="0" w:after="0"/>
              <w:ind w:left="0" w:right="0" w:hanging="0"/>
              <w:rPr/>
            </w:pPr>
            <w:r>
              <w:rPr/>
              <w:t> </w:t>
            </w:r>
          </w:p>
        </w:tc>
        <w:tc>
          <w:tcPr>
            <w:tcW w:w="816"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292</w:t>
            </w:r>
          </w:p>
        </w:tc>
        <w:tc>
          <w:tcPr>
            <w:tcW w:w="102"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pPr>
            <w:r>
              <w:rPr/>
              <w:t> </w:t>
            </w:r>
          </w:p>
        </w:tc>
        <w:tc>
          <w:tcPr>
            <w:tcW w:w="101" w:type="dxa"/>
            <w:tcBorders/>
            <w:shd w:fill="CCEEFF" w:val="clear"/>
            <w:vAlign w:val="bottom"/>
          </w:tcPr>
          <w:p>
            <w:pPr>
              <w:pStyle w:val="TableContents"/>
              <w:spacing w:before="0" w:after="0"/>
              <w:ind w:left="0" w:right="0" w:hanging="0"/>
              <w:rPr/>
            </w:pPr>
            <w:r>
              <w:rPr/>
              <w:t> </w:t>
            </w:r>
          </w:p>
        </w:tc>
        <w:tc>
          <w:tcPr>
            <w:tcW w:w="714"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6,222</w:t>
            </w:r>
          </w:p>
        </w:tc>
        <w:tc>
          <w:tcPr>
            <w:tcW w:w="409" w:type="dxa"/>
            <w:tcBorders/>
            <w:shd w:fill="CCEEFF" w:val="clear"/>
            <w:vAlign w:val="bottom"/>
          </w:tcPr>
          <w:p>
            <w:pPr>
              <w:pStyle w:val="TableContents"/>
              <w:spacing w:before="0" w:after="0"/>
              <w:ind w:left="0" w:right="0" w:hanging="0"/>
              <w:rPr/>
            </w:pPr>
            <w:r>
              <w:rPr/>
              <w:t> </w:t>
            </w:r>
          </w:p>
        </w:tc>
      </w:tr>
      <w:tr>
        <w:trPr/>
        <w:tc>
          <w:tcPr>
            <w:tcW w:w="2553"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pPr>
            <w:r>
              <w:rPr/>
              <w:t> </w:t>
            </w:r>
          </w:p>
        </w:tc>
        <w:tc>
          <w:tcPr>
            <w:tcW w:w="409" w:type="dxa"/>
            <w:tcBorders/>
            <w:shd w:fill="auto" w:val="clear"/>
            <w:vAlign w:val="bottom"/>
          </w:tcPr>
          <w:p>
            <w:pPr>
              <w:pStyle w:val="TableContents"/>
              <w:spacing w:before="0" w:after="0"/>
              <w:ind w:left="0" w:right="0" w:hanging="0"/>
              <w:rPr/>
            </w:pPr>
            <w:r>
              <w:rPr/>
              <w:t> </w:t>
            </w:r>
          </w:p>
        </w:tc>
      </w:tr>
      <w:tr>
        <w:trPr/>
        <w:tc>
          <w:tcPr>
            <w:tcW w:w="2553" w:type="dxa"/>
            <w:tcBorders/>
            <w:shd w:fill="CCEEFF" w:val="clear"/>
          </w:tcPr>
          <w:p>
            <w:pPr>
              <w:pStyle w:val="TableContents"/>
              <w:spacing w:before="0" w:after="0"/>
              <w:ind w:left="0" w:right="0" w:hanging="0"/>
              <w:rPr>
                <w:rFonts w:ascii="Times New Roman" w:hAnsi="Times New Roman"/>
                <w:sz w:val="12"/>
              </w:rPr>
            </w:pPr>
            <w:r>
              <w:rPr>
                <w:rFonts w:ascii="Times New Roman" w:hAnsi="Times New Roman"/>
                <w:sz w:val="12"/>
              </w:rPr>
              <w:t>Segment operating profit</w:t>
            </w:r>
          </w:p>
        </w:tc>
        <w:tc>
          <w:tcPr>
            <w:tcW w:w="101" w:type="dxa"/>
            <w:tcBorders/>
            <w:shd w:fill="CCEEFF" w:val="clear"/>
            <w:vAlign w:val="bottom"/>
          </w:tcPr>
          <w:p>
            <w:pPr>
              <w:pStyle w:val="TableContents"/>
              <w:spacing w:before="0" w:after="0"/>
              <w:ind w:left="0" w:right="0" w:hanging="0"/>
              <w:rPr/>
            </w:pPr>
            <w:r>
              <w:rPr/>
              <w:t> </w:t>
            </w:r>
          </w:p>
        </w:tc>
        <w:tc>
          <w:tcPr>
            <w:tcW w:w="817" w:type="dxa"/>
            <w:tcBorders/>
            <w:shd w:fill="CCEEFF" w:val="cle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10,464</w:t>
            </w:r>
          </w:p>
        </w:tc>
        <w:tc>
          <w:tcPr>
            <w:tcW w:w="101" w:type="dxa"/>
            <w:tcBorders/>
            <w:shd w:fill="CCEEFF" w:val="clear"/>
            <w:vAlign w:val="bottom"/>
          </w:tcPr>
          <w:p>
            <w:pPr>
              <w:pStyle w:val="TableContents"/>
              <w:spacing w:before="0" w:after="0"/>
              <w:ind w:left="0" w:right="0" w:hanging="0"/>
              <w:rPr/>
            </w:pPr>
            <w:r>
              <w:rPr/>
              <w:t> </w:t>
            </w:r>
          </w:p>
        </w:tc>
        <w:tc>
          <w:tcPr>
            <w:tcW w:w="817" w:type="dxa"/>
            <w:tcBorders/>
            <w:shd w:fill="CCEEFF" w:val="cle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87</w:t>
            </w:r>
          </w:p>
        </w:tc>
        <w:tc>
          <w:tcPr>
            <w:tcW w:w="102" w:type="dxa"/>
            <w:tcBorders/>
            <w:shd w:fill="CCEEFF" w:val="clear"/>
            <w:vAlign w:val="bottom"/>
          </w:tcPr>
          <w:p>
            <w:pPr>
              <w:pStyle w:val="TableContents"/>
              <w:spacing w:before="0" w:after="0"/>
              <w:ind w:left="0" w:right="0" w:hanging="0"/>
              <w:rPr/>
            </w:pPr>
            <w:r>
              <w:rPr/>
              <w:t> </w:t>
            </w:r>
          </w:p>
        </w:tc>
        <w:tc>
          <w:tcPr>
            <w:tcW w:w="816" w:type="dxa"/>
            <w:tcBorders/>
            <w:shd w:fill="CCEEFF" w:val="cle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w:t>
            </w:r>
          </w:p>
        </w:tc>
        <w:tc>
          <w:tcPr>
            <w:tcW w:w="102" w:type="dxa"/>
            <w:tcBorders/>
            <w:shd w:fill="CCEEFF" w:val="clear"/>
            <w:vAlign w:val="bottom"/>
          </w:tcPr>
          <w:p>
            <w:pPr>
              <w:pStyle w:val="TableContents"/>
              <w:spacing w:before="0" w:after="0"/>
              <w:ind w:left="0" w:right="0" w:hanging="0"/>
              <w:rPr/>
            </w:pPr>
            <w:r>
              <w:rPr/>
              <w:t> </w:t>
            </w:r>
          </w:p>
        </w:tc>
        <w:tc>
          <w:tcPr>
            <w:tcW w:w="817" w:type="dxa"/>
            <w:tcBorders/>
            <w:shd w:fill="CCEEFF" w:val="cle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10,551</w:t>
            </w:r>
          </w:p>
        </w:tc>
        <w:tc>
          <w:tcPr>
            <w:tcW w:w="101" w:type="dxa"/>
            <w:tcBorders/>
            <w:shd w:fill="CCEEFF" w:val="clear"/>
            <w:vAlign w:val="bottom"/>
          </w:tcPr>
          <w:p>
            <w:pPr>
              <w:pStyle w:val="TableContents"/>
              <w:spacing w:before="0" w:after="0"/>
              <w:ind w:left="0" w:right="0" w:hanging="0"/>
              <w:rPr/>
            </w:pPr>
            <w:r>
              <w:rPr/>
              <w:t> </w:t>
            </w:r>
          </w:p>
        </w:tc>
        <w:tc>
          <w:tcPr>
            <w:tcW w:w="817" w:type="dxa"/>
            <w:tcBorders/>
            <w:shd w:fill="CCEEFF" w:val="cle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8,581</w:t>
            </w:r>
          </w:p>
        </w:tc>
        <w:tc>
          <w:tcPr>
            <w:tcW w:w="102" w:type="dxa"/>
            <w:tcBorders/>
            <w:shd w:fill="CCEEFF" w:val="clear"/>
            <w:vAlign w:val="bottom"/>
          </w:tcPr>
          <w:p>
            <w:pPr>
              <w:pStyle w:val="TableContents"/>
              <w:spacing w:before="0" w:after="0"/>
              <w:ind w:left="0" w:right="0" w:hanging="0"/>
              <w:rPr/>
            </w:pPr>
            <w:r>
              <w:rPr/>
              <w:t> </w:t>
            </w:r>
          </w:p>
        </w:tc>
        <w:tc>
          <w:tcPr>
            <w:tcW w:w="816" w:type="dxa"/>
            <w:tcBorders/>
            <w:shd w:fill="CCEEFF" w:val="cle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145</w:t>
            </w:r>
          </w:p>
        </w:tc>
        <w:tc>
          <w:tcPr>
            <w:tcW w:w="102" w:type="dxa"/>
            <w:tcBorders/>
            <w:shd w:fill="CCEEFF" w:val="clear"/>
            <w:vAlign w:val="bottom"/>
          </w:tcPr>
          <w:p>
            <w:pPr>
              <w:pStyle w:val="TableContents"/>
              <w:spacing w:before="0" w:after="0"/>
              <w:ind w:left="0" w:right="0" w:hanging="0"/>
              <w:rPr/>
            </w:pPr>
            <w:r>
              <w:rPr/>
              <w:t> </w:t>
            </w:r>
          </w:p>
        </w:tc>
        <w:tc>
          <w:tcPr>
            <w:tcW w:w="817" w:type="dxa"/>
            <w:tcBorders/>
            <w:shd w:fill="CCEEFF" w:val="cle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w:t>
            </w:r>
          </w:p>
        </w:tc>
        <w:tc>
          <w:tcPr>
            <w:tcW w:w="101" w:type="dxa"/>
            <w:tcBorders/>
            <w:shd w:fill="CCEEFF" w:val="clear"/>
            <w:vAlign w:val="bottom"/>
          </w:tcPr>
          <w:p>
            <w:pPr>
              <w:pStyle w:val="TableContents"/>
              <w:spacing w:before="0" w:after="0"/>
              <w:ind w:left="0" w:right="0" w:hanging="0"/>
              <w:rPr/>
            </w:pPr>
            <w:r>
              <w:rPr/>
              <w:t> </w:t>
            </w:r>
          </w:p>
        </w:tc>
        <w:tc>
          <w:tcPr>
            <w:tcW w:w="714" w:type="dxa"/>
            <w:tcBorders/>
            <w:shd w:fill="CCEEFF" w:val="cle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8,726</w:t>
            </w:r>
          </w:p>
        </w:tc>
        <w:tc>
          <w:tcPr>
            <w:tcW w:w="409" w:type="dxa"/>
            <w:tcBorders/>
            <w:shd w:fill="CCEEFF" w:val="clear"/>
            <w:vAlign w:val="bottom"/>
          </w:tcPr>
          <w:p>
            <w:pPr>
              <w:pStyle w:val="TableContents"/>
              <w:spacing w:before="0" w:after="0"/>
              <w:ind w:left="0" w:right="0" w:hanging="0"/>
              <w:rPr/>
            </w:pPr>
            <w:r>
              <w:rPr/>
              <w:t> </w:t>
            </w:r>
          </w:p>
        </w:tc>
      </w:tr>
      <w:tr>
        <w:trPr/>
        <w:tc>
          <w:tcPr>
            <w:tcW w:w="2553"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pPr>
            <w:r>
              <w:rPr/>
              <w:t> </w:t>
            </w:r>
          </w:p>
        </w:tc>
        <w:tc>
          <w:tcPr>
            <w:tcW w:w="409" w:type="dxa"/>
            <w:tcBorders/>
            <w:shd w:fill="auto" w:val="clear"/>
            <w:vAlign w:val="bottom"/>
          </w:tcPr>
          <w:p>
            <w:pPr>
              <w:pStyle w:val="TableContents"/>
              <w:spacing w:before="0" w:after="0"/>
              <w:ind w:left="0" w:right="0" w:hanging="0"/>
              <w:rPr/>
            </w:pPr>
            <w:r>
              <w:rPr/>
              <w:t> </w:t>
            </w:r>
          </w:p>
        </w:tc>
      </w:tr>
      <w:tr>
        <w:trPr/>
        <w:tc>
          <w:tcPr>
            <w:tcW w:w="2553" w:type="dxa"/>
            <w:tcBorders/>
            <w:shd w:fill="CCEEFF" w:val="clear"/>
          </w:tcPr>
          <w:p>
            <w:pPr>
              <w:pStyle w:val="TableContents"/>
              <w:spacing w:before="0" w:after="0"/>
              <w:ind w:left="0" w:right="0" w:hanging="0"/>
              <w:rPr>
                <w:rFonts w:ascii="Times New Roman" w:hAnsi="Times New Roman"/>
                <w:sz w:val="12"/>
              </w:rPr>
            </w:pPr>
            <w:r>
              <w:rPr>
                <w:rFonts w:ascii="Times New Roman" w:hAnsi="Times New Roman"/>
                <w:sz w:val="12"/>
              </w:rPr>
              <w:t>Interest expense</w:t>
            </w:r>
          </w:p>
        </w:tc>
        <w:tc>
          <w:tcPr>
            <w:tcW w:w="101" w:type="dxa"/>
            <w:tcBorders/>
            <w:shd w:fill="CCEEFF" w:val="clear"/>
            <w:vAlign w:val="bottom"/>
          </w:tcPr>
          <w:p>
            <w:pPr>
              <w:pStyle w:val="TableContents"/>
              <w:spacing w:before="0" w:after="0"/>
              <w:ind w:left="0" w:right="0" w:hanging="0"/>
              <w:rPr/>
            </w:pPr>
            <w:r>
              <w:rPr/>
              <w:t> </w:t>
            </w:r>
          </w:p>
        </w:tc>
        <w:tc>
          <w:tcPr>
            <w:tcW w:w="817" w:type="dxa"/>
            <w:tcBorders/>
            <w:shd w:fill="CCEEFF" w:val="clear"/>
            <w:vAlign w:val="bottom"/>
          </w:tcPr>
          <w:p>
            <w:pPr>
              <w:pStyle w:val="TableContents"/>
              <w:spacing w:before="0" w:after="0"/>
              <w:ind w:left="0" w:right="0" w:hanging="0"/>
              <w:jc w:val="right"/>
              <w:rPr/>
            </w:pPr>
            <w:r>
              <w:rPr/>
              <w:t> </w:t>
            </w:r>
          </w:p>
        </w:tc>
        <w:tc>
          <w:tcPr>
            <w:tcW w:w="101" w:type="dxa"/>
            <w:tcBorders/>
            <w:shd w:fill="CCEEFF" w:val="clear"/>
            <w:vAlign w:val="bottom"/>
          </w:tcPr>
          <w:p>
            <w:pPr>
              <w:pStyle w:val="TableContents"/>
              <w:spacing w:before="0" w:after="0"/>
              <w:ind w:left="0" w:right="0" w:hanging="0"/>
              <w:rPr/>
            </w:pPr>
            <w:r>
              <w:rPr/>
              <w:t> </w:t>
            </w:r>
          </w:p>
        </w:tc>
        <w:tc>
          <w:tcPr>
            <w:tcW w:w="817"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816" w:type="dxa"/>
            <w:tcBorders/>
            <w:shd w:fill="CCEEFF" w:val="cle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(4,553</w:t>
            </w:r>
          </w:p>
        </w:tc>
        <w:tc>
          <w:tcPr>
            <w:tcW w:w="102"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817" w:type="dxa"/>
            <w:tcBorders/>
            <w:shd w:fill="CCEEFF" w:val="cle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(4,553</w:t>
            </w:r>
          </w:p>
        </w:tc>
        <w:tc>
          <w:tcPr>
            <w:tcW w:w="101"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817"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816"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817" w:type="dxa"/>
            <w:tcBorders/>
            <w:shd w:fill="CCEEFF" w:val="cle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(5,754</w:t>
            </w:r>
          </w:p>
        </w:tc>
        <w:tc>
          <w:tcPr>
            <w:tcW w:w="101"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714" w:type="dxa"/>
            <w:tcBorders/>
            <w:shd w:fill="CCEEFF" w:val="cle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(5,754</w:t>
            </w:r>
          </w:p>
        </w:tc>
        <w:tc>
          <w:tcPr>
            <w:tcW w:w="409"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r>
      <w:tr>
        <w:trPr/>
        <w:tc>
          <w:tcPr>
            <w:tcW w:w="2553"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pPr>
            <w:r>
              <w:rPr/>
              <w:t> </w:t>
            </w:r>
          </w:p>
        </w:tc>
        <w:tc>
          <w:tcPr>
            <w:tcW w:w="409" w:type="dxa"/>
            <w:tcBorders/>
            <w:shd w:fill="auto" w:val="clear"/>
            <w:vAlign w:val="bottom"/>
          </w:tcPr>
          <w:p>
            <w:pPr>
              <w:pStyle w:val="TableContents"/>
              <w:spacing w:before="0" w:after="0"/>
              <w:ind w:left="0" w:right="0" w:hanging="0"/>
              <w:rPr/>
            </w:pPr>
            <w:r>
              <w:rPr/>
              <w:t> </w:t>
            </w:r>
          </w:p>
        </w:tc>
      </w:tr>
      <w:tr>
        <w:trPr/>
        <w:tc>
          <w:tcPr>
            <w:tcW w:w="2553" w:type="dxa"/>
            <w:tcBorders/>
            <w:shd w:fill="CCEEFF" w:val="clear"/>
          </w:tcPr>
          <w:p>
            <w:pPr>
              <w:pStyle w:val="TableContents"/>
              <w:spacing w:before="0" w:after="0"/>
              <w:ind w:left="0" w:right="0" w:hanging="0"/>
              <w:rPr>
                <w:rFonts w:ascii="Times New Roman" w:hAnsi="Times New Roman"/>
                <w:sz w:val="12"/>
              </w:rPr>
            </w:pPr>
            <w:r>
              <w:rPr>
                <w:rFonts w:ascii="Times New Roman" w:hAnsi="Times New Roman"/>
                <w:sz w:val="12"/>
              </w:rPr>
              <w:t>Gain on note repurchases</w:t>
            </w:r>
          </w:p>
        </w:tc>
        <w:tc>
          <w:tcPr>
            <w:tcW w:w="101" w:type="dxa"/>
            <w:tcBorders/>
            <w:shd w:fill="CCEEFF" w:val="clear"/>
            <w:vAlign w:val="bottom"/>
          </w:tcPr>
          <w:p>
            <w:pPr>
              <w:pStyle w:val="TableContents"/>
              <w:spacing w:before="0" w:after="0"/>
              <w:ind w:left="0" w:right="0" w:hanging="0"/>
              <w:rPr/>
            </w:pPr>
            <w:r>
              <w:rPr/>
              <w:t> </w:t>
            </w:r>
          </w:p>
        </w:tc>
        <w:tc>
          <w:tcPr>
            <w:tcW w:w="817" w:type="dxa"/>
            <w:tcBorders/>
            <w:shd w:fill="CCEEFF" w:val="clear"/>
            <w:vAlign w:val="bottom"/>
          </w:tcPr>
          <w:p>
            <w:pPr>
              <w:pStyle w:val="TableContents"/>
              <w:spacing w:before="0" w:after="0"/>
              <w:ind w:left="0" w:right="0" w:hanging="0"/>
              <w:jc w:val="right"/>
              <w:rPr/>
            </w:pPr>
            <w:r>
              <w:rPr/>
              <w:t> </w:t>
            </w:r>
          </w:p>
        </w:tc>
        <w:tc>
          <w:tcPr>
            <w:tcW w:w="101" w:type="dxa"/>
            <w:tcBorders/>
            <w:shd w:fill="CCEEFF" w:val="clear"/>
            <w:vAlign w:val="bottom"/>
          </w:tcPr>
          <w:p>
            <w:pPr>
              <w:pStyle w:val="TableContents"/>
              <w:spacing w:before="0" w:after="0"/>
              <w:ind w:left="0" w:right="0" w:hanging="0"/>
              <w:rPr/>
            </w:pPr>
            <w:r>
              <w:rPr/>
              <w:t> </w:t>
            </w:r>
          </w:p>
        </w:tc>
        <w:tc>
          <w:tcPr>
            <w:tcW w:w="817"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816" w:type="dxa"/>
            <w:tcBorders/>
            <w:shd w:fill="CCEEFF" w:val="cle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23</w:t>
            </w:r>
          </w:p>
        </w:tc>
        <w:tc>
          <w:tcPr>
            <w:tcW w:w="102" w:type="dxa"/>
            <w:tcBorders/>
            <w:shd w:fill="CCEEFF" w:val="clear"/>
            <w:vAlign w:val="bottom"/>
          </w:tcPr>
          <w:p>
            <w:pPr>
              <w:pStyle w:val="TableContents"/>
              <w:spacing w:before="0" w:after="0"/>
              <w:ind w:left="0" w:right="0" w:hanging="0"/>
              <w:rPr/>
            </w:pPr>
            <w:r>
              <w:rPr/>
              <w:t> </w:t>
            </w:r>
          </w:p>
        </w:tc>
        <w:tc>
          <w:tcPr>
            <w:tcW w:w="817" w:type="dxa"/>
            <w:tcBorders/>
            <w:shd w:fill="CCEEFF" w:val="cle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23</w:t>
            </w:r>
          </w:p>
        </w:tc>
        <w:tc>
          <w:tcPr>
            <w:tcW w:w="101" w:type="dxa"/>
            <w:tcBorders/>
            <w:shd w:fill="CCEEFF" w:val="clear"/>
            <w:vAlign w:val="bottom"/>
          </w:tcPr>
          <w:p>
            <w:pPr>
              <w:pStyle w:val="TableContents"/>
              <w:spacing w:before="0" w:after="0"/>
              <w:ind w:left="0" w:right="0" w:hanging="0"/>
              <w:rPr/>
            </w:pPr>
            <w:r>
              <w:rPr/>
              <w:t> </w:t>
            </w:r>
          </w:p>
        </w:tc>
        <w:tc>
          <w:tcPr>
            <w:tcW w:w="817"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816"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817" w:type="dxa"/>
            <w:tcBorders/>
            <w:shd w:fill="CCEEFF" w:val="cle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2,902</w:t>
            </w:r>
          </w:p>
        </w:tc>
        <w:tc>
          <w:tcPr>
            <w:tcW w:w="101" w:type="dxa"/>
            <w:tcBorders/>
            <w:shd w:fill="CCEEFF" w:val="clear"/>
            <w:vAlign w:val="bottom"/>
          </w:tcPr>
          <w:p>
            <w:pPr>
              <w:pStyle w:val="TableContents"/>
              <w:spacing w:before="0" w:after="0"/>
              <w:ind w:left="0" w:right="0" w:hanging="0"/>
              <w:rPr/>
            </w:pPr>
            <w:r>
              <w:rPr/>
              <w:t> </w:t>
            </w:r>
          </w:p>
        </w:tc>
        <w:tc>
          <w:tcPr>
            <w:tcW w:w="714" w:type="dxa"/>
            <w:tcBorders/>
            <w:shd w:fill="CCEEFF" w:val="cle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2,902</w:t>
            </w:r>
          </w:p>
        </w:tc>
        <w:tc>
          <w:tcPr>
            <w:tcW w:w="409" w:type="dxa"/>
            <w:tcBorders/>
            <w:shd w:fill="CCEEFF" w:val="clear"/>
            <w:vAlign w:val="bottom"/>
          </w:tcPr>
          <w:p>
            <w:pPr>
              <w:pStyle w:val="TableContents"/>
              <w:spacing w:before="0" w:after="0"/>
              <w:ind w:left="0" w:right="0" w:hanging="0"/>
              <w:rPr/>
            </w:pPr>
            <w:r>
              <w:rPr/>
              <w:t> </w:t>
            </w:r>
          </w:p>
        </w:tc>
      </w:tr>
      <w:tr>
        <w:trPr/>
        <w:tc>
          <w:tcPr>
            <w:tcW w:w="2553"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pPr>
            <w:r>
              <w:rPr/>
              <w:t> </w:t>
            </w:r>
          </w:p>
        </w:tc>
        <w:tc>
          <w:tcPr>
            <w:tcW w:w="409" w:type="dxa"/>
            <w:tcBorders/>
            <w:shd w:fill="auto" w:val="clear"/>
            <w:vAlign w:val="bottom"/>
          </w:tcPr>
          <w:p>
            <w:pPr>
              <w:pStyle w:val="TableContents"/>
              <w:spacing w:before="0" w:after="0"/>
              <w:ind w:left="0" w:right="0" w:hanging="0"/>
              <w:rPr/>
            </w:pPr>
            <w:r>
              <w:rPr/>
              <w:t> </w:t>
            </w:r>
          </w:p>
        </w:tc>
      </w:tr>
      <w:tr>
        <w:trPr/>
        <w:tc>
          <w:tcPr>
            <w:tcW w:w="2553" w:type="dxa"/>
            <w:tcBorders/>
            <w:shd w:fill="CCEEFF" w:val="clear"/>
          </w:tcPr>
          <w:p>
            <w:pPr>
              <w:pStyle w:val="TableContents"/>
              <w:spacing w:before="0" w:after="0"/>
              <w:ind w:left="0" w:right="0" w:hanging="0"/>
              <w:rPr>
                <w:rFonts w:ascii="Times New Roman" w:hAnsi="Times New Roman"/>
                <w:sz w:val="12"/>
              </w:rPr>
            </w:pPr>
            <w:r>
              <w:rPr>
                <w:rFonts w:ascii="Times New Roman" w:hAnsi="Times New Roman"/>
                <w:sz w:val="12"/>
              </w:rPr>
              <w:t>Other income</w:t>
            </w:r>
          </w:p>
        </w:tc>
        <w:tc>
          <w:tcPr>
            <w:tcW w:w="101" w:type="dxa"/>
            <w:tcBorders/>
            <w:shd w:fill="CCEEFF" w:val="clear"/>
            <w:vAlign w:val="bottom"/>
          </w:tcPr>
          <w:p>
            <w:pPr>
              <w:pStyle w:val="TableContents"/>
              <w:spacing w:before="0" w:after="0"/>
              <w:ind w:left="0" w:right="0" w:hanging="0"/>
              <w:rPr/>
            </w:pPr>
            <w:r>
              <w:rPr/>
              <w:t> </w:t>
            </w:r>
          </w:p>
        </w:tc>
        <w:tc>
          <w:tcPr>
            <w:tcW w:w="817" w:type="dxa"/>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01" w:type="dxa"/>
            <w:tcBorders/>
            <w:shd w:fill="CCEEFF" w:val="clear"/>
            <w:vAlign w:val="bottom"/>
          </w:tcPr>
          <w:p>
            <w:pPr>
              <w:pStyle w:val="TableContents"/>
              <w:spacing w:before="0" w:after="0"/>
              <w:ind w:left="0" w:right="0" w:hanging="0"/>
              <w:rPr/>
            </w:pPr>
            <w:r>
              <w:rPr/>
              <w:t> </w:t>
            </w:r>
          </w:p>
        </w:tc>
        <w:tc>
          <w:tcPr>
            <w:tcW w:w="817" w:type="dxa"/>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81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252</w:t>
            </w:r>
          </w:p>
        </w:tc>
        <w:tc>
          <w:tcPr>
            <w:tcW w:w="102" w:type="dxa"/>
            <w:tcBorders/>
            <w:shd w:fill="CCEEFF" w:val="clear"/>
            <w:vAlign w:val="bottom"/>
          </w:tcPr>
          <w:p>
            <w:pPr>
              <w:pStyle w:val="TableContents"/>
              <w:spacing w:before="0" w:after="0"/>
              <w:ind w:left="0" w:right="0" w:hanging="0"/>
              <w:rPr/>
            </w:pPr>
            <w:r>
              <w:rPr/>
              <w:t> </w:t>
            </w:r>
          </w:p>
        </w:tc>
        <w:tc>
          <w:tcPr>
            <w:tcW w:w="81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252</w:t>
            </w:r>
          </w:p>
        </w:tc>
        <w:tc>
          <w:tcPr>
            <w:tcW w:w="101" w:type="dxa"/>
            <w:tcBorders/>
            <w:shd w:fill="CCEEFF" w:val="clear"/>
            <w:vAlign w:val="bottom"/>
          </w:tcPr>
          <w:p>
            <w:pPr>
              <w:pStyle w:val="TableContents"/>
              <w:spacing w:before="0" w:after="0"/>
              <w:ind w:left="0" w:right="0" w:hanging="0"/>
              <w:rPr/>
            </w:pPr>
            <w:r>
              <w:rPr/>
              <w:t> </w:t>
            </w:r>
          </w:p>
        </w:tc>
        <w:tc>
          <w:tcPr>
            <w:tcW w:w="817" w:type="dxa"/>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816" w:type="dxa"/>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81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70</w:t>
            </w:r>
          </w:p>
        </w:tc>
        <w:tc>
          <w:tcPr>
            <w:tcW w:w="101" w:type="dxa"/>
            <w:tcBorders/>
            <w:shd w:fill="CCEEFF" w:val="clear"/>
            <w:vAlign w:val="bottom"/>
          </w:tcPr>
          <w:p>
            <w:pPr>
              <w:pStyle w:val="TableContents"/>
              <w:spacing w:before="0" w:after="0"/>
              <w:ind w:left="0" w:right="0" w:hanging="0"/>
              <w:rPr/>
            </w:pPr>
            <w:r>
              <w:rPr/>
              <w:t> </w:t>
            </w:r>
          </w:p>
        </w:tc>
        <w:tc>
          <w:tcPr>
            <w:tcW w:w="71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70</w:t>
            </w:r>
          </w:p>
        </w:tc>
        <w:tc>
          <w:tcPr>
            <w:tcW w:w="409" w:type="dxa"/>
            <w:tcBorders/>
            <w:shd w:fill="CCEEFF" w:val="clear"/>
            <w:vAlign w:val="bottom"/>
          </w:tcPr>
          <w:p>
            <w:pPr>
              <w:pStyle w:val="TableContents"/>
              <w:spacing w:before="0" w:after="0"/>
              <w:ind w:left="0" w:right="0" w:hanging="0"/>
              <w:rPr/>
            </w:pPr>
            <w:r>
              <w:rPr/>
              <w:t> </w:t>
            </w:r>
          </w:p>
        </w:tc>
      </w:tr>
      <w:tr>
        <w:trPr/>
        <w:tc>
          <w:tcPr>
            <w:tcW w:w="2553"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pPr>
            <w:r>
              <w:rPr/>
              <w:t> </w:t>
            </w:r>
          </w:p>
        </w:tc>
        <w:tc>
          <w:tcPr>
            <w:tcW w:w="409" w:type="dxa"/>
            <w:tcBorders/>
            <w:shd w:fill="auto" w:val="clear"/>
            <w:vAlign w:val="bottom"/>
          </w:tcPr>
          <w:p>
            <w:pPr>
              <w:pStyle w:val="TableContents"/>
              <w:spacing w:before="0" w:after="0"/>
              <w:ind w:left="0" w:right="0" w:hanging="0"/>
              <w:rPr/>
            </w:pPr>
            <w:r>
              <w:rPr/>
              <w:t> </w:t>
            </w:r>
          </w:p>
        </w:tc>
      </w:tr>
      <w:tr>
        <w:trPr/>
        <w:tc>
          <w:tcPr>
            <w:tcW w:w="2553" w:type="dxa"/>
            <w:tcBorders/>
            <w:shd w:fill="CCEEFF" w:val="clear"/>
          </w:tcPr>
          <w:p>
            <w:pPr>
              <w:pStyle w:val="TableContents"/>
              <w:spacing w:before="0" w:after="0"/>
              <w:ind w:left="0" w:right="0" w:hanging="0"/>
              <w:rPr>
                <w:rFonts w:ascii="Times New Roman" w:hAnsi="Times New Roman"/>
                <w:sz w:val="12"/>
              </w:rPr>
            </w:pPr>
            <w:r>
              <w:rPr>
                <w:rFonts w:ascii="Times New Roman" w:hAnsi="Times New Roman"/>
                <w:sz w:val="12"/>
              </w:rPr>
              <w:t>Earnings before income taxes and discontinued operations</w:t>
            </w:r>
          </w:p>
        </w:tc>
        <w:tc>
          <w:tcPr>
            <w:tcW w:w="101"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10,464</w:t>
            </w:r>
          </w:p>
        </w:tc>
        <w:tc>
          <w:tcPr>
            <w:tcW w:w="101"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87</w:t>
            </w:r>
          </w:p>
        </w:tc>
        <w:tc>
          <w:tcPr>
            <w:tcW w:w="102" w:type="dxa"/>
            <w:tcBorders/>
            <w:shd w:fill="CCEEFF" w:val="clear"/>
            <w:vAlign w:val="bottom"/>
          </w:tcPr>
          <w:p>
            <w:pPr>
              <w:pStyle w:val="TableContents"/>
              <w:spacing w:before="0" w:after="0"/>
              <w:ind w:left="0" w:right="0" w:hanging="0"/>
              <w:rPr/>
            </w:pPr>
            <w:r>
              <w:rPr/>
              <w:t> </w:t>
            </w:r>
          </w:p>
        </w:tc>
        <w:tc>
          <w:tcPr>
            <w:tcW w:w="816"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(4,278</w:t>
            </w:r>
          </w:p>
        </w:tc>
        <w:tc>
          <w:tcPr>
            <w:tcW w:w="102"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6,273</w:t>
            </w:r>
          </w:p>
        </w:tc>
        <w:tc>
          <w:tcPr>
            <w:tcW w:w="101"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8,572</w:t>
            </w:r>
          </w:p>
        </w:tc>
        <w:tc>
          <w:tcPr>
            <w:tcW w:w="102" w:type="dxa"/>
            <w:tcBorders/>
            <w:shd w:fill="CCEEFF" w:val="clear"/>
            <w:vAlign w:val="bottom"/>
          </w:tcPr>
          <w:p>
            <w:pPr>
              <w:pStyle w:val="TableContents"/>
              <w:spacing w:before="0" w:after="0"/>
              <w:ind w:left="0" w:right="0" w:hanging="0"/>
              <w:rPr/>
            </w:pPr>
            <w:r>
              <w:rPr/>
              <w:t> </w:t>
            </w:r>
          </w:p>
        </w:tc>
        <w:tc>
          <w:tcPr>
            <w:tcW w:w="816"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154</w:t>
            </w:r>
          </w:p>
        </w:tc>
        <w:tc>
          <w:tcPr>
            <w:tcW w:w="102"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(2,782</w:t>
            </w:r>
          </w:p>
        </w:tc>
        <w:tc>
          <w:tcPr>
            <w:tcW w:w="101"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714"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5,944</w:t>
            </w:r>
          </w:p>
        </w:tc>
        <w:tc>
          <w:tcPr>
            <w:tcW w:w="409" w:type="dxa"/>
            <w:tcBorders/>
            <w:shd w:fill="CCEEFF" w:val="clear"/>
            <w:vAlign w:val="bottom"/>
          </w:tcPr>
          <w:p>
            <w:pPr>
              <w:pStyle w:val="TableContents"/>
              <w:spacing w:before="0" w:after="0"/>
              <w:ind w:left="0" w:right="0" w:hanging="0"/>
              <w:rPr/>
            </w:pPr>
            <w:r>
              <w:rPr/>
              <w:t> </w:t>
            </w:r>
          </w:p>
        </w:tc>
      </w:tr>
      <w:tr>
        <w:trPr/>
        <w:tc>
          <w:tcPr>
            <w:tcW w:w="2553"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pPr>
            <w:r>
              <w:rPr/>
              <w:t> </w:t>
            </w:r>
          </w:p>
        </w:tc>
        <w:tc>
          <w:tcPr>
            <w:tcW w:w="409" w:type="dxa"/>
            <w:tcBorders/>
            <w:shd w:fill="auto" w:val="clear"/>
            <w:vAlign w:val="bottom"/>
          </w:tcPr>
          <w:p>
            <w:pPr>
              <w:pStyle w:val="TableContents"/>
              <w:spacing w:before="0" w:after="0"/>
              <w:ind w:left="0" w:right="0" w:hanging="0"/>
              <w:rPr/>
            </w:pPr>
            <w:r>
              <w:rPr/>
              <w:t> </w:t>
            </w:r>
          </w:p>
        </w:tc>
      </w:tr>
      <w:tr>
        <w:trPr/>
        <w:tc>
          <w:tcPr>
            <w:tcW w:w="2553" w:type="dxa"/>
            <w:tcBorders/>
            <w:shd w:fill="CCEEFF" w:val="clear"/>
          </w:tcPr>
          <w:p>
            <w:pPr>
              <w:pStyle w:val="TableContents"/>
              <w:spacing w:before="0" w:after="0"/>
              <w:ind w:left="0" w:right="0" w:hanging="0"/>
              <w:rPr>
                <w:rFonts w:ascii="Times New Roman" w:hAnsi="Times New Roman"/>
                <w:sz w:val="12"/>
              </w:rPr>
            </w:pPr>
            <w:r>
              <w:rPr>
                <w:rFonts w:ascii="Times New Roman" w:hAnsi="Times New Roman"/>
                <w:sz w:val="12"/>
              </w:rPr>
              <w:t>Segment assets</w:t>
            </w:r>
          </w:p>
        </w:tc>
        <w:tc>
          <w:tcPr>
            <w:tcW w:w="101"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113,291</w:t>
            </w:r>
          </w:p>
        </w:tc>
        <w:tc>
          <w:tcPr>
            <w:tcW w:w="101"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4,886</w:t>
            </w:r>
          </w:p>
        </w:tc>
        <w:tc>
          <w:tcPr>
            <w:tcW w:w="102" w:type="dxa"/>
            <w:tcBorders/>
            <w:shd w:fill="CCEEFF" w:val="clear"/>
            <w:vAlign w:val="bottom"/>
          </w:tcPr>
          <w:p>
            <w:pPr>
              <w:pStyle w:val="TableContents"/>
              <w:spacing w:before="0" w:after="0"/>
              <w:ind w:left="0" w:right="0" w:hanging="0"/>
              <w:rPr/>
            </w:pPr>
            <w:r>
              <w:rPr/>
              <w:t> </w:t>
            </w:r>
          </w:p>
        </w:tc>
        <w:tc>
          <w:tcPr>
            <w:tcW w:w="816"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10,351</w:t>
            </w:r>
          </w:p>
        </w:tc>
        <w:tc>
          <w:tcPr>
            <w:tcW w:w="102"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128,528</w:t>
            </w:r>
          </w:p>
        </w:tc>
        <w:tc>
          <w:tcPr>
            <w:tcW w:w="101"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121,127</w:t>
            </w:r>
          </w:p>
        </w:tc>
        <w:tc>
          <w:tcPr>
            <w:tcW w:w="102" w:type="dxa"/>
            <w:tcBorders/>
            <w:shd w:fill="CCEEFF" w:val="clear"/>
            <w:vAlign w:val="bottom"/>
          </w:tcPr>
          <w:p>
            <w:pPr>
              <w:pStyle w:val="TableContents"/>
              <w:spacing w:before="0" w:after="0"/>
              <w:ind w:left="0" w:right="0" w:hanging="0"/>
              <w:rPr/>
            </w:pPr>
            <w:r>
              <w:rPr/>
              <w:t> </w:t>
            </w:r>
          </w:p>
        </w:tc>
        <w:tc>
          <w:tcPr>
            <w:tcW w:w="816"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6,084</w:t>
            </w:r>
          </w:p>
        </w:tc>
        <w:tc>
          <w:tcPr>
            <w:tcW w:w="102"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8,717</w:t>
            </w:r>
          </w:p>
        </w:tc>
        <w:tc>
          <w:tcPr>
            <w:tcW w:w="101" w:type="dxa"/>
            <w:tcBorders/>
            <w:shd w:fill="CCEEFF" w:val="clear"/>
            <w:vAlign w:val="bottom"/>
          </w:tcPr>
          <w:p>
            <w:pPr>
              <w:pStyle w:val="TableContents"/>
              <w:spacing w:before="0" w:after="0"/>
              <w:ind w:left="0" w:right="0" w:hanging="0"/>
              <w:rPr/>
            </w:pPr>
            <w:r>
              <w:rPr/>
              <w:t> </w:t>
            </w:r>
          </w:p>
        </w:tc>
        <w:tc>
          <w:tcPr>
            <w:tcW w:w="714"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135,928</w:t>
            </w:r>
          </w:p>
        </w:tc>
        <w:tc>
          <w:tcPr>
            <w:tcW w:w="409" w:type="dxa"/>
            <w:tcBorders/>
            <w:shd w:fill="CCEEFF" w:val="clear"/>
            <w:vAlign w:val="bottom"/>
          </w:tcPr>
          <w:p>
            <w:pPr>
              <w:pStyle w:val="TableContents"/>
              <w:spacing w:before="0" w:after="0"/>
              <w:ind w:left="0" w:right="0" w:hanging="0"/>
              <w:rPr/>
            </w:pPr>
            <w:r>
              <w:rPr/>
              <w:t> </w:t>
            </w:r>
          </w:p>
        </w:tc>
      </w:tr>
      <w:tr>
        <w:trPr/>
        <w:tc>
          <w:tcPr>
            <w:tcW w:w="2553"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17"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pPr>
            <w:r>
              <w:rPr/>
              <w:t> </w:t>
            </w:r>
          </w:p>
        </w:tc>
        <w:tc>
          <w:tcPr>
            <w:tcW w:w="409" w:type="dxa"/>
            <w:tcBorders/>
            <w:shd w:fill="auto" w:val="clear"/>
            <w:vAlign w:val="bottom"/>
          </w:tcPr>
          <w:p>
            <w:pPr>
              <w:pStyle w:val="TableContents"/>
              <w:spacing w:before="0" w:after="0"/>
              <w:ind w:left="0" w:right="0" w:hanging="0"/>
              <w:rPr/>
            </w:pPr>
            <w:r>
              <w:rPr/>
              <w:t> </w:t>
            </w:r>
          </w:p>
        </w:tc>
      </w:tr>
      <w:tr>
        <w:trPr/>
        <w:tc>
          <w:tcPr>
            <w:tcW w:w="2553" w:type="dxa"/>
            <w:tcBorders/>
            <w:shd w:fill="CCEEFF" w:val="clear"/>
          </w:tcPr>
          <w:p>
            <w:pPr>
              <w:pStyle w:val="TableContents"/>
              <w:spacing w:before="0" w:after="0"/>
              <w:ind w:left="0" w:right="0" w:hanging="0"/>
              <w:rPr>
                <w:rFonts w:ascii="Times New Roman" w:hAnsi="Times New Roman"/>
                <w:sz w:val="12"/>
              </w:rPr>
            </w:pPr>
            <w:r>
              <w:rPr>
                <w:rFonts w:ascii="Times New Roman" w:hAnsi="Times New Roman"/>
                <w:sz w:val="12"/>
              </w:rPr>
              <w:t>Expenditures for long-lived assets</w:t>
            </w:r>
          </w:p>
        </w:tc>
        <w:tc>
          <w:tcPr>
            <w:tcW w:w="101"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3,078</w:t>
            </w:r>
          </w:p>
        </w:tc>
        <w:tc>
          <w:tcPr>
            <w:tcW w:w="101"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118</w:t>
            </w:r>
          </w:p>
        </w:tc>
        <w:tc>
          <w:tcPr>
            <w:tcW w:w="102" w:type="dxa"/>
            <w:tcBorders/>
            <w:shd w:fill="CCEEFF" w:val="clear"/>
            <w:vAlign w:val="bottom"/>
          </w:tcPr>
          <w:p>
            <w:pPr>
              <w:pStyle w:val="TableContents"/>
              <w:spacing w:before="0" w:after="0"/>
              <w:ind w:left="0" w:right="0" w:hanging="0"/>
              <w:rPr/>
            </w:pPr>
            <w:r>
              <w:rPr/>
              <w:t> </w:t>
            </w:r>
          </w:p>
        </w:tc>
        <w:tc>
          <w:tcPr>
            <w:tcW w:w="816" w:type="dxa"/>
            <w:tcBorders>
              <w:bottom w:val="double" w:sz="4" w:space="0" w:color="000000"/>
            </w:tcBorders>
            <w:shd w:fill="CCEEFF" w:val="clear"/>
            <w:tcMar>
              <w:bottom w:w="28" w:type="dxa"/>
            </w:tcM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3,196</w:t>
            </w:r>
          </w:p>
        </w:tc>
        <w:tc>
          <w:tcPr>
            <w:tcW w:w="101"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1,682</w:t>
            </w:r>
          </w:p>
        </w:tc>
        <w:tc>
          <w:tcPr>
            <w:tcW w:w="102" w:type="dxa"/>
            <w:tcBorders/>
            <w:shd w:fill="CCEEFF" w:val="clear"/>
            <w:vAlign w:val="bottom"/>
          </w:tcPr>
          <w:p>
            <w:pPr>
              <w:pStyle w:val="TableContents"/>
              <w:spacing w:before="0" w:after="0"/>
              <w:ind w:left="0" w:right="0" w:hanging="0"/>
              <w:rPr/>
            </w:pPr>
            <w:r>
              <w:rPr/>
              <w:t> </w:t>
            </w:r>
          </w:p>
        </w:tc>
        <w:tc>
          <w:tcPr>
            <w:tcW w:w="816"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53</w:t>
            </w:r>
          </w:p>
        </w:tc>
        <w:tc>
          <w:tcPr>
            <w:tcW w:w="102" w:type="dxa"/>
            <w:tcBorders/>
            <w:shd w:fill="CCEEFF" w:val="clear"/>
            <w:vAlign w:val="bottom"/>
          </w:tcPr>
          <w:p>
            <w:pPr>
              <w:pStyle w:val="TableContents"/>
              <w:spacing w:before="0" w:after="0"/>
              <w:ind w:left="0" w:right="0" w:hanging="0"/>
              <w:rPr/>
            </w:pPr>
            <w:r>
              <w:rPr/>
              <w:t> </w:t>
            </w:r>
          </w:p>
        </w:tc>
        <w:tc>
          <w:tcPr>
            <w:tcW w:w="817" w:type="dxa"/>
            <w:tcBorders>
              <w:bottom w:val="double" w:sz="4" w:space="0" w:color="000000"/>
            </w:tcBorders>
            <w:shd w:fill="CCEEFF" w:val="clear"/>
            <w:tcMar>
              <w:bottom w:w="28" w:type="dxa"/>
            </w:tcMar>
            <w:vAlign w:val="bottom"/>
          </w:tcPr>
          <w:p>
            <w:pPr>
              <w:pStyle w:val="TableContents"/>
              <w:spacing w:before="0" w:after="0"/>
              <w:ind w:left="0" w:right="0" w:hanging="0"/>
              <w:jc w:val="right"/>
              <w:rPr/>
            </w:pPr>
            <w:r>
              <w:rPr/>
              <w:t> </w:t>
            </w:r>
          </w:p>
        </w:tc>
        <w:tc>
          <w:tcPr>
            <w:tcW w:w="101" w:type="dxa"/>
            <w:tcBorders/>
            <w:shd w:fill="CCEEFF" w:val="clear"/>
            <w:vAlign w:val="bottom"/>
          </w:tcPr>
          <w:p>
            <w:pPr>
              <w:pStyle w:val="TableContents"/>
              <w:spacing w:before="0" w:after="0"/>
              <w:ind w:left="0" w:right="0" w:hanging="0"/>
              <w:rPr/>
            </w:pPr>
            <w:r>
              <w:rPr/>
              <w:t> </w:t>
            </w:r>
          </w:p>
        </w:tc>
        <w:tc>
          <w:tcPr>
            <w:tcW w:w="714"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2"/>
              </w:rPr>
            </w:pPr>
            <w:r>
              <w:rPr>
                <w:rFonts w:ascii="Times New Roman" w:hAnsi="Times New Roman"/>
                <w:sz w:val="12"/>
              </w:rPr>
              <w:t>1,735</w:t>
            </w:r>
          </w:p>
        </w:tc>
        <w:tc>
          <w:tcPr>
            <w:tcW w:w="409"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13</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(8) SHAREHOLDERS EQUITY</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 xml:space="preserve">On April 28, 2005 the Compensation Committee (the Committee) approved the final payment of awards under the Companys long-term incentive plan for the performance period fiscal 2002-2004.  These awards were payable two-thirds in cash and one-third in shares of the Companys common stock.  As a result, in the second quarter of 2005 we paid a total of approximately $1.0 million in cash and issued 67,664 shares of common stock for the payment of these awards. </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(9) SUPPLEMENTAL DISCLOSURE INFORMATION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                                     Inventory balances, by classification, are summarized as follows (amounts in thousands):</w:t>
      </w:r>
    </w:p>
    <w:p>
      <w:pPr>
        <w:pStyle w:val="TextBody"/>
        <w:spacing w:before="0" w:after="0"/>
        <w:ind w:left="0" w:right="0" w:hanging="0"/>
        <w:rPr/>
      </w:pPr>
      <w:r>
        <w:rPr/>
        <w:t> </w:t>
      </w:r>
    </w:p>
    <w:tbl>
      <w:tblPr>
        <w:tblW w:w="4000" w:type="pct"/>
        <w:jc w:val="left"/>
        <w:tblInd w:w="0" w:type="dxa"/>
        <w:tblCellMar>
          <w:top w:w="0" w:type="dxa"/>
          <w:left w:w="0" w:type="dxa"/>
          <w:bottom w:w="0" w:type="dxa"/>
          <w:right w:w="0" w:type="dxa"/>
        </w:tblCellMar>
      </w:tblPr>
      <w:tblGrid>
        <w:gridCol w:w="4517"/>
        <w:gridCol w:w="176"/>
        <w:gridCol w:w="115"/>
        <w:gridCol w:w="1427"/>
        <w:gridCol w:w="183"/>
        <w:gridCol w:w="118"/>
        <w:gridCol w:w="1439"/>
        <w:gridCol w:w="189"/>
      </w:tblGrid>
      <w:tr>
        <w:trPr/>
        <w:tc>
          <w:tcPr>
            <w:tcW w:w="4517" w:type="dxa"/>
            <w:tcBorders/>
            <w:shd w:fill="auto" w:val="clear"/>
            <w:vAlign w:val="bottom"/>
          </w:tcPr>
          <w:p>
            <w:pPr>
              <w:pStyle w:val="TableContents"/>
              <w:spacing w:before="0" w:after="0"/>
              <w:ind w:left="0" w:right="0" w:hanging="0"/>
              <w:jc w:val="center"/>
              <w:rPr/>
            </w:pPr>
            <w:r>
              <w:rPr/>
              <w:t> </w:t>
            </w:r>
          </w:p>
        </w:tc>
        <w:tc>
          <w:tcPr>
            <w:tcW w:w="176" w:type="dxa"/>
            <w:tcBorders/>
            <w:shd w:fill="auto" w:val="clear"/>
            <w:vAlign w:val="bottom"/>
          </w:tcPr>
          <w:p>
            <w:pPr>
              <w:pStyle w:val="TableContents"/>
              <w:spacing w:before="0" w:after="0"/>
              <w:ind w:left="0" w:right="0" w:hanging="0"/>
              <w:rPr/>
            </w:pPr>
            <w:r>
              <w:rPr/>
              <w:t> </w:t>
            </w:r>
          </w:p>
        </w:tc>
        <w:tc>
          <w:tcPr>
            <w:tcW w:w="15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2, 2005</w:t>
            </w:r>
          </w:p>
        </w:tc>
        <w:tc>
          <w:tcPr>
            <w:tcW w:w="183" w:type="dxa"/>
            <w:tcBorders/>
            <w:shd w:fill="auto" w:val="clear"/>
            <w:vAlign w:val="bottom"/>
          </w:tcPr>
          <w:p>
            <w:pPr>
              <w:pStyle w:val="TableContents"/>
              <w:spacing w:before="0" w:after="0"/>
              <w:ind w:left="0" w:right="0" w:hanging="0"/>
              <w:rPr/>
            </w:pPr>
            <w:r>
              <w:rPr/>
              <w:t> </w:t>
            </w:r>
          </w:p>
        </w:tc>
        <w:tc>
          <w:tcPr>
            <w:tcW w:w="155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January 1, 2005</w:t>
            </w:r>
          </w:p>
        </w:tc>
        <w:tc>
          <w:tcPr>
            <w:tcW w:w="189" w:type="dxa"/>
            <w:tcBorders/>
            <w:shd w:fill="auto" w:val="clear"/>
            <w:vAlign w:val="bottom"/>
          </w:tcPr>
          <w:p>
            <w:pPr>
              <w:pStyle w:val="TableContents"/>
              <w:spacing w:before="0" w:after="0"/>
              <w:ind w:left="0" w:right="0" w:hanging="0"/>
              <w:rPr/>
            </w:pPr>
            <w:r>
              <w:rPr/>
              <w:t> </w:t>
            </w:r>
          </w:p>
        </w:tc>
      </w:tr>
      <w:tr>
        <w:trPr/>
        <w:tc>
          <w:tcPr>
            <w:tcW w:w="4517" w:type="dxa"/>
            <w:tcBorders/>
            <w:shd w:fill="auto" w:val="clear"/>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0"/>
              <w:ind w:left="0" w:right="0" w:hanging="0"/>
              <w:rPr/>
            </w:pPr>
            <w:r>
              <w:rPr/>
              <w:t> </w:t>
            </w:r>
          </w:p>
        </w:tc>
        <w:tc>
          <w:tcPr>
            <w:tcW w:w="1542" w:type="dxa"/>
            <w:gridSpan w:val="2"/>
            <w:tcBorders/>
            <w:shd w:fill="auto" w:val="clear"/>
            <w:vAlign w:val="bottom"/>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0"/>
              <w:ind w:left="0" w:right="0" w:hanging="0"/>
              <w:rPr/>
            </w:pPr>
            <w:r>
              <w:rPr/>
              <w:t> </w:t>
            </w:r>
          </w:p>
        </w:tc>
        <w:tc>
          <w:tcPr>
            <w:tcW w:w="1557"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r>
      <w:tr>
        <w:trPr/>
        <w:tc>
          <w:tcPr>
            <w:tcW w:w="451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Raw materials and work in progress</w:t>
            </w:r>
          </w:p>
        </w:tc>
        <w:tc>
          <w:tcPr>
            <w:tcW w:w="176"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9,062</w:t>
            </w:r>
          </w:p>
        </w:tc>
        <w:tc>
          <w:tcPr>
            <w:tcW w:w="183" w:type="dxa"/>
            <w:tcBorders/>
            <w:shd w:fill="CCEEFF" w:val="clear"/>
            <w:vAlign w:val="bottom"/>
          </w:tcPr>
          <w:p>
            <w:pPr>
              <w:pStyle w:val="TableContents"/>
              <w:spacing w:before="0" w:after="0"/>
              <w:ind w:left="0" w:right="0" w:hanging="0"/>
              <w:rPr/>
            </w:pPr>
            <w:r>
              <w:rPr/>
              <w:t> </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3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9,206</w:t>
            </w:r>
          </w:p>
        </w:tc>
        <w:tc>
          <w:tcPr>
            <w:tcW w:w="189" w:type="dxa"/>
            <w:tcBorders/>
            <w:shd w:fill="CCEEFF" w:val="clear"/>
            <w:vAlign w:val="bottom"/>
          </w:tcPr>
          <w:p>
            <w:pPr>
              <w:pStyle w:val="TableContents"/>
              <w:spacing w:before="0" w:after="0"/>
              <w:ind w:left="0" w:right="0" w:hanging="0"/>
              <w:rPr/>
            </w:pPr>
            <w:r>
              <w:rPr/>
              <w:t> </w:t>
            </w:r>
          </w:p>
        </w:tc>
      </w:tr>
      <w:tr>
        <w:trPr/>
        <w:tc>
          <w:tcPr>
            <w:tcW w:w="45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Finished goods</w:t>
            </w:r>
          </w:p>
        </w:tc>
        <w:tc>
          <w:tcPr>
            <w:tcW w:w="176" w:type="dxa"/>
            <w:tcBorders/>
            <w:shd w:fill="auto" w:val="clear"/>
            <w:vAlign w:val="bottom"/>
          </w:tcPr>
          <w:p>
            <w:pPr>
              <w:pStyle w:val="TableContents"/>
              <w:spacing w:before="0" w:after="0"/>
              <w:ind w:left="0" w:right="0" w:hanging="0"/>
              <w:rPr/>
            </w:pPr>
            <w:r>
              <w:rPr/>
              <w:t> </w:t>
            </w:r>
          </w:p>
        </w:tc>
        <w:tc>
          <w:tcPr>
            <w:tcW w:w="15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5,678</w:t>
            </w:r>
          </w:p>
        </w:tc>
        <w:tc>
          <w:tcPr>
            <w:tcW w:w="183" w:type="dxa"/>
            <w:tcBorders/>
            <w:shd w:fill="auto" w:val="clear"/>
            <w:vAlign w:val="bottom"/>
          </w:tcPr>
          <w:p>
            <w:pPr>
              <w:pStyle w:val="TableContents"/>
              <w:spacing w:before="0" w:after="0"/>
              <w:ind w:left="0" w:right="0" w:hanging="0"/>
              <w:rPr/>
            </w:pPr>
            <w:r>
              <w:rPr/>
              <w:t> </w:t>
            </w:r>
          </w:p>
        </w:tc>
        <w:tc>
          <w:tcPr>
            <w:tcW w:w="15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5,796</w:t>
            </w:r>
          </w:p>
        </w:tc>
        <w:tc>
          <w:tcPr>
            <w:tcW w:w="189" w:type="dxa"/>
            <w:tcBorders/>
            <w:shd w:fill="auto" w:val="clear"/>
            <w:vAlign w:val="bottom"/>
          </w:tcPr>
          <w:p>
            <w:pPr>
              <w:pStyle w:val="TableContents"/>
              <w:spacing w:before="0" w:after="0"/>
              <w:ind w:left="0" w:right="0" w:hanging="0"/>
              <w:rPr/>
            </w:pPr>
            <w:r>
              <w:rPr/>
              <w:t> </w:t>
            </w:r>
          </w:p>
        </w:tc>
      </w:tr>
      <w:tr>
        <w:trPr/>
        <w:tc>
          <w:tcPr>
            <w:tcW w:w="451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Supplies</w:t>
            </w:r>
          </w:p>
        </w:tc>
        <w:tc>
          <w:tcPr>
            <w:tcW w:w="176" w:type="dxa"/>
            <w:tcBorders/>
            <w:shd w:fill="CCEEFF" w:val="clear"/>
            <w:vAlign w:val="bottom"/>
          </w:tcPr>
          <w:p>
            <w:pPr>
              <w:pStyle w:val="TableContents"/>
              <w:spacing w:before="0" w:after="0"/>
              <w:ind w:left="0" w:right="0" w:hanging="0"/>
              <w:rPr/>
            </w:pPr>
            <w:r>
              <w:rPr/>
              <w:t> </w:t>
            </w:r>
          </w:p>
        </w:tc>
        <w:tc>
          <w:tcPr>
            <w:tcW w:w="15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449</w:t>
            </w:r>
          </w:p>
        </w:tc>
        <w:tc>
          <w:tcPr>
            <w:tcW w:w="183" w:type="dxa"/>
            <w:tcBorders/>
            <w:shd w:fill="CCEEFF" w:val="clear"/>
            <w:vAlign w:val="bottom"/>
          </w:tcPr>
          <w:p>
            <w:pPr>
              <w:pStyle w:val="TableContents"/>
              <w:spacing w:before="0" w:after="0"/>
              <w:ind w:left="0" w:right="0" w:hanging="0"/>
              <w:rPr/>
            </w:pPr>
            <w:r>
              <w:rPr/>
              <w:t> </w:t>
            </w:r>
          </w:p>
        </w:tc>
        <w:tc>
          <w:tcPr>
            <w:tcW w:w="15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w:t>
            </w:r>
          </w:p>
        </w:tc>
        <w:tc>
          <w:tcPr>
            <w:tcW w:w="189" w:type="dxa"/>
            <w:tcBorders/>
            <w:shd w:fill="CCEEFF" w:val="clear"/>
            <w:vAlign w:val="bottom"/>
          </w:tcPr>
          <w:p>
            <w:pPr>
              <w:pStyle w:val="TableContents"/>
              <w:spacing w:before="0" w:after="0"/>
              <w:ind w:left="0" w:right="0" w:hanging="0"/>
              <w:rPr/>
            </w:pPr>
            <w:r>
              <w:rPr/>
              <w:t> </w:t>
            </w:r>
          </w:p>
        </w:tc>
      </w:tr>
      <w:tr>
        <w:trPr/>
        <w:tc>
          <w:tcPr>
            <w:tcW w:w="45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Reserves</w:t>
            </w:r>
          </w:p>
        </w:tc>
        <w:tc>
          <w:tcPr>
            <w:tcW w:w="176" w:type="dxa"/>
            <w:tcBorders/>
            <w:shd w:fill="auto" w:val="clear"/>
            <w:vAlign w:val="bottom"/>
          </w:tcPr>
          <w:p>
            <w:pPr>
              <w:pStyle w:val="TableContents"/>
              <w:spacing w:before="0" w:after="0"/>
              <w:ind w:left="0" w:right="0" w:hanging="0"/>
              <w:rPr/>
            </w:pPr>
            <w:r>
              <w:rPr/>
              <w:t> </w:t>
            </w:r>
          </w:p>
        </w:tc>
        <w:tc>
          <w:tcPr>
            <w:tcW w:w="15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(1,275</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5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(1,293</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17" w:type="dxa"/>
            <w:tcBorders/>
            <w:shd w:fill="CCEEFF" w:val="clear"/>
          </w:tcPr>
          <w:p>
            <w:pPr>
              <w:pStyle w:val="TableContents"/>
              <w:spacing w:before="0" w:after="0"/>
              <w:ind w:left="0" w:right="0" w:hanging="0"/>
              <w:rPr/>
            </w:pPr>
            <w:r>
              <w:rPr/>
              <w:t> </w:t>
            </w:r>
          </w:p>
        </w:tc>
        <w:tc>
          <w:tcPr>
            <w:tcW w:w="176" w:type="dxa"/>
            <w:tcBorders/>
            <w:shd w:fill="CCEEFF" w:val="clear"/>
            <w:vAlign w:val="bottom"/>
          </w:tcPr>
          <w:p>
            <w:pPr>
              <w:pStyle w:val="TableContents"/>
              <w:spacing w:before="0" w:after="0"/>
              <w:ind w:left="0" w:right="0" w:hanging="0"/>
              <w:rPr/>
            </w:pPr>
            <w:r>
              <w:rPr/>
              <w:t> </w:t>
            </w:r>
          </w:p>
        </w:tc>
        <w:tc>
          <w:tcPr>
            <w:tcW w:w="115"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7"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13,914</w:t>
            </w:r>
          </w:p>
        </w:tc>
        <w:tc>
          <w:tcPr>
            <w:tcW w:w="183" w:type="dxa"/>
            <w:tcBorders/>
            <w:shd w:fill="CCEEFF" w:val="clear"/>
            <w:vAlign w:val="bottom"/>
          </w:tcPr>
          <w:p>
            <w:pPr>
              <w:pStyle w:val="TableContents"/>
              <w:spacing w:before="0" w:after="0"/>
              <w:ind w:left="0" w:right="0" w:hanging="0"/>
              <w:rPr/>
            </w:pPr>
            <w:r>
              <w:rPr/>
              <w:t> </w:t>
            </w:r>
          </w:p>
        </w:tc>
        <w:tc>
          <w:tcPr>
            <w:tcW w:w="118"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39"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14,065</w:t>
            </w:r>
          </w:p>
        </w:tc>
        <w:tc>
          <w:tcPr>
            <w:tcW w:w="189"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(ii)                                  Accrued expenses and other current liabilities are summarized as follows (amounts in thousands):</w:t>
      </w:r>
    </w:p>
    <w:p>
      <w:pPr>
        <w:pStyle w:val="TextBody"/>
        <w:spacing w:before="0" w:after="0"/>
        <w:ind w:left="0" w:right="0" w:hanging="0"/>
        <w:rPr/>
      </w:pPr>
      <w:r>
        <w:rPr/>
        <w:t> </w:t>
      </w:r>
    </w:p>
    <w:tbl>
      <w:tblPr>
        <w:tblW w:w="4000" w:type="pct"/>
        <w:jc w:val="left"/>
        <w:tblInd w:w="0" w:type="dxa"/>
        <w:tblCellMar>
          <w:top w:w="0" w:type="dxa"/>
          <w:left w:w="0" w:type="dxa"/>
          <w:bottom w:w="0" w:type="dxa"/>
          <w:right w:w="0" w:type="dxa"/>
        </w:tblCellMar>
      </w:tblPr>
      <w:tblGrid>
        <w:gridCol w:w="4560"/>
        <w:gridCol w:w="175"/>
        <w:gridCol w:w="117"/>
        <w:gridCol w:w="1413"/>
        <w:gridCol w:w="175"/>
        <w:gridCol w:w="120"/>
        <w:gridCol w:w="1426"/>
        <w:gridCol w:w="178"/>
      </w:tblGrid>
      <w:tr>
        <w:trPr/>
        <w:tc>
          <w:tcPr>
            <w:tcW w:w="4560" w:type="dxa"/>
            <w:tcBorders/>
            <w:shd w:fill="auto" w:val="clear"/>
            <w:vAlign w:val="bottom"/>
          </w:tcPr>
          <w:p>
            <w:pPr>
              <w:pStyle w:val="TableContents"/>
              <w:spacing w:before="0" w:after="0"/>
              <w:ind w:left="0" w:right="0" w:hanging="0"/>
              <w:jc w:val="center"/>
              <w:rPr/>
            </w:pPr>
            <w:r>
              <w:rPr/>
              <w:t> </w:t>
            </w:r>
          </w:p>
        </w:tc>
        <w:tc>
          <w:tcPr>
            <w:tcW w:w="175" w:type="dxa"/>
            <w:tcBorders/>
            <w:shd w:fill="auto" w:val="clear"/>
            <w:vAlign w:val="bottom"/>
          </w:tcPr>
          <w:p>
            <w:pPr>
              <w:pStyle w:val="TableContents"/>
              <w:spacing w:before="0" w:after="0"/>
              <w:ind w:left="0" w:right="0" w:hanging="0"/>
              <w:rPr/>
            </w:pPr>
            <w:r>
              <w:rPr/>
              <w:t> </w:t>
            </w:r>
          </w:p>
        </w:tc>
        <w:tc>
          <w:tcPr>
            <w:tcW w:w="153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2, 2005</w:t>
            </w:r>
          </w:p>
        </w:tc>
        <w:tc>
          <w:tcPr>
            <w:tcW w:w="175" w:type="dxa"/>
            <w:tcBorders/>
            <w:shd w:fill="auto" w:val="clear"/>
            <w:vAlign w:val="bottom"/>
          </w:tcPr>
          <w:p>
            <w:pPr>
              <w:pStyle w:val="TableContents"/>
              <w:spacing w:before="0" w:after="0"/>
              <w:ind w:left="0" w:right="0" w:hanging="0"/>
              <w:rPr/>
            </w:pPr>
            <w:r>
              <w:rPr/>
              <w:t> </w:t>
            </w:r>
          </w:p>
        </w:tc>
        <w:tc>
          <w:tcPr>
            <w:tcW w:w="154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January 1, 2005</w:t>
            </w:r>
          </w:p>
        </w:tc>
        <w:tc>
          <w:tcPr>
            <w:tcW w:w="178" w:type="dxa"/>
            <w:tcBorders/>
            <w:shd w:fill="auto" w:val="clear"/>
            <w:vAlign w:val="bottom"/>
          </w:tcPr>
          <w:p>
            <w:pPr>
              <w:pStyle w:val="TableContents"/>
              <w:spacing w:before="0" w:after="0"/>
              <w:ind w:left="0" w:right="0" w:hanging="0"/>
              <w:rPr/>
            </w:pPr>
            <w:r>
              <w:rPr/>
              <w:t> </w:t>
            </w:r>
          </w:p>
        </w:tc>
      </w:tr>
      <w:tr>
        <w:trPr/>
        <w:tc>
          <w:tcPr>
            <w:tcW w:w="456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Accrued employee compensation and benefits</w:t>
            </w:r>
          </w:p>
        </w:tc>
        <w:tc>
          <w:tcPr>
            <w:tcW w:w="175" w:type="dxa"/>
            <w:tcBorders/>
            <w:shd w:fill="CCEEFF" w:val="clear"/>
            <w:vAlign w:val="bottom"/>
          </w:tcPr>
          <w:p>
            <w:pPr>
              <w:pStyle w:val="TableContents"/>
              <w:spacing w:before="0" w:after="0"/>
              <w:ind w:left="0" w:right="0" w:hanging="0"/>
              <w:rPr/>
            </w:pPr>
            <w:r>
              <w:rPr/>
              <w:t> </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1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3,691</w:t>
            </w:r>
          </w:p>
        </w:tc>
        <w:tc>
          <w:tcPr>
            <w:tcW w:w="175"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5,578</w:t>
            </w:r>
          </w:p>
        </w:tc>
        <w:tc>
          <w:tcPr>
            <w:tcW w:w="178" w:type="dxa"/>
            <w:tcBorders/>
            <w:shd w:fill="CCEEFF" w:val="clear"/>
            <w:vAlign w:val="bottom"/>
          </w:tcPr>
          <w:p>
            <w:pPr>
              <w:pStyle w:val="TableContents"/>
              <w:spacing w:before="0" w:after="0"/>
              <w:ind w:left="0" w:right="0" w:hanging="0"/>
              <w:rPr/>
            </w:pPr>
            <w:r>
              <w:rPr/>
              <w:t> </w:t>
            </w:r>
          </w:p>
        </w:tc>
      </w:tr>
      <w:tr>
        <w:trPr/>
        <w:tc>
          <w:tcPr>
            <w:tcW w:w="45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Provision for self-insured liabilities</w:t>
            </w:r>
          </w:p>
        </w:tc>
        <w:tc>
          <w:tcPr>
            <w:tcW w:w="175" w:type="dxa"/>
            <w:tcBorders/>
            <w:shd w:fill="auto" w:val="clear"/>
            <w:vAlign w:val="bottom"/>
          </w:tcPr>
          <w:p>
            <w:pPr>
              <w:pStyle w:val="TableContents"/>
              <w:spacing w:before="0" w:after="0"/>
              <w:ind w:left="0" w:right="0" w:hanging="0"/>
              <w:rPr/>
            </w:pPr>
            <w:r>
              <w:rPr/>
              <w:t> </w:t>
            </w:r>
          </w:p>
        </w:tc>
        <w:tc>
          <w:tcPr>
            <w:tcW w:w="15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3,383</w:t>
            </w:r>
          </w:p>
        </w:tc>
        <w:tc>
          <w:tcPr>
            <w:tcW w:w="175" w:type="dxa"/>
            <w:tcBorders/>
            <w:shd w:fill="auto" w:val="clear"/>
            <w:vAlign w:val="bottom"/>
          </w:tcPr>
          <w:p>
            <w:pPr>
              <w:pStyle w:val="TableContents"/>
              <w:spacing w:before="0" w:after="0"/>
              <w:ind w:left="0" w:right="0" w:hanging="0"/>
              <w:rPr/>
            </w:pPr>
            <w:r>
              <w:rPr/>
              <w:t> </w:t>
            </w:r>
          </w:p>
        </w:tc>
        <w:tc>
          <w:tcPr>
            <w:tcW w:w="15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3,275</w:t>
            </w:r>
          </w:p>
        </w:tc>
        <w:tc>
          <w:tcPr>
            <w:tcW w:w="178" w:type="dxa"/>
            <w:tcBorders/>
            <w:shd w:fill="auto" w:val="clear"/>
            <w:vAlign w:val="bottom"/>
          </w:tcPr>
          <w:p>
            <w:pPr>
              <w:pStyle w:val="TableContents"/>
              <w:spacing w:before="0" w:after="0"/>
              <w:ind w:left="0" w:right="0" w:hanging="0"/>
              <w:rPr/>
            </w:pPr>
            <w:r>
              <w:rPr/>
              <w:t> </w:t>
            </w:r>
          </w:p>
        </w:tc>
      </w:tr>
      <w:tr>
        <w:trPr/>
        <w:tc>
          <w:tcPr>
            <w:tcW w:w="456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Accrued rent expense</w:t>
            </w:r>
          </w:p>
        </w:tc>
        <w:tc>
          <w:tcPr>
            <w:tcW w:w="175" w:type="dxa"/>
            <w:tcBorders/>
            <w:shd w:fill="CCEEFF" w:val="clear"/>
            <w:vAlign w:val="bottom"/>
          </w:tcPr>
          <w:p>
            <w:pPr>
              <w:pStyle w:val="TableContents"/>
              <w:spacing w:before="0" w:after="0"/>
              <w:ind w:left="0" w:right="0" w:hanging="0"/>
              <w:rPr/>
            </w:pPr>
            <w:r>
              <w:rPr/>
              <w:t> </w:t>
            </w:r>
          </w:p>
        </w:tc>
        <w:tc>
          <w:tcPr>
            <w:tcW w:w="15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3,589</w:t>
            </w:r>
          </w:p>
        </w:tc>
        <w:tc>
          <w:tcPr>
            <w:tcW w:w="175" w:type="dxa"/>
            <w:tcBorders/>
            <w:shd w:fill="CCEEFF" w:val="clear"/>
            <w:vAlign w:val="bottom"/>
          </w:tcPr>
          <w:p>
            <w:pPr>
              <w:pStyle w:val="TableContents"/>
              <w:spacing w:before="0" w:after="0"/>
              <w:ind w:left="0" w:right="0" w:hanging="0"/>
              <w:rPr/>
            </w:pPr>
            <w:r>
              <w:rPr/>
              <w:t> </w:t>
            </w:r>
          </w:p>
        </w:tc>
        <w:tc>
          <w:tcPr>
            <w:tcW w:w="15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4,473</w:t>
            </w:r>
          </w:p>
        </w:tc>
        <w:tc>
          <w:tcPr>
            <w:tcW w:w="178" w:type="dxa"/>
            <w:tcBorders/>
            <w:shd w:fill="CCEEFF" w:val="clear"/>
            <w:vAlign w:val="bottom"/>
          </w:tcPr>
          <w:p>
            <w:pPr>
              <w:pStyle w:val="TableContents"/>
              <w:spacing w:before="0" w:after="0"/>
              <w:ind w:left="0" w:right="0" w:hanging="0"/>
              <w:rPr/>
            </w:pPr>
            <w:r>
              <w:rPr/>
              <w:t> </w:t>
            </w:r>
          </w:p>
        </w:tc>
      </w:tr>
      <w:tr>
        <w:trPr/>
        <w:tc>
          <w:tcPr>
            <w:tcW w:w="45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Customer deposit liability</w:t>
            </w:r>
          </w:p>
        </w:tc>
        <w:tc>
          <w:tcPr>
            <w:tcW w:w="175" w:type="dxa"/>
            <w:tcBorders/>
            <w:shd w:fill="auto" w:val="clear"/>
            <w:vAlign w:val="bottom"/>
          </w:tcPr>
          <w:p>
            <w:pPr>
              <w:pStyle w:val="TableContents"/>
              <w:spacing w:before="0" w:after="0"/>
              <w:ind w:left="0" w:right="0" w:hanging="0"/>
              <w:rPr/>
            </w:pPr>
            <w:r>
              <w:rPr/>
              <w:t> </w:t>
            </w:r>
          </w:p>
        </w:tc>
        <w:tc>
          <w:tcPr>
            <w:tcW w:w="15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3,430</w:t>
            </w:r>
          </w:p>
        </w:tc>
        <w:tc>
          <w:tcPr>
            <w:tcW w:w="175" w:type="dxa"/>
            <w:tcBorders/>
            <w:shd w:fill="auto" w:val="clear"/>
            <w:vAlign w:val="bottom"/>
          </w:tcPr>
          <w:p>
            <w:pPr>
              <w:pStyle w:val="TableContents"/>
              <w:spacing w:before="0" w:after="0"/>
              <w:ind w:left="0" w:right="0" w:hanging="0"/>
              <w:rPr/>
            </w:pPr>
            <w:r>
              <w:rPr/>
              <w:t> </w:t>
            </w:r>
          </w:p>
        </w:tc>
        <w:tc>
          <w:tcPr>
            <w:tcW w:w="15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2,460</w:t>
            </w:r>
          </w:p>
        </w:tc>
        <w:tc>
          <w:tcPr>
            <w:tcW w:w="178" w:type="dxa"/>
            <w:tcBorders/>
            <w:shd w:fill="auto" w:val="clear"/>
            <w:vAlign w:val="bottom"/>
          </w:tcPr>
          <w:p>
            <w:pPr>
              <w:pStyle w:val="TableContents"/>
              <w:spacing w:before="0" w:after="0"/>
              <w:ind w:left="0" w:right="0" w:hanging="0"/>
              <w:rPr/>
            </w:pPr>
            <w:r>
              <w:rPr/>
              <w:t> </w:t>
            </w:r>
          </w:p>
        </w:tc>
      </w:tr>
      <w:tr>
        <w:trPr/>
        <w:tc>
          <w:tcPr>
            <w:tcW w:w="456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Accrued interest expense</w:t>
            </w:r>
          </w:p>
        </w:tc>
        <w:tc>
          <w:tcPr>
            <w:tcW w:w="175" w:type="dxa"/>
            <w:tcBorders/>
            <w:shd w:fill="CCEEFF" w:val="clear"/>
            <w:vAlign w:val="bottom"/>
          </w:tcPr>
          <w:p>
            <w:pPr>
              <w:pStyle w:val="TableContents"/>
              <w:spacing w:before="0" w:after="0"/>
              <w:ind w:left="0" w:right="0" w:hanging="0"/>
              <w:rPr/>
            </w:pPr>
            <w:r>
              <w:rPr/>
              <w:t> </w:t>
            </w:r>
          </w:p>
        </w:tc>
        <w:tc>
          <w:tcPr>
            <w:tcW w:w="15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2,073</w:t>
            </w:r>
          </w:p>
        </w:tc>
        <w:tc>
          <w:tcPr>
            <w:tcW w:w="175" w:type="dxa"/>
            <w:tcBorders/>
            <w:shd w:fill="CCEEFF" w:val="clear"/>
            <w:vAlign w:val="bottom"/>
          </w:tcPr>
          <w:p>
            <w:pPr>
              <w:pStyle w:val="TableContents"/>
              <w:spacing w:before="0" w:after="0"/>
              <w:ind w:left="0" w:right="0" w:hanging="0"/>
              <w:rPr/>
            </w:pPr>
            <w:r>
              <w:rPr/>
              <w:t> </w:t>
            </w:r>
          </w:p>
        </w:tc>
        <w:tc>
          <w:tcPr>
            <w:tcW w:w="15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2,381</w:t>
            </w:r>
          </w:p>
        </w:tc>
        <w:tc>
          <w:tcPr>
            <w:tcW w:w="178" w:type="dxa"/>
            <w:tcBorders/>
            <w:shd w:fill="CCEEFF" w:val="clear"/>
            <w:vAlign w:val="bottom"/>
          </w:tcPr>
          <w:p>
            <w:pPr>
              <w:pStyle w:val="TableContents"/>
              <w:spacing w:before="0" w:after="0"/>
              <w:ind w:left="0" w:right="0" w:hanging="0"/>
              <w:rPr/>
            </w:pPr>
            <w:r>
              <w:rPr/>
              <w:t> </w:t>
            </w:r>
          </w:p>
        </w:tc>
      </w:tr>
      <w:tr>
        <w:trPr/>
        <w:tc>
          <w:tcPr>
            <w:tcW w:w="45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Deferred revenue</w:t>
            </w:r>
          </w:p>
        </w:tc>
        <w:tc>
          <w:tcPr>
            <w:tcW w:w="175" w:type="dxa"/>
            <w:tcBorders/>
            <w:shd w:fill="auto" w:val="clear"/>
            <w:vAlign w:val="bottom"/>
          </w:tcPr>
          <w:p>
            <w:pPr>
              <w:pStyle w:val="TableContents"/>
              <w:spacing w:before="0" w:after="0"/>
              <w:ind w:left="0" w:right="0" w:hanging="0"/>
              <w:rPr/>
            </w:pPr>
            <w:r>
              <w:rPr/>
              <w:t> </w:t>
            </w:r>
          </w:p>
        </w:tc>
        <w:tc>
          <w:tcPr>
            <w:tcW w:w="15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3,586</w:t>
            </w:r>
          </w:p>
        </w:tc>
        <w:tc>
          <w:tcPr>
            <w:tcW w:w="175" w:type="dxa"/>
            <w:tcBorders/>
            <w:shd w:fill="auto" w:val="clear"/>
            <w:vAlign w:val="bottom"/>
          </w:tcPr>
          <w:p>
            <w:pPr>
              <w:pStyle w:val="TableContents"/>
              <w:spacing w:before="0" w:after="0"/>
              <w:ind w:left="0" w:right="0" w:hanging="0"/>
              <w:rPr/>
            </w:pPr>
            <w:r>
              <w:rPr/>
              <w:t> </w:t>
            </w:r>
          </w:p>
        </w:tc>
        <w:tc>
          <w:tcPr>
            <w:tcW w:w="15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3,307</w:t>
            </w:r>
          </w:p>
        </w:tc>
        <w:tc>
          <w:tcPr>
            <w:tcW w:w="178" w:type="dxa"/>
            <w:tcBorders/>
            <w:shd w:fill="auto" w:val="clear"/>
            <w:vAlign w:val="bottom"/>
          </w:tcPr>
          <w:p>
            <w:pPr>
              <w:pStyle w:val="TableContents"/>
              <w:spacing w:before="0" w:after="0"/>
              <w:ind w:left="0" w:right="0" w:hanging="0"/>
              <w:rPr/>
            </w:pPr>
            <w:r>
              <w:rPr/>
              <w:t> </w:t>
            </w:r>
          </w:p>
        </w:tc>
      </w:tr>
      <w:tr>
        <w:trPr/>
        <w:tc>
          <w:tcPr>
            <w:tcW w:w="456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75" w:type="dxa"/>
            <w:tcBorders/>
            <w:shd w:fill="CCEEFF" w:val="clear"/>
            <w:vAlign w:val="bottom"/>
          </w:tcPr>
          <w:p>
            <w:pPr>
              <w:pStyle w:val="TableContents"/>
              <w:spacing w:before="0" w:after="0"/>
              <w:ind w:left="0" w:right="0" w:hanging="0"/>
              <w:rPr/>
            </w:pPr>
            <w:r>
              <w:rPr/>
              <w:t> </w:t>
            </w:r>
          </w:p>
        </w:tc>
        <w:tc>
          <w:tcPr>
            <w:tcW w:w="153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3,300</w:t>
            </w:r>
          </w:p>
        </w:tc>
        <w:tc>
          <w:tcPr>
            <w:tcW w:w="175" w:type="dxa"/>
            <w:tcBorders/>
            <w:shd w:fill="CCEEFF" w:val="clear"/>
            <w:vAlign w:val="bottom"/>
          </w:tcPr>
          <w:p>
            <w:pPr>
              <w:pStyle w:val="TableContents"/>
              <w:spacing w:before="0" w:after="0"/>
              <w:ind w:left="0" w:right="0" w:hanging="0"/>
              <w:rPr/>
            </w:pPr>
            <w:r>
              <w:rPr/>
              <w:t> </w:t>
            </w:r>
          </w:p>
        </w:tc>
        <w:tc>
          <w:tcPr>
            <w:tcW w:w="154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2,298</w:t>
            </w:r>
          </w:p>
        </w:tc>
        <w:tc>
          <w:tcPr>
            <w:tcW w:w="178" w:type="dxa"/>
            <w:tcBorders/>
            <w:shd w:fill="CCEEFF" w:val="clear"/>
            <w:vAlign w:val="bottom"/>
          </w:tcPr>
          <w:p>
            <w:pPr>
              <w:pStyle w:val="TableContents"/>
              <w:spacing w:before="0" w:after="0"/>
              <w:ind w:left="0" w:right="0" w:hanging="0"/>
              <w:rPr/>
            </w:pPr>
            <w:r>
              <w:rPr/>
              <w:t> </w:t>
            </w:r>
          </w:p>
        </w:tc>
      </w:tr>
      <w:tr>
        <w:trPr/>
        <w:tc>
          <w:tcPr>
            <w:tcW w:w="45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175" w:type="dxa"/>
            <w:tcBorders/>
            <w:shd w:fill="auto" w:val="clear"/>
            <w:vAlign w:val="bottom"/>
          </w:tcPr>
          <w:p>
            <w:pPr>
              <w:pStyle w:val="TableContents"/>
              <w:spacing w:before="0" w:after="0"/>
              <w:ind w:left="0" w:right="0" w:hanging="0"/>
              <w:rPr/>
            </w:pPr>
            <w:r>
              <w:rPr/>
              <w:t> </w:t>
            </w:r>
          </w:p>
        </w:tc>
        <w:tc>
          <w:tcPr>
            <w:tcW w:w="117"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13"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23,052</w:t>
            </w:r>
          </w:p>
        </w:tc>
        <w:tc>
          <w:tcPr>
            <w:tcW w:w="175" w:type="dxa"/>
            <w:tcBorders/>
            <w:shd w:fill="auto" w:val="clear"/>
            <w:vAlign w:val="bottom"/>
          </w:tcPr>
          <w:p>
            <w:pPr>
              <w:pStyle w:val="TableContents"/>
              <w:spacing w:before="0" w:after="0"/>
              <w:ind w:left="0" w:right="0" w:hanging="0"/>
              <w:rPr/>
            </w:pPr>
            <w:r>
              <w:rPr/>
              <w:t> </w:t>
            </w:r>
          </w:p>
        </w:tc>
        <w:tc>
          <w:tcPr>
            <w:tcW w:w="120"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6"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23,772</w:t>
            </w:r>
          </w:p>
        </w:tc>
        <w:tc>
          <w:tcPr>
            <w:tcW w:w="178"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(iii)                               The following table details the activity in our product warranty liabilities for the six-month periods ended July 2, 2005 and July 3, 2004.  This represents our liability for certain product warranty services provided free of charge (amounts in thousands):</w:t>
      </w:r>
    </w:p>
    <w:p>
      <w:pPr>
        <w:pStyle w:val="TextBody"/>
        <w:spacing w:before="0" w:after="0"/>
        <w:ind w:left="0" w:right="0" w:hanging="0"/>
        <w:rPr/>
      </w:pPr>
      <w:r>
        <w:rPr/>
        <w:t> </w:t>
      </w:r>
    </w:p>
    <w:tbl>
      <w:tblPr>
        <w:tblW w:w="3750" w:type="pct"/>
        <w:jc w:val="left"/>
        <w:tblInd w:w="0" w:type="dxa"/>
        <w:tblCellMar>
          <w:top w:w="0" w:type="dxa"/>
          <w:left w:w="0" w:type="dxa"/>
          <w:bottom w:w="0" w:type="dxa"/>
          <w:right w:w="0" w:type="dxa"/>
        </w:tblCellMar>
      </w:tblPr>
      <w:tblGrid>
        <w:gridCol w:w="4417"/>
        <w:gridCol w:w="175"/>
        <w:gridCol w:w="196"/>
        <w:gridCol w:w="1144"/>
        <w:gridCol w:w="188"/>
        <w:gridCol w:w="196"/>
        <w:gridCol w:w="1144"/>
        <w:gridCol w:w="193"/>
      </w:tblGrid>
      <w:tr>
        <w:trPr/>
        <w:tc>
          <w:tcPr>
            <w:tcW w:w="4417" w:type="dxa"/>
            <w:tcBorders/>
            <w:shd w:fill="auto" w:val="clear"/>
            <w:vAlign w:val="bottom"/>
          </w:tcPr>
          <w:p>
            <w:pPr>
              <w:pStyle w:val="TableContents"/>
              <w:spacing w:before="0" w:after="0"/>
              <w:ind w:left="0" w:right="0" w:hanging="0"/>
              <w:jc w:val="center"/>
              <w:rPr/>
            </w:pPr>
            <w:r>
              <w:rPr/>
              <w:t> </w:t>
            </w:r>
          </w:p>
        </w:tc>
        <w:tc>
          <w:tcPr>
            <w:tcW w:w="175" w:type="dxa"/>
            <w:tcBorders/>
            <w:shd w:fill="auto" w:val="clear"/>
            <w:vAlign w:val="bottom"/>
          </w:tcPr>
          <w:p>
            <w:pPr>
              <w:pStyle w:val="TableContents"/>
              <w:spacing w:before="0" w:after="0"/>
              <w:ind w:left="0" w:right="0" w:hanging="0"/>
              <w:rPr/>
            </w:pPr>
            <w:r>
              <w:rPr/>
              <w:t> </w:t>
            </w:r>
          </w:p>
        </w:tc>
        <w:tc>
          <w:tcPr>
            <w:tcW w:w="286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93" w:type="dxa"/>
            <w:tcBorders/>
            <w:shd w:fill="auto" w:val="clear"/>
            <w:vAlign w:val="bottom"/>
          </w:tcPr>
          <w:p>
            <w:pPr>
              <w:pStyle w:val="TableContents"/>
              <w:spacing w:before="0" w:after="0"/>
              <w:ind w:left="0" w:right="0" w:hanging="0"/>
              <w:rPr/>
            </w:pPr>
            <w:r>
              <w:rPr/>
              <w:t> </w:t>
            </w:r>
          </w:p>
        </w:tc>
      </w:tr>
      <w:tr>
        <w:trPr/>
        <w:tc>
          <w:tcPr>
            <w:tcW w:w="4417" w:type="dxa"/>
            <w:tcBorders/>
            <w:shd w:fill="auto" w:val="clear"/>
            <w:vAlign w:val="bottom"/>
          </w:tcPr>
          <w:p>
            <w:pPr>
              <w:pStyle w:val="TableContents"/>
              <w:spacing w:before="0" w:after="0"/>
              <w:ind w:left="0" w:right="0" w:hanging="0"/>
              <w:jc w:val="center"/>
              <w:rPr/>
            </w:pPr>
            <w:r>
              <w:rPr/>
              <w:t> </w:t>
            </w:r>
          </w:p>
        </w:tc>
        <w:tc>
          <w:tcPr>
            <w:tcW w:w="175" w:type="dxa"/>
            <w:tcBorders/>
            <w:shd w:fill="auto" w:val="clear"/>
            <w:vAlign w:val="bottom"/>
          </w:tcPr>
          <w:p>
            <w:pPr>
              <w:pStyle w:val="TableContents"/>
              <w:spacing w:before="0" w:after="0"/>
              <w:ind w:left="0" w:right="0" w:hanging="0"/>
              <w:rPr/>
            </w:pPr>
            <w:r>
              <w:rPr/>
              <w:t> </w:t>
            </w:r>
          </w:p>
        </w:tc>
        <w:tc>
          <w:tcPr>
            <w:tcW w:w="134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2, 2005</w:t>
            </w:r>
          </w:p>
        </w:tc>
        <w:tc>
          <w:tcPr>
            <w:tcW w:w="188" w:type="dxa"/>
            <w:tcBorders>
              <w:top w:val="single" w:sz="8" w:space="0" w:color="000000"/>
            </w:tcBorders>
            <w:shd w:fill="auto" w:val="clear"/>
            <w:tcMar>
              <w:top w:w="28" w:type="dxa"/>
            </w:tcMar>
            <w:vAlign w:val="bottom"/>
          </w:tcPr>
          <w:p>
            <w:pPr>
              <w:pStyle w:val="TableContents"/>
              <w:spacing w:before="0" w:after="0"/>
              <w:ind w:left="0" w:right="0" w:hanging="0"/>
              <w:rPr/>
            </w:pPr>
            <w:r>
              <w:rPr/>
              <w:t> </w:t>
            </w:r>
          </w:p>
        </w:tc>
        <w:tc>
          <w:tcPr>
            <w:tcW w:w="134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3, 2004</w:t>
            </w:r>
          </w:p>
        </w:tc>
        <w:tc>
          <w:tcPr>
            <w:tcW w:w="193" w:type="dxa"/>
            <w:tcBorders/>
            <w:shd w:fill="auto" w:val="clear"/>
            <w:vAlign w:val="bottom"/>
          </w:tcPr>
          <w:p>
            <w:pPr>
              <w:pStyle w:val="TableContents"/>
              <w:spacing w:before="0" w:after="0"/>
              <w:ind w:left="0" w:right="0" w:hanging="0"/>
              <w:rPr/>
            </w:pPr>
            <w:r>
              <w:rPr/>
              <w:t> </w:t>
            </w:r>
          </w:p>
        </w:tc>
      </w:tr>
      <w:tr>
        <w:trPr/>
        <w:tc>
          <w:tcPr>
            <w:tcW w:w="441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Balance, beginning of period</w:t>
            </w:r>
          </w:p>
        </w:tc>
        <w:tc>
          <w:tcPr>
            <w:tcW w:w="175" w:type="dxa"/>
            <w:tcBorders/>
            <w:shd w:fill="CCEEFF" w:val="clear"/>
            <w:vAlign w:val="bottom"/>
          </w:tcPr>
          <w:p>
            <w:pPr>
              <w:pStyle w:val="TableContents"/>
              <w:spacing w:before="0" w:after="0"/>
              <w:ind w:left="0" w:right="0" w:hanging="0"/>
              <w:rPr/>
            </w:pPr>
            <w:r>
              <w:rPr/>
              <w:t> </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420</w:t>
            </w:r>
          </w:p>
        </w:tc>
        <w:tc>
          <w:tcPr>
            <w:tcW w:w="188" w:type="dxa"/>
            <w:tcBorders/>
            <w:shd w:fill="CCEEFF" w:val="clear"/>
            <w:vAlign w:val="bottom"/>
          </w:tcPr>
          <w:p>
            <w:pPr>
              <w:pStyle w:val="TableContents"/>
              <w:spacing w:before="0" w:after="0"/>
              <w:ind w:left="0" w:right="0" w:hanging="0"/>
              <w:rPr/>
            </w:pPr>
            <w:r>
              <w:rPr/>
              <w:t> </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716</w:t>
            </w:r>
          </w:p>
        </w:tc>
        <w:tc>
          <w:tcPr>
            <w:tcW w:w="193" w:type="dxa"/>
            <w:tcBorders/>
            <w:shd w:fill="CCEEFF" w:val="clear"/>
            <w:vAlign w:val="bottom"/>
          </w:tcPr>
          <w:p>
            <w:pPr>
              <w:pStyle w:val="TableContents"/>
              <w:spacing w:before="0" w:after="0"/>
              <w:ind w:left="0" w:right="0" w:hanging="0"/>
              <w:rPr/>
            </w:pPr>
            <w:r>
              <w:rPr/>
              <w:t> </w:t>
            </w:r>
          </w:p>
        </w:tc>
      </w:tr>
      <w:tr>
        <w:trPr/>
        <w:tc>
          <w:tcPr>
            <w:tcW w:w="44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Charged to expense</w:t>
            </w:r>
          </w:p>
        </w:tc>
        <w:tc>
          <w:tcPr>
            <w:tcW w:w="175" w:type="dxa"/>
            <w:tcBorders/>
            <w:shd w:fill="auto" w:val="clear"/>
            <w:vAlign w:val="bottom"/>
          </w:tcPr>
          <w:p>
            <w:pPr>
              <w:pStyle w:val="TableContents"/>
              <w:spacing w:before="0" w:after="0"/>
              <w:ind w:left="0" w:right="0" w:hanging="0"/>
              <w:rPr/>
            </w:pPr>
            <w:r>
              <w:rPr/>
              <w:t> </w:t>
            </w:r>
          </w:p>
        </w:tc>
        <w:tc>
          <w:tcPr>
            <w:tcW w:w="13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2,737</w:t>
            </w:r>
          </w:p>
        </w:tc>
        <w:tc>
          <w:tcPr>
            <w:tcW w:w="188" w:type="dxa"/>
            <w:tcBorders/>
            <w:shd w:fill="auto" w:val="clear"/>
            <w:vAlign w:val="bottom"/>
          </w:tcPr>
          <w:p>
            <w:pPr>
              <w:pStyle w:val="TableContents"/>
              <w:spacing w:before="0" w:after="0"/>
              <w:ind w:left="0" w:right="0" w:hanging="0"/>
              <w:rPr/>
            </w:pPr>
            <w:r>
              <w:rPr/>
              <w:t> </w:t>
            </w:r>
          </w:p>
        </w:tc>
        <w:tc>
          <w:tcPr>
            <w:tcW w:w="13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2,873</w:t>
            </w:r>
          </w:p>
        </w:tc>
        <w:tc>
          <w:tcPr>
            <w:tcW w:w="193" w:type="dxa"/>
            <w:tcBorders/>
            <w:shd w:fill="auto" w:val="clear"/>
            <w:vAlign w:val="bottom"/>
          </w:tcPr>
          <w:p>
            <w:pPr>
              <w:pStyle w:val="TableContents"/>
              <w:spacing w:before="0" w:after="0"/>
              <w:ind w:left="0" w:right="0" w:hanging="0"/>
              <w:rPr/>
            </w:pPr>
            <w:r>
              <w:rPr/>
              <w:t> </w:t>
            </w:r>
          </w:p>
        </w:tc>
      </w:tr>
      <w:tr>
        <w:trPr/>
        <w:tc>
          <w:tcPr>
            <w:tcW w:w="441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Paid</w:t>
            </w:r>
          </w:p>
        </w:tc>
        <w:tc>
          <w:tcPr>
            <w:tcW w:w="175" w:type="dxa"/>
            <w:tcBorders/>
            <w:shd w:fill="CCEEFF" w:val="clear"/>
            <w:vAlign w:val="bottom"/>
          </w:tcPr>
          <w:p>
            <w:pPr>
              <w:pStyle w:val="TableContents"/>
              <w:spacing w:before="0" w:after="0"/>
              <w:ind w:left="0" w:right="0" w:hanging="0"/>
              <w:rPr/>
            </w:pPr>
            <w:r>
              <w:rPr/>
              <w:t> </w:t>
            </w:r>
          </w:p>
        </w:tc>
        <w:tc>
          <w:tcPr>
            <w:tcW w:w="13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(2,706</w:t>
            </w:r>
          </w:p>
        </w:tc>
        <w:tc>
          <w:tcPr>
            <w:tcW w:w="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(3,029</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4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Balance, end of period</w:t>
            </w:r>
          </w:p>
        </w:tc>
        <w:tc>
          <w:tcPr>
            <w:tcW w:w="175" w:type="dxa"/>
            <w:tcBorders/>
            <w:shd w:fill="auto" w:val="clear"/>
            <w:vAlign w:val="bottom"/>
          </w:tcPr>
          <w:p>
            <w:pPr>
              <w:pStyle w:val="TableContents"/>
              <w:spacing w:before="0" w:after="0"/>
              <w:ind w:left="0" w:right="0" w:hanging="0"/>
              <w:rPr/>
            </w:pPr>
            <w:r>
              <w:rPr/>
              <w:t> </w:t>
            </w:r>
          </w:p>
        </w:tc>
        <w:tc>
          <w:tcPr>
            <w:tcW w:w="196"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4"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451</w:t>
            </w:r>
          </w:p>
        </w:tc>
        <w:tc>
          <w:tcPr>
            <w:tcW w:w="188" w:type="dxa"/>
            <w:tcBorders/>
            <w:shd w:fill="auto" w:val="clear"/>
            <w:vAlign w:val="bottom"/>
          </w:tcPr>
          <w:p>
            <w:pPr>
              <w:pStyle w:val="TableContents"/>
              <w:spacing w:before="0" w:after="0"/>
              <w:ind w:left="0" w:right="0" w:hanging="0"/>
              <w:rPr/>
            </w:pPr>
            <w:r>
              <w:rPr/>
              <w:t> </w:t>
            </w:r>
          </w:p>
        </w:tc>
        <w:tc>
          <w:tcPr>
            <w:tcW w:w="196"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4"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560</w:t>
            </w:r>
          </w:p>
        </w:tc>
        <w:tc>
          <w:tcPr>
            <w:tcW w:w="19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14</w:t>
      </w:r>
    </w:p>
    <w:p>
      <w:pPr>
        <w:pStyle w:val="HorizontalLine"/>
        <w:pBdr>
          <w:bottom w:val="single" w:sz="12"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(10) COMPREHENSIVE INCOME</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Comprehensive income, which consists of net income and foreign currency translation adjustments, was $0.9 million and $4.7 million for the three months ended July 2, 2005 and July 3, 2004, respectively.  For the six months ended July 2, 2005 and July 3, 2004, comprehensive income was $3.7 million and $7.8 million, respectively.</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sz w:val="17"/>
        </w:rPr>
      </w:pPr>
      <w:r>
        <w:rPr>
          <w:rFonts w:ascii="Times New Roman" w:hAnsi="Times New Roman"/>
          <w:b/>
          <w:sz w:val="17"/>
        </w:rPr>
        <w:t>(11) RELATED PARTY TRANSACTIONS</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On August 20, 2004, we entered into a consulting agreement with Dr. Marc Nelson, a member of our Board of Directors, under which Dr. Nelson provides certain consulting services with respect to our freestanding vision centers.  The Audit Committee of the Board of Directors has approved this agreement, which contemplates that Dr. Nelson will provide up to 400 hours of such services through August 2005 at a rate of $150 per hour.  During the three-month and six-month periods ended July 2, 2005, the Company paid approximately $5,000 and $10,000, respectively, under this agreement.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Nelson Eye Associates, P.C., a professional corporation owned by Dr. Nelson, leases from us eye examination offices and equipment in 9 of our vision centers.  This entity paid us $71,000 and $76,000 in rent for these locations during the three-month periods ended July 2, 2005 and July 3, 2004, respectively, and $143,000 and $154,000 in rent for these locations during the six-month periods ended July 2, 2005 and July 3, 2004, respectively.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17"/>
        </w:rPr>
      </w:pPr>
      <w:r>
        <w:rPr>
          <w:rFonts w:ascii="Times New Roman" w:hAnsi="Times New Roman"/>
          <w:b/>
          <w:sz w:val="17"/>
        </w:rPr>
        <w:t>(12) COMMITMENTS AND CONTINGENCIES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b/>
          <w:i/>
          <w:sz w:val="17"/>
        </w:rPr>
        <w:t>Stock Appreciation Rights.</w:t>
      </w:r>
      <w:r>
        <w:rPr>
          <w:rFonts w:ascii="Times New Roman" w:hAnsi="Times New Roman"/>
          <w:sz w:val="17"/>
        </w:rPr>
        <w:t>  Pursuant to the terms of our Management Incentive Plan (the Incentive Plan), 401,411 performance units were awarded to members of senior management on June 29, 2004.  The performance period expires on June 29, 2007.  Each performance unit is payable in cash in an amount equal to the excess, if any, of the average market value of a share of the Companys common stock during the 20 consecutive trading days ending June 29, 2007 over the closing price of a share of the Companys common stock on June 29, 2004 ($2.30).  During 2004, 8,105 of these performance units were cancelled leaving 393,306 units outstanding at July 2, 2005.  Based on the excess of the closing price of our common stock on July 2, 2005 over the closing price of our common stock at June 29, 2004, and the portion of the performance period elapsed as of July 2, 2005, we have recorded an estimated liability of $335,000 which is included in Other Non-Current Liabilities in the Condensed Consolidated Balance Sheet.  In the event of a change in control, the performance units will become fully vested.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b/>
          <w:i/>
          <w:sz w:val="17"/>
        </w:rPr>
        <w:t>Legal Proceedings</w:t>
      </w:r>
      <w:r>
        <w:rPr>
          <w:rFonts w:ascii="Times New Roman" w:hAnsi="Times New Roman"/>
          <w:i/>
          <w:sz w:val="17"/>
        </w:rPr>
        <w:t>.</w:t>
      </w:r>
      <w:r>
        <w:rPr>
          <w:rFonts w:ascii="Times New Roman" w:hAnsi="Times New Roman"/>
          <w:sz w:val="17"/>
        </w:rPr>
        <w:t xml:space="preserve"> We are involved in certain litigation and claims arising in the normal course of business.  In the opinion of management, the resolution of these matters will not have a material adverse effect on our financial position or results of operations.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15</w:t>
      </w:r>
    </w:p>
    <w:p>
      <w:pPr>
        <w:pStyle w:val="HorizontalLine"/>
        <w:pBdr>
          <w:bottom w:val="single" w:sz="12"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bookmarkStart w:id="8" w:name="Item2__102409"/>
      <w:bookmarkEnd w:id="8"/>
      <w:r>
        <w:rPr>
          <w:rFonts w:ascii="Times New Roman" w:hAnsi="Times New Roman"/>
          <w:b/>
          <w:sz w:val="17"/>
        </w:rPr>
        <w:t>Item 2.</w:t>
      </w:r>
      <w:r>
        <w:rPr>
          <w:rFonts w:ascii="Times New Roman" w:hAnsi="Times New Roman"/>
          <w:sz w:val="17"/>
        </w:rPr>
        <w:t xml:space="preserve">                                   </w:t>
      </w:r>
      <w:r>
        <w:rPr>
          <w:rFonts w:ascii="Times New Roman" w:hAnsi="Times New Roman"/>
          <w:b/>
          <w:sz w:val="17"/>
        </w:rPr>
        <w:t>MANAGEMENTS DISCUSSION AND ANALYSIS OF FINANCIAL CONDITION AND RESULTS OF OPERATIONS</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In May 2004, our Board of Directors engaged TM Capital Corp. as financial advisors to review our strategic alternatives.  On July 26, 2005, we announced that we had signed a definitive merger agreement with Vision Acquisition Corp., an affiliate of Berkshire Partners LLC, a private equity investor, pursuant to which Vision Acquisition Corp. has initiated a tender offer to acquire all outstanding shares of National Vision, Inc. common stock at a price of $7.25 per share in cash.  The merger agreement also contemplates that our senior subordinated notes due in March 2009 will be redeemed at par.  Concurrent with this announcement, we also announced that we had signed an agreement to acquire all of the outstanding common stock of Consolidated Vision Group, Inc. for approximately $88 million, including debt repayment. Consolidated Vision Group operates 111 retail optical stores under the brand name Americas Best Contacts &amp; Eyeglasses.  On July 28, 2005, we filed a Form 14D-9 with the Securities and Exchange Commission providing additional information regarding the proposed transactions.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Consummation of the tender offer is subject to our simultaneous acquisition of Consolidated Vision Group, the tender of at least 67% of our fully diluted shares and other customary conditions.  We expect that the tender offer and acquisition of Consolidated Vision Group will be completed during the third calendar quarter of 2005.</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i/>
          <w:sz w:val="17"/>
        </w:rPr>
      </w:pPr>
      <w:r>
        <w:rPr>
          <w:rFonts w:ascii="Times New Roman" w:hAnsi="Times New Roman"/>
          <w:b/>
          <w:i/>
          <w:sz w:val="17"/>
        </w:rPr>
        <w:t>THREE MONTHS ENDED JULY 2, 2005 COMPARED TO THE THREE MONTHS ENDED JULY 3, 2004</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17"/>
        </w:rPr>
      </w:pPr>
      <w:r>
        <w:rPr>
          <w:rFonts w:ascii="Times New Roman" w:hAnsi="Times New Roman"/>
          <w:b/>
          <w:sz w:val="17"/>
        </w:rPr>
        <w:t>CONTINUING OPERATIONS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b/>
          <w:i/>
          <w:sz w:val="17"/>
        </w:rPr>
        <w:t>Total Net Revenue.</w:t>
      </w:r>
      <w:r>
        <w:rPr>
          <w:rFonts w:ascii="Times New Roman" w:hAnsi="Times New Roman"/>
          <w:sz w:val="17"/>
        </w:rPr>
        <w:t>  Total net revenue from continuing operations consists of sales of optical products and services and fees from managed vision care services.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Sales of optical products and services increased 3.1% in the three month period ended July 2, 2005 compared to the three month period ended July 3, 2004.  There were several factors that contributed to this increase.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1.               In June 2005 our semi-annual contact lens event generated $1.3 million more in sales of optical products and services than the prior year June event.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2.               A direct mail coupon campaign targeting our existing customer base and other discount promotions contributed to an increase in sales of eyeglasses.  The 2005 quarter also benefited from small price increases on selected frames and lenses implemented during the fourth quarter of 2004.</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3.               A shift in product mix to sales of new higher priced contact lenses that were not available in the prior year comparable quarter.</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4.               Revenue recognized from the sales of our twelve-month extended warranty plan was approximately $1.5 million for the current year quarter compared to $1.3 million during the prior year quarter.  Amounts collected from the sale of these warranties are recognized as revenue over the twelve-month warranty period on a straight-line basis.  We began selling this warranty plan in May 2003.</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5.               There were 12 more stores included in continuing operations in the current year quarter compared to the prior year quarter.</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Fees from managed vision care services include premiums from the sale of a managed care insurance product and patient co-payments for exam fees.  A wholly owned subsidiary (the HMO) operates a specialized health care service plan in California.  Until January 2004, the HMO operated optometric examination offices only in California Wal-Mart stores in which we operated a vision center.  In January 2004, the HMO also began operating optometric examination offices in certain California Wal-Mart stores in which Wal-Mart operates the vision center.  At July 2, 2005, the HMO operated 115 offices in California compared to 92 offices at July 3, 2004.  The increase in fees from managed vision care services is attributable to increased enrollments in the HMO plan and an increase in patient co-payments to $410,000 for the quarter ended July 2, 2005 from $85,000 for the quarter ended July 3, 2004.  The HMO had approximately 182,000 and 164,000 members at July 2, 2005 and July 3, 2004, respectively.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16</w:t>
      </w:r>
    </w:p>
    <w:p>
      <w:pPr>
        <w:pStyle w:val="HorizontalLine"/>
        <w:pBdr>
          <w:bottom w:val="single" w:sz="12"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r>
        <w:rPr>
          <w:rFonts w:ascii="Times New Roman" w:hAnsi="Times New Roman"/>
          <w:b/>
          <w:i/>
          <w:sz w:val="17"/>
        </w:rPr>
        <w:t>Gross Profit.</w:t>
      </w:r>
      <w:r>
        <w:rPr>
          <w:rFonts w:ascii="Times New Roman" w:hAnsi="Times New Roman"/>
          <w:sz w:val="17"/>
        </w:rPr>
        <w:t>  In the current year three-month period, gross profit dollars increased over gross profit dollars in the prior year three-month period.  The components of sales and gross profit for these periods are detailed below (dollars in thousands):</w:t>
      </w:r>
    </w:p>
    <w:p>
      <w:pPr>
        <w:pStyle w:val="TextBody"/>
        <w:spacing w:before="0" w:after="0"/>
        <w:ind w:left="0" w:right="0" w:hanging="0"/>
        <w:jc w:val="left"/>
        <w:rPr/>
      </w:pPr>
      <w:r>
        <w:rPr/>
        <w:t> </w:t>
      </w:r>
    </w:p>
    <w:tbl>
      <w:tblPr>
        <w:tblW w:w="4000" w:type="pct"/>
        <w:jc w:val="center"/>
        <w:tblInd w:w="0" w:type="dxa"/>
        <w:tblCellMar>
          <w:top w:w="0" w:type="dxa"/>
          <w:left w:w="0" w:type="dxa"/>
          <w:bottom w:w="0" w:type="dxa"/>
          <w:right w:w="0" w:type="dxa"/>
        </w:tblCellMar>
      </w:tblPr>
      <w:tblGrid>
        <w:gridCol w:w="2594"/>
        <w:gridCol w:w="168"/>
        <w:gridCol w:w="129"/>
        <w:gridCol w:w="1031"/>
        <w:gridCol w:w="168"/>
        <w:gridCol w:w="1114"/>
        <w:gridCol w:w="356"/>
        <w:gridCol w:w="129"/>
        <w:gridCol w:w="1031"/>
        <w:gridCol w:w="167"/>
        <w:gridCol w:w="1114"/>
        <w:gridCol w:w="163"/>
      </w:tblGrid>
      <w:tr>
        <w:trPr/>
        <w:tc>
          <w:tcPr>
            <w:tcW w:w="2594" w:type="dxa"/>
            <w:tcBorders/>
            <w:shd w:fill="auto" w:val="clear"/>
            <w:vAlign w:val="bottom"/>
          </w:tcPr>
          <w:p>
            <w:pPr>
              <w:pStyle w:val="TableContents"/>
              <w:spacing w:before="0" w:after="0"/>
              <w:ind w:left="0" w:right="0" w:hanging="0"/>
              <w:jc w:val="center"/>
              <w:rPr/>
            </w:pPr>
            <w:r>
              <w:rPr/>
              <w:t> </w:t>
            </w:r>
          </w:p>
        </w:tc>
        <w:tc>
          <w:tcPr>
            <w:tcW w:w="168" w:type="dxa"/>
            <w:tcBorders/>
            <w:shd w:fill="auto" w:val="clear"/>
            <w:vAlign w:val="bottom"/>
          </w:tcPr>
          <w:p>
            <w:pPr>
              <w:pStyle w:val="TableContents"/>
              <w:spacing w:before="0" w:after="0"/>
              <w:ind w:left="0" w:right="0" w:hanging="0"/>
              <w:rPr/>
            </w:pPr>
            <w:r>
              <w:rPr/>
              <w:t> </w:t>
            </w:r>
          </w:p>
        </w:tc>
        <w:tc>
          <w:tcPr>
            <w:tcW w:w="5239"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63" w:type="dxa"/>
            <w:tcBorders/>
            <w:shd w:fill="auto" w:val="clear"/>
            <w:vAlign w:val="bottom"/>
          </w:tcPr>
          <w:p>
            <w:pPr>
              <w:pStyle w:val="TableContents"/>
              <w:spacing w:before="0" w:after="0"/>
              <w:ind w:left="0" w:right="0" w:hanging="0"/>
              <w:rPr/>
            </w:pPr>
            <w:r>
              <w:rPr/>
              <w:t> </w:t>
            </w:r>
          </w:p>
        </w:tc>
      </w:tr>
      <w:tr>
        <w:trPr/>
        <w:tc>
          <w:tcPr>
            <w:tcW w:w="2594" w:type="dxa"/>
            <w:tcBorders/>
            <w:shd w:fill="auto" w:val="clear"/>
            <w:vAlign w:val="bottom"/>
          </w:tcPr>
          <w:p>
            <w:pPr>
              <w:pStyle w:val="TableContents"/>
              <w:spacing w:before="0" w:after="0"/>
              <w:ind w:left="0" w:right="0" w:hanging="0"/>
              <w:jc w:val="center"/>
              <w:rPr/>
            </w:pPr>
            <w:r>
              <w:rPr/>
              <w:t> </w:t>
            </w:r>
          </w:p>
        </w:tc>
        <w:tc>
          <w:tcPr>
            <w:tcW w:w="168" w:type="dxa"/>
            <w:tcBorders/>
            <w:shd w:fill="auto" w:val="clear"/>
            <w:vAlign w:val="bottom"/>
          </w:tcPr>
          <w:p>
            <w:pPr>
              <w:pStyle w:val="TableContents"/>
              <w:spacing w:before="0" w:after="0"/>
              <w:ind w:left="0" w:right="0" w:hanging="0"/>
              <w:rPr/>
            </w:pPr>
            <w:r>
              <w:rPr/>
              <w:t> </w:t>
            </w:r>
          </w:p>
        </w:tc>
        <w:tc>
          <w:tcPr>
            <w:tcW w:w="2442"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2, 2005</w:t>
            </w:r>
          </w:p>
        </w:tc>
        <w:tc>
          <w:tcPr>
            <w:tcW w:w="356" w:type="dxa"/>
            <w:tcBorders>
              <w:top w:val="single" w:sz="8" w:space="0" w:color="000000"/>
            </w:tcBorders>
            <w:shd w:fill="auto" w:val="clear"/>
            <w:tcMar>
              <w:top w:w="28" w:type="dxa"/>
            </w:tcMar>
            <w:vAlign w:val="bottom"/>
          </w:tcPr>
          <w:p>
            <w:pPr>
              <w:pStyle w:val="TableContents"/>
              <w:spacing w:before="0" w:after="0"/>
              <w:ind w:left="0" w:right="0" w:hanging="0"/>
              <w:rPr/>
            </w:pPr>
            <w:r>
              <w:rPr/>
              <w:t> </w:t>
            </w:r>
          </w:p>
        </w:tc>
        <w:tc>
          <w:tcPr>
            <w:tcW w:w="2441" w:type="dxa"/>
            <w:gridSpan w:val="4"/>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3, 2004</w:t>
            </w:r>
          </w:p>
        </w:tc>
        <w:tc>
          <w:tcPr>
            <w:tcW w:w="163" w:type="dxa"/>
            <w:tcBorders/>
            <w:shd w:fill="auto" w:val="clear"/>
            <w:vAlign w:val="bottom"/>
          </w:tcPr>
          <w:p>
            <w:pPr>
              <w:pStyle w:val="TableContents"/>
              <w:spacing w:before="0" w:after="0"/>
              <w:ind w:left="0" w:right="0" w:hanging="0"/>
              <w:rPr/>
            </w:pPr>
            <w:r>
              <w:rPr/>
              <w:t> </w:t>
            </w:r>
          </w:p>
        </w:tc>
      </w:tr>
      <w:tr>
        <w:trPr/>
        <w:tc>
          <w:tcPr>
            <w:tcW w:w="259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Optical Products and Services:</w:t>
            </w:r>
          </w:p>
        </w:tc>
        <w:tc>
          <w:tcPr>
            <w:tcW w:w="168" w:type="dxa"/>
            <w:tcBorders/>
            <w:shd w:fill="CCEEFF" w:val="clear"/>
            <w:vAlign w:val="bottom"/>
          </w:tcPr>
          <w:p>
            <w:pPr>
              <w:pStyle w:val="TableContents"/>
              <w:spacing w:before="0" w:after="0"/>
              <w:ind w:left="0" w:right="0" w:hanging="0"/>
              <w:rPr/>
            </w:pPr>
            <w:r>
              <w:rPr/>
              <w:t> </w:t>
            </w:r>
          </w:p>
        </w:tc>
        <w:tc>
          <w:tcPr>
            <w:tcW w:w="1160" w:type="dxa"/>
            <w:gridSpan w:val="2"/>
            <w:tcBorders/>
            <w:shd w:fill="CCEEFF" w:val="clear"/>
            <w:vAlign w:val="bottom"/>
          </w:tcPr>
          <w:p>
            <w:pPr>
              <w:pStyle w:val="TableContents"/>
              <w:spacing w:before="0" w:after="0"/>
              <w:ind w:left="0" w:right="0" w:hanging="0"/>
              <w:jc w:val="right"/>
              <w:rPr/>
            </w:pPr>
            <w:r>
              <w:rPr/>
              <w:t> </w:t>
            </w:r>
          </w:p>
        </w:tc>
        <w:tc>
          <w:tcPr>
            <w:tcW w:w="168" w:type="dxa"/>
            <w:tcBorders/>
            <w:shd w:fill="CCEEFF" w:val="clear"/>
            <w:vAlign w:val="bottom"/>
          </w:tcPr>
          <w:p>
            <w:pPr>
              <w:pStyle w:val="TableContents"/>
              <w:spacing w:before="0" w:after="0"/>
              <w:ind w:left="0" w:right="0" w:hanging="0"/>
              <w:rPr/>
            </w:pPr>
            <w:r>
              <w:rPr/>
              <w:t> </w:t>
            </w:r>
          </w:p>
        </w:tc>
        <w:tc>
          <w:tcPr>
            <w:tcW w:w="1114" w:type="dxa"/>
            <w:tcBorders/>
            <w:shd w:fill="CCEEFF" w:val="clear"/>
            <w:vAlign w:val="bottom"/>
          </w:tcPr>
          <w:p>
            <w:pPr>
              <w:pStyle w:val="TableContents"/>
              <w:spacing w:before="0" w:after="0"/>
              <w:ind w:left="0" w:right="0" w:hanging="0"/>
              <w:jc w:val="right"/>
              <w:rPr/>
            </w:pPr>
            <w:r>
              <w:rPr/>
              <w:t> </w:t>
            </w:r>
          </w:p>
        </w:tc>
        <w:tc>
          <w:tcPr>
            <w:tcW w:w="356" w:type="dxa"/>
            <w:tcBorders/>
            <w:shd w:fill="CCEEFF" w:val="clear"/>
            <w:vAlign w:val="bottom"/>
          </w:tcPr>
          <w:p>
            <w:pPr>
              <w:pStyle w:val="TableContents"/>
              <w:spacing w:before="0" w:after="0"/>
              <w:ind w:left="0" w:right="0" w:hanging="0"/>
              <w:rPr/>
            </w:pPr>
            <w:r>
              <w:rPr/>
              <w:t> </w:t>
            </w:r>
          </w:p>
        </w:tc>
        <w:tc>
          <w:tcPr>
            <w:tcW w:w="1160" w:type="dxa"/>
            <w:gridSpan w:val="2"/>
            <w:tcBorders/>
            <w:shd w:fill="CCEEFF" w:val="clear"/>
            <w:vAlign w:val="bottom"/>
          </w:tcPr>
          <w:p>
            <w:pPr>
              <w:pStyle w:val="TableContents"/>
              <w:spacing w:before="0" w:after="0"/>
              <w:ind w:left="0" w:right="0" w:hanging="0"/>
              <w:jc w:val="right"/>
              <w:rPr/>
            </w:pPr>
            <w:r>
              <w:rPr/>
              <w:t> </w:t>
            </w:r>
          </w:p>
        </w:tc>
        <w:tc>
          <w:tcPr>
            <w:tcW w:w="167" w:type="dxa"/>
            <w:tcBorders/>
            <w:shd w:fill="CCEEFF" w:val="clear"/>
            <w:vAlign w:val="bottom"/>
          </w:tcPr>
          <w:p>
            <w:pPr>
              <w:pStyle w:val="TableContents"/>
              <w:spacing w:before="0" w:after="0"/>
              <w:ind w:left="0" w:right="0" w:hanging="0"/>
              <w:rPr/>
            </w:pPr>
            <w:r>
              <w:rPr/>
              <w:t> </w:t>
            </w:r>
          </w:p>
        </w:tc>
        <w:tc>
          <w:tcPr>
            <w:tcW w:w="1114" w:type="dxa"/>
            <w:tcBorders/>
            <w:shd w:fill="CCEEFF" w:val="clear"/>
            <w:vAlign w:val="bottom"/>
          </w:tcPr>
          <w:p>
            <w:pPr>
              <w:pStyle w:val="TableContents"/>
              <w:spacing w:before="0" w:after="0"/>
              <w:ind w:left="0" w:right="0" w:hanging="0"/>
              <w:jc w:val="right"/>
              <w:rPr/>
            </w:pPr>
            <w:r>
              <w:rPr/>
              <w:t> </w:t>
            </w:r>
          </w:p>
        </w:tc>
        <w:tc>
          <w:tcPr>
            <w:tcW w:w="163" w:type="dxa"/>
            <w:tcBorders/>
            <w:shd w:fill="CCEEFF" w:val="clear"/>
            <w:vAlign w:val="bottom"/>
          </w:tcPr>
          <w:p>
            <w:pPr>
              <w:pStyle w:val="TableContents"/>
              <w:spacing w:before="0" w:after="0"/>
              <w:ind w:left="0" w:right="0" w:hanging="0"/>
              <w:rPr/>
            </w:pPr>
            <w:r>
              <w:rPr/>
              <w:t> </w:t>
            </w:r>
          </w:p>
        </w:tc>
      </w:tr>
      <w:tr>
        <w:trPr/>
        <w:tc>
          <w:tcPr>
            <w:tcW w:w="259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Sales, net</w:t>
            </w:r>
          </w:p>
        </w:tc>
        <w:tc>
          <w:tcPr>
            <w:tcW w:w="168" w:type="dxa"/>
            <w:tcBorders/>
            <w:shd w:fill="auto" w:val="clear"/>
            <w:vAlign w:val="bottom"/>
          </w:tcPr>
          <w:p>
            <w:pPr>
              <w:pStyle w:val="TableContents"/>
              <w:spacing w:before="0" w:after="0"/>
              <w:ind w:left="0" w:right="0" w:hanging="0"/>
              <w:rPr/>
            </w:pPr>
            <w:r>
              <w:rPr/>
              <w:t> </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56,128</w:t>
            </w:r>
          </w:p>
        </w:tc>
        <w:tc>
          <w:tcPr>
            <w:tcW w:w="168" w:type="dxa"/>
            <w:tcBorders/>
            <w:shd w:fill="auto" w:val="clear"/>
            <w:vAlign w:val="bottom"/>
          </w:tcPr>
          <w:p>
            <w:pPr>
              <w:pStyle w:val="TableContents"/>
              <w:spacing w:before="0" w:after="0"/>
              <w:ind w:left="0" w:right="0" w:hanging="0"/>
              <w:rPr/>
            </w:pPr>
            <w:r>
              <w:rPr/>
              <w:t> </w:t>
            </w:r>
          </w:p>
        </w:tc>
        <w:tc>
          <w:tcPr>
            <w:tcW w:w="11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100.0</w:t>
            </w:r>
          </w:p>
        </w:tc>
        <w:tc>
          <w:tcPr>
            <w:tcW w:w="35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54,421</w:t>
            </w:r>
          </w:p>
        </w:tc>
        <w:tc>
          <w:tcPr>
            <w:tcW w:w="167" w:type="dxa"/>
            <w:tcBorders/>
            <w:shd w:fill="auto" w:val="clear"/>
            <w:vAlign w:val="bottom"/>
          </w:tcPr>
          <w:p>
            <w:pPr>
              <w:pStyle w:val="TableContents"/>
              <w:spacing w:before="0" w:after="0"/>
              <w:ind w:left="0" w:right="0" w:hanging="0"/>
              <w:rPr/>
            </w:pPr>
            <w:r>
              <w:rPr/>
              <w:t> </w:t>
            </w:r>
          </w:p>
        </w:tc>
        <w:tc>
          <w:tcPr>
            <w:tcW w:w="11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100.0</w:t>
            </w:r>
          </w:p>
        </w:tc>
        <w:tc>
          <w:tcPr>
            <w:tcW w:w="1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9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Cost of goods sold</w:t>
            </w:r>
          </w:p>
        </w:tc>
        <w:tc>
          <w:tcPr>
            <w:tcW w:w="168" w:type="dxa"/>
            <w:tcBorders/>
            <w:shd w:fill="CCEEFF" w:val="clear"/>
            <w:vAlign w:val="bottom"/>
          </w:tcPr>
          <w:p>
            <w:pPr>
              <w:pStyle w:val="TableContents"/>
              <w:spacing w:before="0" w:after="0"/>
              <w:ind w:left="0" w:right="0" w:hanging="0"/>
              <w:rPr/>
            </w:pPr>
            <w:r>
              <w:rPr/>
              <w:t> </w:t>
            </w:r>
          </w:p>
        </w:tc>
        <w:tc>
          <w:tcPr>
            <w:tcW w:w="11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25,119</w:t>
            </w:r>
          </w:p>
        </w:tc>
        <w:tc>
          <w:tcPr>
            <w:tcW w:w="168" w:type="dxa"/>
            <w:tcBorders/>
            <w:shd w:fill="CCEEFF" w:val="clear"/>
            <w:vAlign w:val="bottom"/>
          </w:tcPr>
          <w:p>
            <w:pPr>
              <w:pStyle w:val="TableContents"/>
              <w:spacing w:before="0" w:after="0"/>
              <w:ind w:left="0" w:right="0" w:hanging="0"/>
              <w:rPr/>
            </w:pPr>
            <w:r>
              <w:rPr/>
              <w:t> </w:t>
            </w:r>
          </w:p>
        </w:tc>
        <w:tc>
          <w:tcPr>
            <w:tcW w:w="111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44.8</w:t>
            </w:r>
          </w:p>
        </w:tc>
        <w:tc>
          <w:tcPr>
            <w:tcW w:w="35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24,192</w:t>
            </w:r>
          </w:p>
        </w:tc>
        <w:tc>
          <w:tcPr>
            <w:tcW w:w="167" w:type="dxa"/>
            <w:tcBorders/>
            <w:shd w:fill="CCEEFF" w:val="clear"/>
            <w:vAlign w:val="bottom"/>
          </w:tcPr>
          <w:p>
            <w:pPr>
              <w:pStyle w:val="TableContents"/>
              <w:spacing w:before="0" w:after="0"/>
              <w:ind w:left="0" w:right="0" w:hanging="0"/>
              <w:rPr/>
            </w:pPr>
            <w:r>
              <w:rPr/>
              <w:t> </w:t>
            </w:r>
          </w:p>
        </w:tc>
        <w:tc>
          <w:tcPr>
            <w:tcW w:w="111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44.5</w:t>
            </w:r>
          </w:p>
        </w:tc>
        <w:tc>
          <w:tcPr>
            <w:tcW w:w="1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9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Gross profit</w:t>
            </w:r>
          </w:p>
        </w:tc>
        <w:tc>
          <w:tcPr>
            <w:tcW w:w="168" w:type="dxa"/>
            <w:tcBorders/>
            <w:shd w:fill="auto" w:val="clear"/>
            <w:vAlign w:val="bottom"/>
          </w:tcPr>
          <w:p>
            <w:pPr>
              <w:pStyle w:val="TableContents"/>
              <w:spacing w:before="0" w:after="0"/>
              <w:ind w:left="0" w:right="0" w:hanging="0"/>
              <w:rPr/>
            </w:pPr>
            <w:r>
              <w:rPr/>
              <w:t> </w:t>
            </w:r>
          </w:p>
        </w:tc>
        <w:tc>
          <w:tcPr>
            <w:tcW w:w="129"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1"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31,009</w:t>
            </w:r>
          </w:p>
        </w:tc>
        <w:tc>
          <w:tcPr>
            <w:tcW w:w="168" w:type="dxa"/>
            <w:tcBorders/>
            <w:shd w:fill="auto" w:val="clear"/>
            <w:vAlign w:val="bottom"/>
          </w:tcPr>
          <w:p>
            <w:pPr>
              <w:pStyle w:val="TableContents"/>
              <w:spacing w:before="0" w:after="0"/>
              <w:ind w:left="0" w:right="0" w:hanging="0"/>
              <w:rPr/>
            </w:pPr>
            <w:r>
              <w:rPr/>
              <w:t> </w:t>
            </w:r>
          </w:p>
        </w:tc>
        <w:tc>
          <w:tcPr>
            <w:tcW w:w="1114" w:type="dxa"/>
            <w:tcBorders>
              <w:bottom w:val="double" w:sz="4"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55.2</w:t>
            </w:r>
          </w:p>
        </w:tc>
        <w:tc>
          <w:tcPr>
            <w:tcW w:w="35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1"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30,229</w:t>
            </w:r>
          </w:p>
        </w:tc>
        <w:tc>
          <w:tcPr>
            <w:tcW w:w="167" w:type="dxa"/>
            <w:tcBorders/>
            <w:shd w:fill="auto" w:val="clear"/>
            <w:vAlign w:val="bottom"/>
          </w:tcPr>
          <w:p>
            <w:pPr>
              <w:pStyle w:val="TableContents"/>
              <w:spacing w:before="0" w:after="0"/>
              <w:ind w:left="0" w:right="0" w:hanging="0"/>
              <w:rPr/>
            </w:pPr>
            <w:r>
              <w:rPr/>
              <w:t> </w:t>
            </w:r>
          </w:p>
        </w:tc>
        <w:tc>
          <w:tcPr>
            <w:tcW w:w="1114" w:type="dxa"/>
            <w:tcBorders>
              <w:bottom w:val="double" w:sz="4"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55.5</w:t>
            </w:r>
          </w:p>
        </w:tc>
        <w:tc>
          <w:tcPr>
            <w:tcW w:w="1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94" w:type="dxa"/>
            <w:tcBorders/>
            <w:shd w:fill="CCEEFF" w:val="clear"/>
          </w:tcPr>
          <w:p>
            <w:pPr>
              <w:pStyle w:val="TableContents"/>
              <w:spacing w:before="0" w:after="0"/>
              <w:ind w:left="0" w:right="0" w:hanging="0"/>
              <w:rPr/>
            </w:pPr>
            <w:r>
              <w:rPr/>
              <w:t> </w:t>
            </w:r>
          </w:p>
        </w:tc>
        <w:tc>
          <w:tcPr>
            <w:tcW w:w="168" w:type="dxa"/>
            <w:tcBorders/>
            <w:shd w:fill="CCEEFF" w:val="clear"/>
            <w:vAlign w:val="bottom"/>
          </w:tcPr>
          <w:p>
            <w:pPr>
              <w:pStyle w:val="TableContents"/>
              <w:spacing w:before="0" w:after="0"/>
              <w:ind w:left="0" w:right="0" w:hanging="0"/>
              <w:rPr/>
            </w:pPr>
            <w:r>
              <w:rPr/>
              <w:t> </w:t>
            </w:r>
          </w:p>
        </w:tc>
        <w:tc>
          <w:tcPr>
            <w:tcW w:w="1160" w:type="dxa"/>
            <w:gridSpan w:val="2"/>
            <w:tcBorders/>
            <w:shd w:fill="CCEEFF" w:val="clear"/>
            <w:vAlign w:val="bottom"/>
          </w:tcPr>
          <w:p>
            <w:pPr>
              <w:pStyle w:val="TableContents"/>
              <w:spacing w:before="0" w:after="0"/>
              <w:ind w:left="0" w:right="0" w:hanging="0"/>
              <w:jc w:val="right"/>
              <w:rPr/>
            </w:pPr>
            <w:r>
              <w:rPr/>
              <w:t> </w:t>
            </w:r>
          </w:p>
        </w:tc>
        <w:tc>
          <w:tcPr>
            <w:tcW w:w="168" w:type="dxa"/>
            <w:tcBorders/>
            <w:shd w:fill="CCEEFF" w:val="clear"/>
            <w:vAlign w:val="bottom"/>
          </w:tcPr>
          <w:p>
            <w:pPr>
              <w:pStyle w:val="TableContents"/>
              <w:spacing w:before="0" w:after="0"/>
              <w:ind w:left="0" w:right="0" w:hanging="0"/>
              <w:rPr/>
            </w:pPr>
            <w:r>
              <w:rPr/>
              <w:t> </w:t>
            </w:r>
          </w:p>
        </w:tc>
        <w:tc>
          <w:tcPr>
            <w:tcW w:w="1114" w:type="dxa"/>
            <w:tcBorders/>
            <w:shd w:fill="CCEEFF" w:val="clear"/>
            <w:vAlign w:val="bottom"/>
          </w:tcPr>
          <w:p>
            <w:pPr>
              <w:pStyle w:val="TableContents"/>
              <w:spacing w:before="0" w:after="0"/>
              <w:ind w:left="0" w:right="0" w:hanging="0"/>
              <w:jc w:val="right"/>
              <w:rPr/>
            </w:pPr>
            <w:r>
              <w:rPr/>
              <w:t> </w:t>
            </w:r>
          </w:p>
        </w:tc>
        <w:tc>
          <w:tcPr>
            <w:tcW w:w="356" w:type="dxa"/>
            <w:tcBorders/>
            <w:shd w:fill="CCEEFF" w:val="clear"/>
            <w:vAlign w:val="bottom"/>
          </w:tcPr>
          <w:p>
            <w:pPr>
              <w:pStyle w:val="TableContents"/>
              <w:spacing w:before="0" w:after="0"/>
              <w:ind w:left="0" w:right="0" w:hanging="0"/>
              <w:rPr/>
            </w:pPr>
            <w:r>
              <w:rPr/>
              <w:t> </w:t>
            </w:r>
          </w:p>
        </w:tc>
        <w:tc>
          <w:tcPr>
            <w:tcW w:w="1160" w:type="dxa"/>
            <w:gridSpan w:val="2"/>
            <w:tcBorders/>
            <w:shd w:fill="CCEEFF" w:val="clear"/>
            <w:vAlign w:val="bottom"/>
          </w:tcPr>
          <w:p>
            <w:pPr>
              <w:pStyle w:val="TableContents"/>
              <w:spacing w:before="0" w:after="0"/>
              <w:ind w:left="0" w:right="0" w:hanging="0"/>
              <w:jc w:val="right"/>
              <w:rPr/>
            </w:pPr>
            <w:r>
              <w:rPr/>
              <w:t> </w:t>
            </w:r>
          </w:p>
        </w:tc>
        <w:tc>
          <w:tcPr>
            <w:tcW w:w="167" w:type="dxa"/>
            <w:tcBorders/>
            <w:shd w:fill="CCEEFF" w:val="clear"/>
            <w:vAlign w:val="bottom"/>
          </w:tcPr>
          <w:p>
            <w:pPr>
              <w:pStyle w:val="TableContents"/>
              <w:spacing w:before="0" w:after="0"/>
              <w:ind w:left="0" w:right="0" w:hanging="0"/>
              <w:rPr/>
            </w:pPr>
            <w:r>
              <w:rPr/>
              <w:t> </w:t>
            </w:r>
          </w:p>
        </w:tc>
        <w:tc>
          <w:tcPr>
            <w:tcW w:w="1114" w:type="dxa"/>
            <w:tcBorders/>
            <w:shd w:fill="CCEEFF" w:val="clear"/>
            <w:vAlign w:val="bottom"/>
          </w:tcPr>
          <w:p>
            <w:pPr>
              <w:pStyle w:val="TableContents"/>
              <w:spacing w:before="0" w:after="0"/>
              <w:ind w:left="0" w:right="0" w:hanging="0"/>
              <w:jc w:val="right"/>
              <w:rPr/>
            </w:pPr>
            <w:r>
              <w:rPr/>
              <w:t> </w:t>
            </w:r>
          </w:p>
        </w:tc>
        <w:tc>
          <w:tcPr>
            <w:tcW w:w="163" w:type="dxa"/>
            <w:tcBorders/>
            <w:shd w:fill="CCEEFF" w:val="clear"/>
            <w:vAlign w:val="bottom"/>
          </w:tcPr>
          <w:p>
            <w:pPr>
              <w:pStyle w:val="TableContents"/>
              <w:spacing w:before="0" w:after="0"/>
              <w:ind w:left="0" w:right="0" w:hanging="0"/>
              <w:rPr/>
            </w:pPr>
            <w:r>
              <w:rPr/>
              <w:t> </w:t>
            </w:r>
          </w:p>
        </w:tc>
      </w:tr>
      <w:tr>
        <w:trPr/>
        <w:tc>
          <w:tcPr>
            <w:tcW w:w="259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Managed Vision Care Services:</w:t>
            </w:r>
          </w:p>
        </w:tc>
        <w:tc>
          <w:tcPr>
            <w:tcW w:w="168" w:type="dxa"/>
            <w:tcBorders/>
            <w:shd w:fill="auto" w:val="clear"/>
            <w:vAlign w:val="bottom"/>
          </w:tcPr>
          <w:p>
            <w:pPr>
              <w:pStyle w:val="TableContents"/>
              <w:spacing w:before="0" w:after="0"/>
              <w:ind w:left="0" w:right="0" w:hanging="0"/>
              <w:rPr/>
            </w:pPr>
            <w:r>
              <w:rPr/>
              <w:t> </w:t>
            </w:r>
          </w:p>
        </w:tc>
        <w:tc>
          <w:tcPr>
            <w:tcW w:w="1160" w:type="dxa"/>
            <w:gridSpan w:val="2"/>
            <w:tcBorders/>
            <w:shd w:fill="auto" w:val="clear"/>
            <w:vAlign w:val="bottom"/>
          </w:tcPr>
          <w:p>
            <w:pPr>
              <w:pStyle w:val="TableContents"/>
              <w:spacing w:before="0" w:after="0"/>
              <w:ind w:left="0" w:right="0" w:hanging="0"/>
              <w:jc w:val="right"/>
              <w:rPr/>
            </w:pPr>
            <w:r>
              <w:rPr/>
              <w:t> </w:t>
            </w:r>
          </w:p>
        </w:tc>
        <w:tc>
          <w:tcPr>
            <w:tcW w:w="168" w:type="dxa"/>
            <w:tcBorders/>
            <w:shd w:fill="auto" w:val="clear"/>
            <w:vAlign w:val="bottom"/>
          </w:tcPr>
          <w:p>
            <w:pPr>
              <w:pStyle w:val="TableContents"/>
              <w:spacing w:before="0" w:after="0"/>
              <w:ind w:left="0" w:right="0" w:hanging="0"/>
              <w:rPr/>
            </w:pPr>
            <w:r>
              <w:rPr/>
              <w:t> </w:t>
            </w:r>
          </w:p>
        </w:tc>
        <w:tc>
          <w:tcPr>
            <w:tcW w:w="1114" w:type="dxa"/>
            <w:tcBorders/>
            <w:shd w:fill="auto" w:val="clear"/>
            <w:vAlign w:val="bottom"/>
          </w:tcPr>
          <w:p>
            <w:pPr>
              <w:pStyle w:val="TableContents"/>
              <w:spacing w:before="0" w:after="0"/>
              <w:ind w:left="0" w:right="0" w:hanging="0"/>
              <w:jc w:val="right"/>
              <w:rPr/>
            </w:pPr>
            <w:r>
              <w:rPr/>
              <w:t> </w:t>
            </w:r>
          </w:p>
        </w:tc>
        <w:tc>
          <w:tcPr>
            <w:tcW w:w="356" w:type="dxa"/>
            <w:tcBorders/>
            <w:shd w:fill="auto" w:val="clear"/>
            <w:vAlign w:val="bottom"/>
          </w:tcPr>
          <w:p>
            <w:pPr>
              <w:pStyle w:val="TableContents"/>
              <w:spacing w:before="0" w:after="0"/>
              <w:ind w:left="0" w:right="0" w:hanging="0"/>
              <w:rPr/>
            </w:pPr>
            <w:r>
              <w:rPr/>
              <w:t> </w:t>
            </w:r>
          </w:p>
        </w:tc>
        <w:tc>
          <w:tcPr>
            <w:tcW w:w="1160" w:type="dxa"/>
            <w:gridSpan w:val="2"/>
            <w:tcBorders/>
            <w:shd w:fill="auto" w:val="clear"/>
            <w:vAlign w:val="bottom"/>
          </w:tcPr>
          <w:p>
            <w:pPr>
              <w:pStyle w:val="TableContents"/>
              <w:spacing w:before="0" w:after="0"/>
              <w:ind w:left="0" w:right="0" w:hanging="0"/>
              <w:jc w:val="right"/>
              <w:rPr/>
            </w:pPr>
            <w:r>
              <w:rPr/>
              <w:t> </w:t>
            </w:r>
          </w:p>
        </w:tc>
        <w:tc>
          <w:tcPr>
            <w:tcW w:w="167" w:type="dxa"/>
            <w:tcBorders/>
            <w:shd w:fill="auto" w:val="clear"/>
            <w:vAlign w:val="bottom"/>
          </w:tcPr>
          <w:p>
            <w:pPr>
              <w:pStyle w:val="TableContents"/>
              <w:spacing w:before="0" w:after="0"/>
              <w:ind w:left="0" w:right="0" w:hanging="0"/>
              <w:rPr/>
            </w:pPr>
            <w:r>
              <w:rPr/>
              <w:t> </w:t>
            </w:r>
          </w:p>
        </w:tc>
        <w:tc>
          <w:tcPr>
            <w:tcW w:w="1114" w:type="dxa"/>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r>
      <w:tr>
        <w:trPr/>
        <w:tc>
          <w:tcPr>
            <w:tcW w:w="259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Fee revenue</w:t>
            </w:r>
          </w:p>
        </w:tc>
        <w:tc>
          <w:tcPr>
            <w:tcW w:w="168" w:type="dxa"/>
            <w:tcBorders/>
            <w:shd w:fill="CCEEFF" w:val="clear"/>
            <w:vAlign w:val="bottom"/>
          </w:tcPr>
          <w:p>
            <w:pPr>
              <w:pStyle w:val="TableContents"/>
              <w:spacing w:before="0" w:after="0"/>
              <w:ind w:left="0" w:right="0" w:hanging="0"/>
              <w:rPr/>
            </w:pPr>
            <w:r>
              <w:rPr/>
              <w:t> </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2,601</w:t>
            </w:r>
          </w:p>
        </w:tc>
        <w:tc>
          <w:tcPr>
            <w:tcW w:w="168" w:type="dxa"/>
            <w:tcBorders/>
            <w:shd w:fill="CCEEFF" w:val="clear"/>
            <w:vAlign w:val="bottom"/>
          </w:tcPr>
          <w:p>
            <w:pPr>
              <w:pStyle w:val="TableContents"/>
              <w:spacing w:before="0" w:after="0"/>
              <w:ind w:left="0" w:right="0" w:hanging="0"/>
              <w:rPr/>
            </w:pPr>
            <w:r>
              <w:rPr/>
              <w:t> </w:t>
            </w:r>
          </w:p>
        </w:tc>
        <w:tc>
          <w:tcPr>
            <w:tcW w:w="111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100.0</w:t>
            </w:r>
          </w:p>
        </w:tc>
        <w:tc>
          <w:tcPr>
            <w:tcW w:w="35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1,909</w:t>
            </w:r>
          </w:p>
        </w:tc>
        <w:tc>
          <w:tcPr>
            <w:tcW w:w="167" w:type="dxa"/>
            <w:tcBorders/>
            <w:shd w:fill="CCEEFF" w:val="clear"/>
            <w:vAlign w:val="bottom"/>
          </w:tcPr>
          <w:p>
            <w:pPr>
              <w:pStyle w:val="TableContents"/>
              <w:spacing w:before="0" w:after="0"/>
              <w:ind w:left="0" w:right="0" w:hanging="0"/>
              <w:rPr/>
            </w:pPr>
            <w:r>
              <w:rPr/>
              <w:t> </w:t>
            </w:r>
          </w:p>
        </w:tc>
        <w:tc>
          <w:tcPr>
            <w:tcW w:w="111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100.0</w:t>
            </w:r>
          </w:p>
        </w:tc>
        <w:tc>
          <w:tcPr>
            <w:tcW w:w="1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9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Cost of sales</w:t>
            </w:r>
          </w:p>
        </w:tc>
        <w:tc>
          <w:tcPr>
            <w:tcW w:w="168" w:type="dxa"/>
            <w:tcBorders/>
            <w:shd w:fill="auto" w:val="clear"/>
            <w:vAlign w:val="bottom"/>
          </w:tcPr>
          <w:p>
            <w:pPr>
              <w:pStyle w:val="TableContents"/>
              <w:spacing w:before="0" w:after="0"/>
              <w:ind w:left="0" w:right="0" w:hanging="0"/>
              <w:rPr/>
            </w:pPr>
            <w:r>
              <w:rPr/>
              <w:t> </w:t>
            </w:r>
          </w:p>
        </w:tc>
        <w:tc>
          <w:tcPr>
            <w:tcW w:w="116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1,761</w:t>
            </w:r>
          </w:p>
        </w:tc>
        <w:tc>
          <w:tcPr>
            <w:tcW w:w="168" w:type="dxa"/>
            <w:tcBorders/>
            <w:shd w:fill="auto" w:val="clear"/>
            <w:vAlign w:val="bottom"/>
          </w:tcPr>
          <w:p>
            <w:pPr>
              <w:pStyle w:val="TableContents"/>
              <w:spacing w:before="0" w:after="0"/>
              <w:ind w:left="0" w:right="0" w:hanging="0"/>
              <w:rPr/>
            </w:pPr>
            <w:r>
              <w:rPr/>
              <w:t> </w:t>
            </w:r>
          </w:p>
        </w:tc>
        <w:tc>
          <w:tcPr>
            <w:tcW w:w="1114"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67.7</w:t>
            </w:r>
          </w:p>
        </w:tc>
        <w:tc>
          <w:tcPr>
            <w:tcW w:w="35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1,217</w:t>
            </w:r>
          </w:p>
        </w:tc>
        <w:tc>
          <w:tcPr>
            <w:tcW w:w="167" w:type="dxa"/>
            <w:tcBorders/>
            <w:shd w:fill="auto" w:val="clear"/>
            <w:vAlign w:val="bottom"/>
          </w:tcPr>
          <w:p>
            <w:pPr>
              <w:pStyle w:val="TableContents"/>
              <w:spacing w:before="0" w:after="0"/>
              <w:ind w:left="0" w:right="0" w:hanging="0"/>
              <w:rPr/>
            </w:pPr>
            <w:r>
              <w:rPr/>
              <w:t> </w:t>
            </w:r>
          </w:p>
        </w:tc>
        <w:tc>
          <w:tcPr>
            <w:tcW w:w="1114"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63.8</w:t>
            </w:r>
          </w:p>
        </w:tc>
        <w:tc>
          <w:tcPr>
            <w:tcW w:w="1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9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Gross profit</w:t>
            </w:r>
          </w:p>
        </w:tc>
        <w:tc>
          <w:tcPr>
            <w:tcW w:w="168" w:type="dxa"/>
            <w:tcBorders/>
            <w:shd w:fill="CCEEFF" w:val="clear"/>
            <w:vAlign w:val="bottom"/>
          </w:tcPr>
          <w:p>
            <w:pPr>
              <w:pStyle w:val="TableContents"/>
              <w:spacing w:before="0" w:after="0"/>
              <w:ind w:left="0" w:right="0" w:hanging="0"/>
              <w:rPr/>
            </w:pPr>
            <w:r>
              <w:rPr/>
              <w:t> </w:t>
            </w:r>
          </w:p>
        </w:tc>
        <w:tc>
          <w:tcPr>
            <w:tcW w:w="129"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1"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840</w:t>
            </w:r>
          </w:p>
        </w:tc>
        <w:tc>
          <w:tcPr>
            <w:tcW w:w="168" w:type="dxa"/>
            <w:tcBorders/>
            <w:shd w:fill="CCEEFF" w:val="clear"/>
            <w:vAlign w:val="bottom"/>
          </w:tcPr>
          <w:p>
            <w:pPr>
              <w:pStyle w:val="TableContents"/>
              <w:spacing w:before="0" w:after="0"/>
              <w:ind w:left="0" w:right="0" w:hanging="0"/>
              <w:rPr/>
            </w:pPr>
            <w:r>
              <w:rPr/>
              <w:t> </w:t>
            </w:r>
          </w:p>
        </w:tc>
        <w:tc>
          <w:tcPr>
            <w:tcW w:w="1114"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32.3</w:t>
            </w:r>
          </w:p>
        </w:tc>
        <w:tc>
          <w:tcPr>
            <w:tcW w:w="35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1"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692</w:t>
            </w:r>
          </w:p>
        </w:tc>
        <w:tc>
          <w:tcPr>
            <w:tcW w:w="167" w:type="dxa"/>
            <w:tcBorders/>
            <w:shd w:fill="CCEEFF" w:val="clear"/>
            <w:vAlign w:val="bottom"/>
          </w:tcPr>
          <w:p>
            <w:pPr>
              <w:pStyle w:val="TableContents"/>
              <w:spacing w:before="0" w:after="0"/>
              <w:ind w:left="0" w:right="0" w:hanging="0"/>
              <w:rPr/>
            </w:pPr>
            <w:r>
              <w:rPr/>
              <w:t> </w:t>
            </w:r>
          </w:p>
        </w:tc>
        <w:tc>
          <w:tcPr>
            <w:tcW w:w="1114"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w:t>
            </w:r>
          </w:p>
        </w:tc>
        <w:tc>
          <w:tcPr>
            <w:tcW w:w="1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94" w:type="dxa"/>
            <w:tcBorders/>
            <w:shd w:fill="auto" w:val="clear"/>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rPr/>
            </w:pPr>
            <w:r>
              <w:rPr/>
              <w:t> </w:t>
            </w:r>
          </w:p>
        </w:tc>
        <w:tc>
          <w:tcPr>
            <w:tcW w:w="1160" w:type="dxa"/>
            <w:gridSpan w:val="2"/>
            <w:tcBorders/>
            <w:shd w:fill="auto" w:val="clear"/>
            <w:vAlign w:val="bottom"/>
          </w:tcPr>
          <w:p>
            <w:pPr>
              <w:pStyle w:val="TableContents"/>
              <w:spacing w:before="0" w:after="0"/>
              <w:ind w:left="0" w:right="0" w:hanging="0"/>
              <w:jc w:val="right"/>
              <w:rPr/>
            </w:pPr>
            <w:r>
              <w:rPr/>
              <w:t> </w:t>
            </w:r>
          </w:p>
        </w:tc>
        <w:tc>
          <w:tcPr>
            <w:tcW w:w="168" w:type="dxa"/>
            <w:tcBorders/>
            <w:shd w:fill="auto" w:val="clear"/>
            <w:vAlign w:val="bottom"/>
          </w:tcPr>
          <w:p>
            <w:pPr>
              <w:pStyle w:val="TableContents"/>
              <w:spacing w:before="0" w:after="0"/>
              <w:ind w:left="0" w:right="0" w:hanging="0"/>
              <w:rPr/>
            </w:pPr>
            <w:r>
              <w:rPr/>
              <w:t> </w:t>
            </w:r>
          </w:p>
        </w:tc>
        <w:tc>
          <w:tcPr>
            <w:tcW w:w="1114" w:type="dxa"/>
            <w:tcBorders/>
            <w:shd w:fill="auto" w:val="clear"/>
            <w:vAlign w:val="bottom"/>
          </w:tcPr>
          <w:p>
            <w:pPr>
              <w:pStyle w:val="TableContents"/>
              <w:spacing w:before="0" w:after="0"/>
              <w:ind w:left="0" w:right="0" w:hanging="0"/>
              <w:jc w:val="right"/>
              <w:rPr/>
            </w:pPr>
            <w:r>
              <w:rPr/>
              <w:t> </w:t>
            </w:r>
          </w:p>
        </w:tc>
        <w:tc>
          <w:tcPr>
            <w:tcW w:w="356" w:type="dxa"/>
            <w:tcBorders/>
            <w:shd w:fill="auto" w:val="clear"/>
            <w:vAlign w:val="bottom"/>
          </w:tcPr>
          <w:p>
            <w:pPr>
              <w:pStyle w:val="TableContents"/>
              <w:spacing w:before="0" w:after="0"/>
              <w:ind w:left="0" w:right="0" w:hanging="0"/>
              <w:rPr/>
            </w:pPr>
            <w:r>
              <w:rPr/>
              <w:t> </w:t>
            </w:r>
          </w:p>
        </w:tc>
        <w:tc>
          <w:tcPr>
            <w:tcW w:w="1160" w:type="dxa"/>
            <w:gridSpan w:val="2"/>
            <w:tcBorders/>
            <w:shd w:fill="auto" w:val="clear"/>
            <w:vAlign w:val="bottom"/>
          </w:tcPr>
          <w:p>
            <w:pPr>
              <w:pStyle w:val="TableContents"/>
              <w:spacing w:before="0" w:after="0"/>
              <w:ind w:left="0" w:right="0" w:hanging="0"/>
              <w:jc w:val="right"/>
              <w:rPr/>
            </w:pPr>
            <w:r>
              <w:rPr/>
              <w:t> </w:t>
            </w:r>
          </w:p>
        </w:tc>
        <w:tc>
          <w:tcPr>
            <w:tcW w:w="167" w:type="dxa"/>
            <w:tcBorders/>
            <w:shd w:fill="auto" w:val="clear"/>
            <w:vAlign w:val="bottom"/>
          </w:tcPr>
          <w:p>
            <w:pPr>
              <w:pStyle w:val="TableContents"/>
              <w:spacing w:before="0" w:after="0"/>
              <w:ind w:left="0" w:right="0" w:hanging="0"/>
              <w:rPr/>
            </w:pPr>
            <w:r>
              <w:rPr/>
              <w:t> </w:t>
            </w:r>
          </w:p>
        </w:tc>
        <w:tc>
          <w:tcPr>
            <w:tcW w:w="1114" w:type="dxa"/>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r>
      <w:tr>
        <w:trPr/>
        <w:tc>
          <w:tcPr>
            <w:tcW w:w="259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net revenue</w:t>
            </w:r>
          </w:p>
        </w:tc>
        <w:tc>
          <w:tcPr>
            <w:tcW w:w="168" w:type="dxa"/>
            <w:tcBorders/>
            <w:shd w:fill="CCEEFF" w:val="clear"/>
            <w:vAlign w:val="bottom"/>
          </w:tcPr>
          <w:p>
            <w:pPr>
              <w:pStyle w:val="TableContents"/>
              <w:spacing w:before="0" w:after="0"/>
              <w:ind w:left="0" w:right="0" w:hanging="0"/>
              <w:rPr/>
            </w:pPr>
            <w:r>
              <w:rPr/>
              <w:t> </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58,729</w:t>
            </w:r>
          </w:p>
        </w:tc>
        <w:tc>
          <w:tcPr>
            <w:tcW w:w="168" w:type="dxa"/>
            <w:tcBorders/>
            <w:shd w:fill="CCEEFF" w:val="clear"/>
            <w:vAlign w:val="bottom"/>
          </w:tcPr>
          <w:p>
            <w:pPr>
              <w:pStyle w:val="TableContents"/>
              <w:spacing w:before="0" w:after="0"/>
              <w:ind w:left="0" w:right="0" w:hanging="0"/>
              <w:rPr/>
            </w:pPr>
            <w:r>
              <w:rPr/>
              <w:t> </w:t>
            </w:r>
          </w:p>
        </w:tc>
        <w:tc>
          <w:tcPr>
            <w:tcW w:w="111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100.0</w:t>
            </w:r>
          </w:p>
        </w:tc>
        <w:tc>
          <w:tcPr>
            <w:tcW w:w="35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56,330</w:t>
            </w:r>
          </w:p>
        </w:tc>
        <w:tc>
          <w:tcPr>
            <w:tcW w:w="167" w:type="dxa"/>
            <w:tcBorders/>
            <w:shd w:fill="CCEEFF" w:val="clear"/>
            <w:vAlign w:val="bottom"/>
          </w:tcPr>
          <w:p>
            <w:pPr>
              <w:pStyle w:val="TableContents"/>
              <w:spacing w:before="0" w:after="0"/>
              <w:ind w:left="0" w:right="0" w:hanging="0"/>
              <w:rPr/>
            </w:pPr>
            <w:r>
              <w:rPr/>
              <w:t> </w:t>
            </w:r>
          </w:p>
        </w:tc>
        <w:tc>
          <w:tcPr>
            <w:tcW w:w="111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100.0</w:t>
            </w:r>
          </w:p>
        </w:tc>
        <w:tc>
          <w:tcPr>
            <w:tcW w:w="1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9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cost of goods sold</w:t>
            </w:r>
          </w:p>
        </w:tc>
        <w:tc>
          <w:tcPr>
            <w:tcW w:w="168" w:type="dxa"/>
            <w:tcBorders/>
            <w:shd w:fill="auto" w:val="clear"/>
            <w:vAlign w:val="bottom"/>
          </w:tcPr>
          <w:p>
            <w:pPr>
              <w:pStyle w:val="TableContents"/>
              <w:spacing w:before="0" w:after="0"/>
              <w:ind w:left="0" w:right="0" w:hanging="0"/>
              <w:rPr/>
            </w:pPr>
            <w:r>
              <w:rPr/>
              <w:t> </w:t>
            </w:r>
          </w:p>
        </w:tc>
        <w:tc>
          <w:tcPr>
            <w:tcW w:w="116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26,880</w:t>
            </w:r>
          </w:p>
        </w:tc>
        <w:tc>
          <w:tcPr>
            <w:tcW w:w="168" w:type="dxa"/>
            <w:tcBorders/>
            <w:shd w:fill="auto" w:val="clear"/>
            <w:vAlign w:val="bottom"/>
          </w:tcPr>
          <w:p>
            <w:pPr>
              <w:pStyle w:val="TableContents"/>
              <w:spacing w:before="0" w:after="0"/>
              <w:ind w:left="0" w:right="0" w:hanging="0"/>
              <w:rPr/>
            </w:pPr>
            <w:r>
              <w:rPr/>
              <w:t> </w:t>
            </w:r>
          </w:p>
        </w:tc>
        <w:tc>
          <w:tcPr>
            <w:tcW w:w="1114"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45.8</w:t>
            </w:r>
          </w:p>
        </w:tc>
        <w:tc>
          <w:tcPr>
            <w:tcW w:w="35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25,409</w:t>
            </w:r>
          </w:p>
        </w:tc>
        <w:tc>
          <w:tcPr>
            <w:tcW w:w="167" w:type="dxa"/>
            <w:tcBorders/>
            <w:shd w:fill="auto" w:val="clear"/>
            <w:vAlign w:val="bottom"/>
          </w:tcPr>
          <w:p>
            <w:pPr>
              <w:pStyle w:val="TableContents"/>
              <w:spacing w:before="0" w:after="0"/>
              <w:ind w:left="0" w:right="0" w:hanging="0"/>
              <w:rPr/>
            </w:pPr>
            <w:r>
              <w:rPr/>
              <w:t> </w:t>
            </w:r>
          </w:p>
        </w:tc>
        <w:tc>
          <w:tcPr>
            <w:tcW w:w="1114"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45.1</w:t>
            </w:r>
          </w:p>
        </w:tc>
        <w:tc>
          <w:tcPr>
            <w:tcW w:w="1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9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gross profit</w:t>
            </w:r>
          </w:p>
        </w:tc>
        <w:tc>
          <w:tcPr>
            <w:tcW w:w="168" w:type="dxa"/>
            <w:tcBorders/>
            <w:shd w:fill="CCEEFF" w:val="clear"/>
            <w:vAlign w:val="bottom"/>
          </w:tcPr>
          <w:p>
            <w:pPr>
              <w:pStyle w:val="TableContents"/>
              <w:spacing w:before="0" w:after="0"/>
              <w:ind w:left="0" w:right="0" w:hanging="0"/>
              <w:rPr/>
            </w:pPr>
            <w:r>
              <w:rPr/>
              <w:t> </w:t>
            </w:r>
          </w:p>
        </w:tc>
        <w:tc>
          <w:tcPr>
            <w:tcW w:w="129"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1"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31,849</w:t>
            </w:r>
          </w:p>
        </w:tc>
        <w:tc>
          <w:tcPr>
            <w:tcW w:w="168" w:type="dxa"/>
            <w:tcBorders/>
            <w:shd w:fill="CCEEFF" w:val="clear"/>
            <w:vAlign w:val="bottom"/>
          </w:tcPr>
          <w:p>
            <w:pPr>
              <w:pStyle w:val="TableContents"/>
              <w:spacing w:before="0" w:after="0"/>
              <w:ind w:left="0" w:right="0" w:hanging="0"/>
              <w:rPr/>
            </w:pPr>
            <w:r>
              <w:rPr/>
              <w:t> </w:t>
            </w:r>
          </w:p>
        </w:tc>
        <w:tc>
          <w:tcPr>
            <w:tcW w:w="1114"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54.2</w:t>
            </w:r>
          </w:p>
        </w:tc>
        <w:tc>
          <w:tcPr>
            <w:tcW w:w="35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1"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30,921</w:t>
            </w:r>
          </w:p>
        </w:tc>
        <w:tc>
          <w:tcPr>
            <w:tcW w:w="167" w:type="dxa"/>
            <w:tcBorders/>
            <w:shd w:fill="CCEEFF" w:val="clear"/>
            <w:vAlign w:val="bottom"/>
          </w:tcPr>
          <w:p>
            <w:pPr>
              <w:pStyle w:val="TableContents"/>
              <w:spacing w:before="0" w:after="0"/>
              <w:ind w:left="0" w:right="0" w:hanging="0"/>
              <w:rPr/>
            </w:pPr>
            <w:r>
              <w:rPr/>
              <w:t> </w:t>
            </w:r>
          </w:p>
        </w:tc>
        <w:tc>
          <w:tcPr>
            <w:tcW w:w="1114"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54.9</w:t>
            </w:r>
          </w:p>
        </w:tc>
        <w:tc>
          <w:tcPr>
            <w:tcW w:w="1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The decline in gross profit on sales of optical products and services as a percent of sales to 55.2% in the quarter ended July 2, 2005 from 55.5% in the quarter ended July 3, 2004 was primarily attributable to an increase in rent expense of approximately $412,000 which reduced gross margin by 35 basis points.  The increase in rent expense was attributable to more of our Wal-Mart stores entering the option period of their lease when the minimum annual rent increases and higher rent expense as a percent of sales at our new freestanding vision centers during their sales ramp-up period.  A direct mail discount coupon promotion also reduced margins in the current year quarter compared to the prior year quarter.  These margin reductions were partially offset by lower material costs for frames and lenses in the current year quarter.</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sz w:val="17"/>
        </w:rPr>
      </w:pPr>
      <w:r>
        <w:rPr>
          <w:rFonts w:ascii="Times New Roman" w:hAnsi="Times New Roman"/>
          <w:sz w:val="17"/>
        </w:rPr>
        <w:t>The gross profit on managed vision care services represents premium revenue and patient co-payments less claims expenses and the cost of operating our optometric examination offices.  The decline in the gross margin percentage in the current year quarter compared to the prior year quarter is due to the opening of 37 optometric offices next to vision centers operated by Wal-Mart since January 2004.  The operating expense ratio for these offices during their ramp up period, which we believe takes 24 to 36 months, is higher than the expense ratio at the more mature optometric offices we operate next to our vision centers inside Wal-Mart.</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r>
        <w:rPr>
          <w:rFonts w:ascii="Times New Roman" w:hAnsi="Times New Roman"/>
          <w:b/>
          <w:i/>
          <w:sz w:val="17"/>
        </w:rPr>
        <w:t>Selling, General and Administrative Expense (SG&amp;A expense).</w:t>
      </w:r>
      <w:r>
        <w:rPr>
          <w:rFonts w:ascii="Times New Roman" w:hAnsi="Times New Roman"/>
          <w:sz w:val="17"/>
        </w:rPr>
        <w:t>  SG&amp;A expense includes both store operating expenses and home office overhead as shown below (dollars in thousands):</w:t>
      </w:r>
    </w:p>
    <w:p>
      <w:pPr>
        <w:pStyle w:val="TextBody"/>
        <w:spacing w:before="0" w:after="0"/>
        <w:ind w:left="0" w:right="0" w:hanging="0"/>
        <w:rPr/>
      </w:pPr>
      <w:r>
        <w:rPr/>
        <w:t> </w:t>
      </w:r>
    </w:p>
    <w:tbl>
      <w:tblPr>
        <w:tblW w:w="4500" w:type="pct"/>
        <w:jc w:val="left"/>
        <w:tblInd w:w="0" w:type="dxa"/>
        <w:tblCellMar>
          <w:top w:w="0" w:type="dxa"/>
          <w:left w:w="0" w:type="dxa"/>
          <w:bottom w:w="0" w:type="dxa"/>
          <w:right w:w="0" w:type="dxa"/>
        </w:tblCellMar>
      </w:tblPr>
      <w:tblGrid>
        <w:gridCol w:w="3646"/>
        <w:gridCol w:w="185"/>
        <w:gridCol w:w="111"/>
        <w:gridCol w:w="978"/>
        <w:gridCol w:w="185"/>
        <w:gridCol w:w="1064"/>
        <w:gridCol w:w="379"/>
        <w:gridCol w:w="111"/>
        <w:gridCol w:w="978"/>
        <w:gridCol w:w="185"/>
        <w:gridCol w:w="1149"/>
        <w:gridCol w:w="213"/>
      </w:tblGrid>
      <w:tr>
        <w:trPr/>
        <w:tc>
          <w:tcPr>
            <w:tcW w:w="3646" w:type="dxa"/>
            <w:tcBorders/>
            <w:shd w:fill="auto" w:val="clear"/>
            <w:vAlign w:val="bottom"/>
          </w:tcPr>
          <w:p>
            <w:pPr>
              <w:pStyle w:val="TableContents"/>
              <w:spacing w:before="0" w:after="0"/>
              <w:ind w:left="0" w:right="0" w:hanging="0"/>
              <w:jc w:val="center"/>
              <w:rPr/>
            </w:pPr>
            <w:r>
              <w:rPr/>
              <w:t> </w:t>
            </w:r>
          </w:p>
        </w:tc>
        <w:tc>
          <w:tcPr>
            <w:tcW w:w="185" w:type="dxa"/>
            <w:tcBorders/>
            <w:shd w:fill="auto" w:val="clear"/>
            <w:vAlign w:val="bottom"/>
          </w:tcPr>
          <w:p>
            <w:pPr>
              <w:pStyle w:val="TableContents"/>
              <w:spacing w:before="0" w:after="0"/>
              <w:ind w:left="0" w:right="0" w:hanging="0"/>
              <w:rPr/>
            </w:pPr>
            <w:r>
              <w:rPr/>
              <w:t> </w:t>
            </w:r>
          </w:p>
        </w:tc>
        <w:tc>
          <w:tcPr>
            <w:tcW w:w="5140"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3" w:type="dxa"/>
            <w:tcBorders/>
            <w:shd w:fill="auto" w:val="clear"/>
            <w:vAlign w:val="bottom"/>
          </w:tcPr>
          <w:p>
            <w:pPr>
              <w:pStyle w:val="TableContents"/>
              <w:spacing w:before="0" w:after="0"/>
              <w:ind w:left="0" w:right="0" w:hanging="0"/>
              <w:rPr/>
            </w:pPr>
            <w:r>
              <w:rPr/>
              <w:t> </w:t>
            </w:r>
          </w:p>
        </w:tc>
      </w:tr>
      <w:tr>
        <w:trPr/>
        <w:tc>
          <w:tcPr>
            <w:tcW w:w="3646" w:type="dxa"/>
            <w:tcBorders/>
            <w:shd w:fill="auto" w:val="clear"/>
            <w:vAlign w:val="bottom"/>
          </w:tcPr>
          <w:p>
            <w:pPr>
              <w:pStyle w:val="TableContents"/>
              <w:spacing w:before="0" w:after="0"/>
              <w:ind w:left="0" w:right="0" w:hanging="0"/>
              <w:jc w:val="center"/>
              <w:rPr/>
            </w:pPr>
            <w:r>
              <w:rPr/>
              <w:t> </w:t>
            </w:r>
          </w:p>
        </w:tc>
        <w:tc>
          <w:tcPr>
            <w:tcW w:w="185" w:type="dxa"/>
            <w:tcBorders/>
            <w:shd w:fill="auto" w:val="clear"/>
            <w:vAlign w:val="bottom"/>
          </w:tcPr>
          <w:p>
            <w:pPr>
              <w:pStyle w:val="TableContents"/>
              <w:spacing w:before="0" w:after="0"/>
              <w:ind w:left="0" w:right="0" w:hanging="0"/>
              <w:rPr/>
            </w:pPr>
            <w:r>
              <w:rPr/>
              <w:t> </w:t>
            </w:r>
          </w:p>
        </w:tc>
        <w:tc>
          <w:tcPr>
            <w:tcW w:w="2338"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2, 2005</w:t>
            </w:r>
          </w:p>
        </w:tc>
        <w:tc>
          <w:tcPr>
            <w:tcW w:w="379" w:type="dxa"/>
            <w:tcBorders>
              <w:top w:val="single" w:sz="8" w:space="0" w:color="000000"/>
            </w:tcBorders>
            <w:shd w:fill="auto" w:val="clear"/>
            <w:tcMar>
              <w:top w:w="28" w:type="dxa"/>
            </w:tcMar>
            <w:vAlign w:val="bottom"/>
          </w:tcPr>
          <w:p>
            <w:pPr>
              <w:pStyle w:val="TableContents"/>
              <w:spacing w:before="0" w:after="0"/>
              <w:ind w:left="0" w:right="0" w:hanging="0"/>
              <w:rPr/>
            </w:pPr>
            <w:r>
              <w:rPr/>
              <w:t> </w:t>
            </w:r>
          </w:p>
        </w:tc>
        <w:tc>
          <w:tcPr>
            <w:tcW w:w="2423" w:type="dxa"/>
            <w:gridSpan w:val="4"/>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3, 2004</w:t>
            </w:r>
          </w:p>
        </w:tc>
        <w:tc>
          <w:tcPr>
            <w:tcW w:w="213" w:type="dxa"/>
            <w:tcBorders/>
            <w:shd w:fill="auto" w:val="clear"/>
            <w:vAlign w:val="bottom"/>
          </w:tcPr>
          <w:p>
            <w:pPr>
              <w:pStyle w:val="TableContents"/>
              <w:spacing w:before="0" w:after="0"/>
              <w:ind w:left="0" w:right="0" w:hanging="0"/>
              <w:rPr/>
            </w:pPr>
            <w:r>
              <w:rPr/>
              <w:t> </w:t>
            </w:r>
          </w:p>
        </w:tc>
      </w:tr>
      <w:tr>
        <w:trPr/>
        <w:tc>
          <w:tcPr>
            <w:tcW w:w="3646" w:type="dxa"/>
            <w:tcBorders/>
            <w:shd w:fill="auto" w:val="clear"/>
            <w:vAlign w:val="bottom"/>
          </w:tcPr>
          <w:p>
            <w:pPr>
              <w:pStyle w:val="TableContents"/>
              <w:spacing w:before="0" w:after="0"/>
              <w:ind w:left="0" w:right="0" w:hanging="0"/>
              <w:jc w:val="center"/>
              <w:rPr/>
            </w:pPr>
            <w:r>
              <w:rPr/>
              <w:t> </w:t>
            </w:r>
          </w:p>
        </w:tc>
        <w:tc>
          <w:tcPr>
            <w:tcW w:w="185" w:type="dxa"/>
            <w:tcBorders/>
            <w:shd w:fill="auto" w:val="clear"/>
            <w:vAlign w:val="bottom"/>
          </w:tcPr>
          <w:p>
            <w:pPr>
              <w:pStyle w:val="TableContents"/>
              <w:spacing w:before="0" w:after="0"/>
              <w:ind w:left="0" w:right="0" w:hanging="0"/>
              <w:rPr/>
            </w:pPr>
            <w:r>
              <w:rPr/>
              <w:t> </w:t>
            </w:r>
          </w:p>
        </w:tc>
        <w:tc>
          <w:tcPr>
            <w:tcW w:w="108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Amount</w:t>
            </w:r>
          </w:p>
        </w:tc>
        <w:tc>
          <w:tcPr>
            <w:tcW w:w="185" w:type="dxa"/>
            <w:tcBorders/>
            <w:shd w:fill="auto" w:val="clear"/>
            <w:vAlign w:val="bottom"/>
          </w:tcPr>
          <w:p>
            <w:pPr>
              <w:pStyle w:val="TableContents"/>
              <w:spacing w:before="0" w:after="0"/>
              <w:ind w:left="0" w:right="0" w:hanging="0"/>
              <w:rPr/>
            </w:pPr>
            <w:r>
              <w:rPr/>
              <w:t> </w:t>
            </w:r>
          </w:p>
        </w:tc>
        <w:tc>
          <w:tcPr>
            <w:tcW w:w="106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of Total</w:t>
              <w:br/>
              <w:t>Revenue</w:t>
            </w:r>
          </w:p>
        </w:tc>
        <w:tc>
          <w:tcPr>
            <w:tcW w:w="379" w:type="dxa"/>
            <w:tcBorders/>
            <w:shd w:fill="auto" w:val="clear"/>
            <w:vAlign w:val="bottom"/>
          </w:tcPr>
          <w:p>
            <w:pPr>
              <w:pStyle w:val="TableContents"/>
              <w:spacing w:before="0" w:after="0"/>
              <w:ind w:left="0" w:right="0" w:hanging="0"/>
              <w:rPr/>
            </w:pPr>
            <w:r>
              <w:rPr/>
              <w:t> </w:t>
            </w:r>
          </w:p>
        </w:tc>
        <w:tc>
          <w:tcPr>
            <w:tcW w:w="108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Amount</w:t>
            </w:r>
          </w:p>
        </w:tc>
        <w:tc>
          <w:tcPr>
            <w:tcW w:w="185" w:type="dxa"/>
            <w:tcBorders/>
            <w:shd w:fill="auto" w:val="clear"/>
            <w:vAlign w:val="bottom"/>
          </w:tcPr>
          <w:p>
            <w:pPr>
              <w:pStyle w:val="TableContents"/>
              <w:spacing w:before="0" w:after="0"/>
              <w:ind w:left="0" w:right="0" w:hanging="0"/>
              <w:rPr/>
            </w:pPr>
            <w:r>
              <w:rPr/>
              <w:t> </w:t>
            </w:r>
          </w:p>
        </w:tc>
        <w:tc>
          <w:tcPr>
            <w:tcW w:w="114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of Total</w:t>
              <w:br/>
              <w:t>Revenue</w:t>
            </w:r>
          </w:p>
        </w:tc>
        <w:tc>
          <w:tcPr>
            <w:tcW w:w="213" w:type="dxa"/>
            <w:tcBorders/>
            <w:shd w:fill="auto" w:val="clear"/>
            <w:vAlign w:val="bottom"/>
          </w:tcPr>
          <w:p>
            <w:pPr>
              <w:pStyle w:val="TableContents"/>
              <w:spacing w:before="0" w:after="0"/>
              <w:ind w:left="0" w:right="0" w:hanging="0"/>
              <w:rPr/>
            </w:pPr>
            <w:r>
              <w:rPr/>
              <w:t> </w:t>
            </w:r>
          </w:p>
        </w:tc>
      </w:tr>
      <w:tr>
        <w:trPr/>
        <w:tc>
          <w:tcPr>
            <w:tcW w:w="364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Store operating expense</w:t>
            </w:r>
          </w:p>
        </w:tc>
        <w:tc>
          <w:tcPr>
            <w:tcW w:w="185"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18,900</w:t>
            </w:r>
          </w:p>
        </w:tc>
        <w:tc>
          <w:tcPr>
            <w:tcW w:w="185" w:type="dxa"/>
            <w:tcBorders/>
            <w:shd w:fill="CCEEFF" w:val="clear"/>
            <w:vAlign w:val="bottom"/>
          </w:tcPr>
          <w:p>
            <w:pPr>
              <w:pStyle w:val="TableContents"/>
              <w:spacing w:before="0" w:after="0"/>
              <w:ind w:left="0" w:right="0" w:hanging="0"/>
              <w:rPr/>
            </w:pPr>
            <w:r>
              <w:rPr/>
              <w:t> </w:t>
            </w:r>
          </w:p>
        </w:tc>
        <w:tc>
          <w:tcPr>
            <w:tcW w:w="10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3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17,228</w:t>
            </w:r>
          </w:p>
        </w:tc>
        <w:tc>
          <w:tcPr>
            <w:tcW w:w="185" w:type="dxa"/>
            <w:tcBorders/>
            <w:shd w:fill="CCEEFF" w:val="clear"/>
            <w:vAlign w:val="bottom"/>
          </w:tcPr>
          <w:p>
            <w:pPr>
              <w:pStyle w:val="TableContents"/>
              <w:spacing w:before="0" w:after="0"/>
              <w:ind w:left="0" w:right="0" w:hanging="0"/>
              <w:rPr/>
            </w:pPr>
            <w:r>
              <w:rPr/>
              <w:t> </w:t>
            </w:r>
          </w:p>
        </w:tc>
        <w:tc>
          <w:tcPr>
            <w:tcW w:w="11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30.6</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4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Store depreciation and amortization</w:t>
            </w:r>
          </w:p>
        </w:tc>
        <w:tc>
          <w:tcPr>
            <w:tcW w:w="185" w:type="dxa"/>
            <w:tcBorders/>
            <w:shd w:fill="auto" w:val="clear"/>
            <w:vAlign w:val="bottom"/>
          </w:tcPr>
          <w:p>
            <w:pPr>
              <w:pStyle w:val="TableContents"/>
              <w:spacing w:before="0" w:after="0"/>
              <w:ind w:left="0" w:right="0" w:hanging="0"/>
              <w:rPr/>
            </w:pPr>
            <w:r>
              <w:rPr/>
              <w:t> </w:t>
            </w:r>
          </w:p>
        </w:tc>
        <w:tc>
          <w:tcPr>
            <w:tcW w:w="10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656</w:t>
            </w:r>
          </w:p>
        </w:tc>
        <w:tc>
          <w:tcPr>
            <w:tcW w:w="185" w:type="dxa"/>
            <w:tcBorders/>
            <w:shd w:fill="auto" w:val="clear"/>
            <w:vAlign w:val="bottom"/>
          </w:tcPr>
          <w:p>
            <w:pPr>
              <w:pStyle w:val="TableContents"/>
              <w:spacing w:before="0" w:after="0"/>
              <w:ind w:left="0" w:right="0" w:hanging="0"/>
              <w:rPr/>
            </w:pPr>
            <w:r>
              <w:rPr/>
              <w:t> </w:t>
            </w:r>
          </w:p>
        </w:tc>
        <w:tc>
          <w:tcPr>
            <w:tcW w:w="10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3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853</w:t>
            </w:r>
          </w:p>
        </w:tc>
        <w:tc>
          <w:tcPr>
            <w:tcW w:w="185" w:type="dxa"/>
            <w:tcBorders/>
            <w:shd w:fill="auto" w:val="clear"/>
            <w:vAlign w:val="bottom"/>
          </w:tcPr>
          <w:p>
            <w:pPr>
              <w:pStyle w:val="TableContents"/>
              <w:spacing w:before="0" w:after="0"/>
              <w:ind w:left="0" w:right="0" w:hanging="0"/>
              <w:rPr/>
            </w:pPr>
            <w:r>
              <w:rPr/>
              <w:t> </w:t>
            </w:r>
          </w:p>
        </w:tc>
        <w:tc>
          <w:tcPr>
            <w:tcW w:w="11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4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Field supervision</w:t>
            </w:r>
          </w:p>
        </w:tc>
        <w:tc>
          <w:tcPr>
            <w:tcW w:w="185" w:type="dxa"/>
            <w:tcBorders/>
            <w:shd w:fill="CCEEFF" w:val="clear"/>
            <w:vAlign w:val="bottom"/>
          </w:tcPr>
          <w:p>
            <w:pPr>
              <w:pStyle w:val="TableContents"/>
              <w:spacing w:before="0" w:after="0"/>
              <w:ind w:left="0" w:right="0" w:hanging="0"/>
              <w:rPr/>
            </w:pPr>
            <w:r>
              <w:rPr/>
              <w:t> </w:t>
            </w:r>
          </w:p>
        </w:tc>
        <w:tc>
          <w:tcPr>
            <w:tcW w:w="10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1,305</w:t>
            </w:r>
          </w:p>
        </w:tc>
        <w:tc>
          <w:tcPr>
            <w:tcW w:w="185" w:type="dxa"/>
            <w:tcBorders/>
            <w:shd w:fill="CCEEFF" w:val="clear"/>
            <w:vAlign w:val="bottom"/>
          </w:tcPr>
          <w:p>
            <w:pPr>
              <w:pStyle w:val="TableContents"/>
              <w:spacing w:before="0" w:after="0"/>
              <w:ind w:left="0" w:right="0" w:hanging="0"/>
              <w:rPr/>
            </w:pPr>
            <w:r>
              <w:rPr/>
              <w:t> </w:t>
            </w:r>
          </w:p>
        </w:tc>
        <w:tc>
          <w:tcPr>
            <w:tcW w:w="10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3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1,317</w:t>
            </w:r>
          </w:p>
        </w:tc>
        <w:tc>
          <w:tcPr>
            <w:tcW w:w="185" w:type="dxa"/>
            <w:tcBorders/>
            <w:shd w:fill="CCEEFF" w:val="clear"/>
            <w:vAlign w:val="bottom"/>
          </w:tcPr>
          <w:p>
            <w:pPr>
              <w:pStyle w:val="TableContents"/>
              <w:spacing w:before="0" w:after="0"/>
              <w:ind w:left="0" w:right="0" w:hanging="0"/>
              <w:rPr/>
            </w:pPr>
            <w:r>
              <w:rPr/>
              <w:t> </w:t>
            </w:r>
          </w:p>
        </w:tc>
        <w:tc>
          <w:tcPr>
            <w:tcW w:w="11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4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Corporate support</w:t>
            </w:r>
          </w:p>
        </w:tc>
        <w:tc>
          <w:tcPr>
            <w:tcW w:w="185" w:type="dxa"/>
            <w:tcBorders/>
            <w:shd w:fill="auto" w:val="clear"/>
            <w:vAlign w:val="bottom"/>
          </w:tcPr>
          <w:p>
            <w:pPr>
              <w:pStyle w:val="TableContents"/>
              <w:spacing w:before="0" w:after="0"/>
              <w:ind w:left="0" w:right="0" w:hanging="0"/>
              <w:rPr/>
            </w:pPr>
            <w:r>
              <w:rPr/>
              <w:t> </w:t>
            </w:r>
          </w:p>
        </w:tc>
        <w:tc>
          <w:tcPr>
            <w:tcW w:w="10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4,976</w:t>
            </w:r>
          </w:p>
        </w:tc>
        <w:tc>
          <w:tcPr>
            <w:tcW w:w="185" w:type="dxa"/>
            <w:tcBorders/>
            <w:shd w:fill="auto" w:val="clear"/>
            <w:vAlign w:val="bottom"/>
          </w:tcPr>
          <w:p>
            <w:pPr>
              <w:pStyle w:val="TableContents"/>
              <w:spacing w:before="0" w:after="0"/>
              <w:ind w:left="0" w:right="0" w:hanging="0"/>
              <w:rPr/>
            </w:pPr>
            <w:r>
              <w:rPr/>
              <w:t> </w:t>
            </w:r>
          </w:p>
        </w:tc>
        <w:tc>
          <w:tcPr>
            <w:tcW w:w="10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3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5,469</w:t>
            </w:r>
          </w:p>
        </w:tc>
        <w:tc>
          <w:tcPr>
            <w:tcW w:w="185" w:type="dxa"/>
            <w:tcBorders/>
            <w:shd w:fill="auto" w:val="clear"/>
            <w:vAlign w:val="bottom"/>
          </w:tcPr>
          <w:p>
            <w:pPr>
              <w:pStyle w:val="TableContents"/>
              <w:spacing w:before="0" w:after="0"/>
              <w:ind w:left="0" w:right="0" w:hanging="0"/>
              <w:rPr/>
            </w:pPr>
            <w:r>
              <w:rPr/>
              <w:t> </w:t>
            </w:r>
          </w:p>
        </w:tc>
        <w:tc>
          <w:tcPr>
            <w:tcW w:w="11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4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Amortization of Wal-Mart contract rights</w:t>
            </w:r>
          </w:p>
        </w:tc>
        <w:tc>
          <w:tcPr>
            <w:tcW w:w="185" w:type="dxa"/>
            <w:tcBorders/>
            <w:shd w:fill="CCEEFF" w:val="clear"/>
            <w:vAlign w:val="bottom"/>
          </w:tcPr>
          <w:p>
            <w:pPr>
              <w:pStyle w:val="TableContents"/>
              <w:spacing w:before="0" w:after="0"/>
              <w:ind w:left="0" w:right="0" w:hanging="0"/>
              <w:rPr/>
            </w:pPr>
            <w:r>
              <w:rPr/>
              <w:t> </w:t>
            </w:r>
          </w:p>
        </w:tc>
        <w:tc>
          <w:tcPr>
            <w:tcW w:w="10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1,877</w:t>
            </w:r>
          </w:p>
        </w:tc>
        <w:tc>
          <w:tcPr>
            <w:tcW w:w="185" w:type="dxa"/>
            <w:tcBorders/>
            <w:shd w:fill="CCEEFF" w:val="clear"/>
            <w:vAlign w:val="bottom"/>
          </w:tcPr>
          <w:p>
            <w:pPr>
              <w:pStyle w:val="TableContents"/>
              <w:spacing w:before="0" w:after="0"/>
              <w:ind w:left="0" w:right="0" w:hanging="0"/>
              <w:rPr/>
            </w:pPr>
            <w:r>
              <w:rPr/>
              <w:t> </w:t>
            </w:r>
          </w:p>
        </w:tc>
        <w:tc>
          <w:tcPr>
            <w:tcW w:w="10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3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1,877</w:t>
            </w:r>
          </w:p>
        </w:tc>
        <w:tc>
          <w:tcPr>
            <w:tcW w:w="185" w:type="dxa"/>
            <w:tcBorders/>
            <w:shd w:fill="CCEEFF" w:val="clear"/>
            <w:vAlign w:val="bottom"/>
          </w:tcPr>
          <w:p>
            <w:pPr>
              <w:pStyle w:val="TableContents"/>
              <w:spacing w:before="0" w:after="0"/>
              <w:ind w:left="0" w:right="0" w:hanging="0"/>
              <w:rPr/>
            </w:pPr>
            <w:r>
              <w:rPr/>
              <w:t> </w:t>
            </w:r>
          </w:p>
        </w:tc>
        <w:tc>
          <w:tcPr>
            <w:tcW w:w="11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4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depreciation and amortization</w:t>
            </w:r>
          </w:p>
        </w:tc>
        <w:tc>
          <w:tcPr>
            <w:tcW w:w="185" w:type="dxa"/>
            <w:tcBorders/>
            <w:shd w:fill="auto" w:val="clear"/>
            <w:vAlign w:val="bottom"/>
          </w:tcPr>
          <w:p>
            <w:pPr>
              <w:pStyle w:val="TableContents"/>
              <w:spacing w:before="0" w:after="0"/>
              <w:ind w:left="0" w:right="0" w:hanging="0"/>
              <w:rPr/>
            </w:pPr>
            <w:r>
              <w:rPr/>
              <w:t> </w:t>
            </w:r>
          </w:p>
        </w:tc>
        <w:tc>
          <w:tcPr>
            <w:tcW w:w="108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326</w:t>
            </w:r>
          </w:p>
        </w:tc>
        <w:tc>
          <w:tcPr>
            <w:tcW w:w="185" w:type="dxa"/>
            <w:tcBorders/>
            <w:shd w:fill="auto" w:val="clear"/>
            <w:vAlign w:val="bottom"/>
          </w:tcPr>
          <w:p>
            <w:pPr>
              <w:pStyle w:val="TableContents"/>
              <w:spacing w:before="0" w:after="0"/>
              <w:ind w:left="0" w:right="0" w:hanging="0"/>
              <w:rPr/>
            </w:pPr>
            <w:r>
              <w:rPr/>
              <w:t> </w:t>
            </w:r>
          </w:p>
        </w:tc>
        <w:tc>
          <w:tcPr>
            <w:tcW w:w="1064"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w:t>
            </w:r>
          </w:p>
        </w:tc>
        <w:tc>
          <w:tcPr>
            <w:tcW w:w="3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256</w:t>
            </w:r>
          </w:p>
        </w:tc>
        <w:tc>
          <w:tcPr>
            <w:tcW w:w="185" w:type="dxa"/>
            <w:tcBorders/>
            <w:shd w:fill="auto" w:val="clear"/>
            <w:vAlign w:val="bottom"/>
          </w:tcPr>
          <w:p>
            <w:pPr>
              <w:pStyle w:val="TableContents"/>
              <w:spacing w:before="0" w:after="0"/>
              <w:ind w:left="0" w:right="0" w:hanging="0"/>
              <w:rPr/>
            </w:pPr>
            <w:r>
              <w:rPr/>
              <w:t> </w:t>
            </w:r>
          </w:p>
        </w:tc>
        <w:tc>
          <w:tcPr>
            <w:tcW w:w="114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4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SG&amp;A expense</w:t>
            </w:r>
          </w:p>
        </w:tc>
        <w:tc>
          <w:tcPr>
            <w:tcW w:w="185" w:type="dxa"/>
            <w:tcBorders/>
            <w:shd w:fill="CCEEFF" w:val="clear"/>
            <w:vAlign w:val="bottom"/>
          </w:tcPr>
          <w:p>
            <w:pPr>
              <w:pStyle w:val="TableContents"/>
              <w:spacing w:before="0" w:after="0"/>
              <w:ind w:left="0" w:right="0" w:hanging="0"/>
              <w:rPr/>
            </w:pPr>
            <w:r>
              <w:rPr/>
              <w:t> </w:t>
            </w:r>
          </w:p>
        </w:tc>
        <w:tc>
          <w:tcPr>
            <w:tcW w:w="111"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8"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28,040</w:t>
            </w:r>
          </w:p>
        </w:tc>
        <w:tc>
          <w:tcPr>
            <w:tcW w:w="185" w:type="dxa"/>
            <w:tcBorders/>
            <w:shd w:fill="CCEEFF" w:val="clear"/>
            <w:vAlign w:val="bottom"/>
          </w:tcPr>
          <w:p>
            <w:pPr>
              <w:pStyle w:val="TableContents"/>
              <w:spacing w:before="0" w:after="0"/>
              <w:ind w:left="0" w:right="0" w:hanging="0"/>
              <w:rPr/>
            </w:pPr>
            <w:r>
              <w:rPr/>
              <w:t> </w:t>
            </w:r>
          </w:p>
        </w:tc>
        <w:tc>
          <w:tcPr>
            <w:tcW w:w="1064"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47.7</w:t>
            </w:r>
          </w:p>
        </w:tc>
        <w:tc>
          <w:tcPr>
            <w:tcW w:w="3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8"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27,000</w:t>
            </w:r>
          </w:p>
        </w:tc>
        <w:tc>
          <w:tcPr>
            <w:tcW w:w="185" w:type="dxa"/>
            <w:tcBorders/>
            <w:shd w:fill="CCEEFF" w:val="clear"/>
            <w:vAlign w:val="bottom"/>
          </w:tcPr>
          <w:p>
            <w:pPr>
              <w:pStyle w:val="TableContents"/>
              <w:spacing w:before="0" w:after="0"/>
              <w:ind w:left="0" w:right="0" w:hanging="0"/>
              <w:rPr/>
            </w:pPr>
            <w:r>
              <w:rPr/>
              <w:t> </w:t>
            </w:r>
          </w:p>
        </w:tc>
        <w:tc>
          <w:tcPr>
            <w:tcW w:w="1149"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47.9</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Except for Store operating expense each categorys expenses declined or remained the same as a percent of total revenue.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The increase in the amount of store operating expense was primarily the result of increases in payroll and advertising costs partially offset by lower health insurance costs.  The increase in payroll costs is primarily attributable to merit increases given during the second quarters of 2004 and 2005, higher incentive compensation attributable to the increased sales volume and the 12 stores included in continuing operations in the current year quarter that had not yet opened in the prior year quarter.  The increase in advertising costs is due to higher levels of promotional activity during the ramp up period for our new</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17</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freestanding stores and an increase in promotional spending to improve sales at our vision centers inside our host stores.  Reductions in health insurance costs were the result of lower health insurance claims.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Store depreciation costs declined in the current year quarter compared to the prior year quarter due to leasehold improvements and equipment at some stores becoming fully depreciated.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Corporate support expenses declined in the current year quarter compared to the prior year quarter due primarily to lower accruals under our various incentive compensation plans.  Total expense recorded under these incentive plans was approximately $0.8 million less in the second quarter of 2005 than in the second quarter of 2004, because of lower pre-tax earnings in the current year quarter compared to the prior year quarter and higher earnings targets under our short-term incentive program in the current year.  The savings in incentive costs were partially offset by an increase in payroll and benefits costs of approximately $0.3 million due in part to merit increases given in the second quarter of 2005 and the benefits cost attributable to the 401(k) Company matching contribution feature that was added to our 401(k) Plan in January 2005.</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b/>
          <w:i/>
          <w:sz w:val="17"/>
        </w:rPr>
        <w:t>Interest Expense.</w:t>
      </w:r>
      <w:r>
        <w:rPr>
          <w:rFonts w:ascii="Times New Roman" w:hAnsi="Times New Roman"/>
          <w:sz w:val="17"/>
        </w:rPr>
        <w:t>  The outstanding balance of our Senior Subordinated Notes is the primary driver of interest expense.  Interest expense declined by approximately $0.7 million in the second quarter of 2005 compared to the second quarter of 2004 due to principal repayments and Note repurchases made during 2004 and the first six months of 2005.</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b/>
          <w:i/>
          <w:sz w:val="17"/>
        </w:rPr>
        <w:t>Income Tax Expense.</w:t>
      </w:r>
      <w:r>
        <w:rPr>
          <w:rFonts w:ascii="Times New Roman" w:hAnsi="Times New Roman"/>
          <w:sz w:val="17"/>
        </w:rPr>
        <w:t>  The effective income tax rate based on pre-tax income from continuing operations and discontinued operations combined was 50.0% for the quarter ended July 2, 2005 compared to 4.6% for the quarter ended July 3, 2004.  Income tax expense of $233,000 in the 2004 second quarter included only the income taxes we expected to pay currently as the deferred tax provision was offset by a partial reversal of the previously recorded valuation allowance.  At January 1, 2005, as a result of our substantial improvement in profitability in 2004 and improved outlook for future profits, we eliminated the remaining balance of the deferred tax valuation allowance.  As a result of eliminating the deferred tax valuation allowance, the 2005 second quarter income tax expense includes $66,000 for the income taxes we expect to pay currently plus a provision for deferred income taxes of $798,000.  We expect to record income tax expense at an overall effective rate of 42.4% of pre-tax income for the remainder of 2005.  However, we expect that our obligation to pay taxes currently will be less than 5% of our pre-tax income.  See Critical Accounting Policies and Estimates - Accounting for Income Taxes.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b/>
          <w:i/>
          <w:sz w:val="17"/>
        </w:rPr>
        <w:t>Discontinued Operations.</w:t>
      </w:r>
      <w:r>
        <w:rPr>
          <w:rFonts w:ascii="Times New Roman" w:hAnsi="Times New Roman"/>
          <w:sz w:val="17"/>
        </w:rPr>
        <w:t xml:space="preserve"> Historical operating results for our closed vision centers that were not relocated to freestanding locations within the vicinity of the closed locations are classified as discontinued operations for all periods.  These operating results are presented as discontinued operations because the vision center locations are geographically dispersed, and in the case of our domestic Wal-Mart locations, we believe the host will open a vision center in the space we vacate and, except in those cases where we open a nearby freestanding vision center, significant cash flows from the closed locations are not expected to migrate to our other vision center operations.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During the second quarter of 2005, we closed four vision centers inside Wal-Mart stores located in the United States as a result of lease expirations.  Also during the quarter we closed our two home medical equipment stores, which were opened in 2004 as a test.  During the first six months of 2005, we closed a total of 14 vision centers inside domestic Wal-Mart stores, four vision centers in Wal-Mart de Mexico stores and our two home medical equipment stores.  Six of the 14 vision centers closed inside domestic Wal-Mart stores were relocated to freestanding locations within the vicinity of the closed locations.  Relocated stores are not considered to be discontinued operations.  During 2004 we closed 55 vision centers in Wal-Mart stores in the United States, two vision centers in Wal-Mart de Mexico and three vision centers on military bases. Two of the 55 closed vision centers in domestic Wal-Mart stores were relocated to freestanding locations in the vicinity of the closed locations and are not considered discontinued operations. The six locations inside Wal-Mart de Mexico stores were closed due to poor operating results and prospects.  The loss on disposal of these operations includes severance and closing costs offset by gains recorded from the sale of certain assets. Condensed information for these discontinued operations is presented below (in thousands):</w:t>
      </w:r>
    </w:p>
    <w:p>
      <w:pPr>
        <w:pStyle w:val="TextBody"/>
        <w:spacing w:before="0" w:after="0"/>
        <w:ind w:left="0" w:right="0" w:hanging="0"/>
        <w:rPr/>
      </w:pPr>
      <w:r>
        <w:rPr/>
        <w:t> </w:t>
      </w:r>
    </w:p>
    <w:tbl>
      <w:tblPr>
        <w:tblW w:w="2500" w:type="pct"/>
        <w:jc w:val="left"/>
        <w:tblInd w:w="0" w:type="dxa"/>
        <w:tblCellMar>
          <w:top w:w="0" w:type="dxa"/>
          <w:left w:w="0" w:type="dxa"/>
          <w:bottom w:w="0" w:type="dxa"/>
          <w:right w:w="0" w:type="dxa"/>
        </w:tblCellMar>
      </w:tblPr>
      <w:tblGrid>
        <w:gridCol w:w="2007"/>
        <w:gridCol w:w="206"/>
        <w:gridCol w:w="135"/>
        <w:gridCol w:w="1078"/>
        <w:gridCol w:w="212"/>
        <w:gridCol w:w="127"/>
        <w:gridCol w:w="1119"/>
        <w:gridCol w:w="218"/>
      </w:tblGrid>
      <w:tr>
        <w:trPr/>
        <w:tc>
          <w:tcPr>
            <w:tcW w:w="2007" w:type="dxa"/>
            <w:tcBorders/>
            <w:shd w:fill="auto" w:val="clear"/>
            <w:vAlign w:val="bottom"/>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rPr/>
            </w:pPr>
            <w:r>
              <w:rPr/>
              <w:t> </w:t>
            </w:r>
          </w:p>
        </w:tc>
        <w:tc>
          <w:tcPr>
            <w:tcW w:w="267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8" w:type="dxa"/>
            <w:tcBorders/>
            <w:shd w:fill="auto" w:val="clear"/>
            <w:vAlign w:val="bottom"/>
          </w:tcPr>
          <w:p>
            <w:pPr>
              <w:pStyle w:val="TableContents"/>
              <w:spacing w:before="0" w:after="0"/>
              <w:ind w:left="0" w:right="0" w:hanging="0"/>
              <w:rPr/>
            </w:pPr>
            <w:r>
              <w:rPr/>
              <w:t> </w:t>
            </w:r>
          </w:p>
        </w:tc>
      </w:tr>
      <w:tr>
        <w:trPr/>
        <w:tc>
          <w:tcPr>
            <w:tcW w:w="2007" w:type="dxa"/>
            <w:tcBorders/>
            <w:shd w:fill="auto" w:val="clear"/>
            <w:vAlign w:val="bottom"/>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rPr/>
            </w:pPr>
            <w:r>
              <w:rPr/>
              <w:t> </w:t>
            </w:r>
          </w:p>
        </w:tc>
        <w:tc>
          <w:tcPr>
            <w:tcW w:w="121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2, 2005</w:t>
            </w:r>
          </w:p>
        </w:tc>
        <w:tc>
          <w:tcPr>
            <w:tcW w:w="212" w:type="dxa"/>
            <w:tcBorders>
              <w:top w:val="single" w:sz="8" w:space="0" w:color="000000"/>
            </w:tcBorders>
            <w:shd w:fill="auto" w:val="clear"/>
            <w:tcMar>
              <w:top w:w="28" w:type="dxa"/>
            </w:tcMar>
            <w:vAlign w:val="bottom"/>
          </w:tcPr>
          <w:p>
            <w:pPr>
              <w:pStyle w:val="TableContents"/>
              <w:spacing w:before="0" w:after="0"/>
              <w:ind w:left="0" w:right="0" w:hanging="0"/>
              <w:rPr/>
            </w:pPr>
            <w:r>
              <w:rPr/>
              <w:t> </w:t>
            </w:r>
          </w:p>
        </w:tc>
        <w:tc>
          <w:tcPr>
            <w:tcW w:w="124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3, 2004</w:t>
            </w:r>
          </w:p>
        </w:tc>
        <w:tc>
          <w:tcPr>
            <w:tcW w:w="218" w:type="dxa"/>
            <w:tcBorders/>
            <w:shd w:fill="auto" w:val="clear"/>
            <w:vAlign w:val="bottom"/>
          </w:tcPr>
          <w:p>
            <w:pPr>
              <w:pStyle w:val="TableContents"/>
              <w:spacing w:before="0" w:after="0"/>
              <w:ind w:left="0" w:right="0" w:hanging="0"/>
              <w:rPr/>
            </w:pPr>
            <w:r>
              <w:rPr/>
              <w:t> </w:t>
            </w:r>
          </w:p>
        </w:tc>
      </w:tr>
      <w:tr>
        <w:trPr/>
        <w:tc>
          <w:tcPr>
            <w:tcW w:w="200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net revenue</w:t>
            </w:r>
          </w:p>
        </w:tc>
        <w:tc>
          <w:tcPr>
            <w:tcW w:w="206"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515</w:t>
            </w:r>
          </w:p>
        </w:tc>
        <w:tc>
          <w:tcPr>
            <w:tcW w:w="212" w:type="dxa"/>
            <w:tcBorders/>
            <w:shd w:fill="CCEEFF" w:val="clear"/>
            <w:vAlign w:val="bottom"/>
          </w:tcPr>
          <w:p>
            <w:pPr>
              <w:pStyle w:val="TableContents"/>
              <w:spacing w:before="0" w:after="0"/>
              <w:ind w:left="0" w:right="0" w:hanging="0"/>
              <w:rPr/>
            </w:pPr>
            <w:r>
              <w:rPr/>
              <w:t> </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5,808</w:t>
            </w:r>
          </w:p>
        </w:tc>
        <w:tc>
          <w:tcPr>
            <w:tcW w:w="218" w:type="dxa"/>
            <w:tcBorders/>
            <w:shd w:fill="CCEEFF" w:val="clear"/>
            <w:vAlign w:val="bottom"/>
          </w:tcPr>
          <w:p>
            <w:pPr>
              <w:pStyle w:val="TableContents"/>
              <w:spacing w:before="0" w:after="0"/>
              <w:ind w:left="0" w:right="0" w:hanging="0"/>
              <w:rPr/>
            </w:pPr>
            <w:r>
              <w:rPr/>
              <w:t> </w:t>
            </w:r>
          </w:p>
        </w:tc>
      </w:tr>
      <w:tr>
        <w:trPr/>
        <w:tc>
          <w:tcPr>
            <w:tcW w:w="200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Operating income</w:t>
            </w:r>
          </w:p>
        </w:tc>
        <w:tc>
          <w:tcPr>
            <w:tcW w:w="206"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212" w:type="dxa"/>
            <w:tcBorders/>
            <w:shd w:fill="auto" w:val="clear"/>
            <w:vAlign w:val="bottom"/>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1,043</w:t>
            </w:r>
          </w:p>
        </w:tc>
        <w:tc>
          <w:tcPr>
            <w:tcW w:w="218" w:type="dxa"/>
            <w:tcBorders/>
            <w:shd w:fill="auto" w:val="clear"/>
            <w:vAlign w:val="bottom"/>
          </w:tcPr>
          <w:p>
            <w:pPr>
              <w:pStyle w:val="TableContents"/>
              <w:spacing w:before="0" w:after="0"/>
              <w:ind w:left="0" w:right="0" w:hanging="0"/>
              <w:rPr/>
            </w:pPr>
            <w:r>
              <w:rPr/>
              <w:t> </w:t>
            </w:r>
          </w:p>
        </w:tc>
      </w:tr>
      <w:tr>
        <w:trPr/>
        <w:tc>
          <w:tcPr>
            <w:tcW w:w="200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Loss on disposal</w:t>
            </w:r>
          </w:p>
        </w:tc>
        <w:tc>
          <w:tcPr>
            <w:tcW w:w="206"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00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Income taxes</w:t>
            </w:r>
          </w:p>
        </w:tc>
        <w:tc>
          <w:tcPr>
            <w:tcW w:w="206"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2" w:type="dxa"/>
            <w:tcBorders/>
            <w:shd w:fill="auto" w:val="clear"/>
            <w:vAlign w:val="bottom"/>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18"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18</w:t>
      </w:r>
    </w:p>
    <w:p>
      <w:pPr>
        <w:pStyle w:val="HorizontalLine"/>
        <w:pBdr>
          <w:bottom w:val="single" w:sz="12"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left"/>
        <w:rPr>
          <w:rFonts w:ascii="Times New Roman" w:hAnsi="Times New Roman"/>
          <w:b/>
          <w:i/>
          <w:sz w:val="17"/>
        </w:rPr>
      </w:pPr>
      <w:r>
        <w:rPr>
          <w:rFonts w:ascii="Times New Roman" w:hAnsi="Times New Roman"/>
          <w:b/>
          <w:i/>
          <w:sz w:val="17"/>
        </w:rPr>
        <w:t>SIX MONTHS ENDED JULY 2, 2005 COMPARED TO THE SIX MONTHS ENDED JULY 3, 2004</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17"/>
        </w:rPr>
      </w:pPr>
      <w:r>
        <w:rPr>
          <w:rFonts w:ascii="Times New Roman" w:hAnsi="Times New Roman"/>
          <w:b/>
          <w:sz w:val="17"/>
        </w:rPr>
        <w:t>CONTINUING OPERATIONS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b/>
          <w:i/>
          <w:sz w:val="17"/>
        </w:rPr>
        <w:t>Total Net Revenue.</w:t>
      </w:r>
      <w:r>
        <w:rPr>
          <w:rFonts w:ascii="Times New Roman" w:hAnsi="Times New Roman"/>
          <w:sz w:val="17"/>
        </w:rPr>
        <w:t>  Total net revenue from continuing operations consists of sales of optical products and services and fees from managed vision care services.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Sales of optical products and services increased 3.3% in the six-month period ended July 2, 2005 compared to the six-month period ended July 3, 2004.  There were several factors that contributed to this increase.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1.               In June 2005 our semi-annual contact lens event generated $1.3 million more in sales of optical products and services than the prior year June event.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2.               Direct mail coupon campaigns targeting our existing customer base and other discount promotions contributed to an increase in sales of eyeglasses.  The current year six-month period also benefited from small price increases on selected frames and lenses implemented during the fourth quarter of 2004.</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3.               A shift in product mix to sales of new higher priced contact lenses that were not available in the prior year comparable quarter.</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4.               Revenue recognized from the sales of our twelve-month extended warranty plan was approximately $2.9 million for the current year six-month period compared to $2.4 million during the prior year six-month period.  Amounts collected from the sale of these warranties are recognized as revenue over the twelve-month warranty period on a straight-line basis.  We began selling this warranty plan in May 2003.</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5.               There were 12 more stores included in continuing operations in the current year six-month period compared to the prior year six-month period.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Fees from managed vision care services include premiums from the sale of a managed care insurance product and patient co-payments for exam fees.  A wholly owned subsidiary (the HMO) operates a specialized health care service plan in California.  Until January 2004, the HMO operated optometric examination offices only in California Wal-Mart stores in which we operated a vision center.  In January 2004, the HMO also began operating optometric examination offices in certain California Wal-Mart stores in which Wal-Mart operates the vision center.  At July 2, 2005, the HMO operated 115 offices in California compared to 92 offices at July 3, 2004.  The increase in fees from managed vision care services is attributable to increased enrollments in the HMO plan and an increase in patient co-payments to $725,000 for the six months ended July 2, 2005 from $116,000 for the six months ended July 3, 2004.  The HMO had approximately 182,000 and 164,000 members at July 2, 2005 and July 3, 2004, respectively.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b/>
          <w:i/>
          <w:sz w:val="17"/>
        </w:rPr>
        <w:t>Gross Profit.</w:t>
      </w:r>
      <w:r>
        <w:rPr>
          <w:rFonts w:ascii="Times New Roman" w:hAnsi="Times New Roman"/>
          <w:sz w:val="17"/>
        </w:rPr>
        <w:t>  In the current year six-month period, gross profit dollars increased over gross profit dollars in the prior year six-month period.  The components of sales and gross profit for these periods are detailed below (dollars in thousands):</w:t>
      </w:r>
    </w:p>
    <w:p>
      <w:pPr>
        <w:pStyle w:val="TextBody"/>
        <w:spacing w:before="0" w:after="0"/>
        <w:ind w:left="0" w:right="0" w:hanging="0"/>
        <w:jc w:val="left"/>
        <w:rPr/>
      </w:pPr>
      <w:r>
        <w:rPr/>
        <w:t> </w:t>
      </w:r>
    </w:p>
    <w:tbl>
      <w:tblPr>
        <w:tblW w:w="4000" w:type="pct"/>
        <w:jc w:val="center"/>
        <w:tblInd w:w="0" w:type="dxa"/>
        <w:tblCellMar>
          <w:top w:w="0" w:type="dxa"/>
          <w:left w:w="0" w:type="dxa"/>
          <w:bottom w:w="0" w:type="dxa"/>
          <w:right w:w="0" w:type="dxa"/>
        </w:tblCellMar>
      </w:tblPr>
      <w:tblGrid>
        <w:gridCol w:w="2921"/>
        <w:gridCol w:w="165"/>
        <w:gridCol w:w="110"/>
        <w:gridCol w:w="1007"/>
        <w:gridCol w:w="165"/>
        <w:gridCol w:w="1019"/>
        <w:gridCol w:w="271"/>
        <w:gridCol w:w="110"/>
        <w:gridCol w:w="1007"/>
        <w:gridCol w:w="165"/>
        <w:gridCol w:w="1018"/>
        <w:gridCol w:w="206"/>
      </w:tblGrid>
      <w:tr>
        <w:trPr/>
        <w:tc>
          <w:tcPr>
            <w:tcW w:w="2921" w:type="dxa"/>
            <w:tcBorders/>
            <w:shd w:fill="auto" w:val="clear"/>
            <w:vAlign w:val="bottom"/>
          </w:tcPr>
          <w:p>
            <w:pPr>
              <w:pStyle w:val="TableContents"/>
              <w:spacing w:before="0" w:after="0"/>
              <w:ind w:left="0" w:right="0" w:hanging="0"/>
              <w:jc w:val="center"/>
              <w:rPr/>
            </w:pPr>
            <w:r>
              <w:rPr/>
              <w:t> </w:t>
            </w:r>
          </w:p>
        </w:tc>
        <w:tc>
          <w:tcPr>
            <w:tcW w:w="165" w:type="dxa"/>
            <w:tcBorders/>
            <w:shd w:fill="auto" w:val="clear"/>
            <w:vAlign w:val="bottom"/>
          </w:tcPr>
          <w:p>
            <w:pPr>
              <w:pStyle w:val="TableContents"/>
              <w:spacing w:before="0" w:after="0"/>
              <w:ind w:left="0" w:right="0" w:hanging="0"/>
              <w:rPr/>
            </w:pPr>
            <w:r>
              <w:rPr/>
              <w:t> </w:t>
            </w:r>
          </w:p>
        </w:tc>
        <w:tc>
          <w:tcPr>
            <w:tcW w:w="4872"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206" w:type="dxa"/>
            <w:tcBorders/>
            <w:shd w:fill="auto" w:val="clear"/>
            <w:vAlign w:val="bottom"/>
          </w:tcPr>
          <w:p>
            <w:pPr>
              <w:pStyle w:val="TableContents"/>
              <w:spacing w:before="0" w:after="0"/>
              <w:ind w:left="0" w:right="0" w:hanging="0"/>
              <w:rPr/>
            </w:pPr>
            <w:r>
              <w:rPr/>
              <w:t> </w:t>
            </w:r>
          </w:p>
        </w:tc>
      </w:tr>
      <w:tr>
        <w:trPr/>
        <w:tc>
          <w:tcPr>
            <w:tcW w:w="2921" w:type="dxa"/>
            <w:tcBorders/>
            <w:shd w:fill="auto" w:val="clear"/>
            <w:vAlign w:val="bottom"/>
          </w:tcPr>
          <w:p>
            <w:pPr>
              <w:pStyle w:val="TableContents"/>
              <w:spacing w:before="0" w:after="0"/>
              <w:ind w:left="0" w:right="0" w:hanging="0"/>
              <w:jc w:val="center"/>
              <w:rPr/>
            </w:pPr>
            <w:r>
              <w:rPr/>
              <w:t> </w:t>
            </w:r>
          </w:p>
        </w:tc>
        <w:tc>
          <w:tcPr>
            <w:tcW w:w="165" w:type="dxa"/>
            <w:tcBorders/>
            <w:shd w:fill="auto" w:val="clear"/>
            <w:vAlign w:val="bottom"/>
          </w:tcPr>
          <w:p>
            <w:pPr>
              <w:pStyle w:val="TableContents"/>
              <w:spacing w:before="0" w:after="0"/>
              <w:ind w:left="0" w:right="0" w:hanging="0"/>
              <w:rPr/>
            </w:pPr>
            <w:r>
              <w:rPr/>
              <w:t> </w:t>
            </w:r>
          </w:p>
        </w:tc>
        <w:tc>
          <w:tcPr>
            <w:tcW w:w="2301"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2, 2005</w:t>
            </w:r>
          </w:p>
        </w:tc>
        <w:tc>
          <w:tcPr>
            <w:tcW w:w="271" w:type="dxa"/>
            <w:tcBorders>
              <w:top w:val="single" w:sz="8" w:space="0" w:color="000000"/>
            </w:tcBorders>
            <w:shd w:fill="auto" w:val="clear"/>
            <w:tcMar>
              <w:top w:w="28" w:type="dxa"/>
            </w:tcMar>
            <w:vAlign w:val="bottom"/>
          </w:tcPr>
          <w:p>
            <w:pPr>
              <w:pStyle w:val="TableContents"/>
              <w:spacing w:before="0" w:after="0"/>
              <w:ind w:left="0" w:right="0" w:hanging="0"/>
              <w:rPr/>
            </w:pPr>
            <w:r>
              <w:rPr/>
              <w:t> </w:t>
            </w:r>
          </w:p>
        </w:tc>
        <w:tc>
          <w:tcPr>
            <w:tcW w:w="2300" w:type="dxa"/>
            <w:gridSpan w:val="4"/>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3, 2004</w:t>
            </w:r>
          </w:p>
        </w:tc>
        <w:tc>
          <w:tcPr>
            <w:tcW w:w="206" w:type="dxa"/>
            <w:tcBorders/>
            <w:shd w:fill="auto" w:val="clear"/>
            <w:vAlign w:val="bottom"/>
          </w:tcPr>
          <w:p>
            <w:pPr>
              <w:pStyle w:val="TableContents"/>
              <w:spacing w:before="0" w:after="0"/>
              <w:ind w:left="0" w:right="0" w:hanging="0"/>
              <w:rPr/>
            </w:pPr>
            <w:r>
              <w:rPr/>
              <w:t> </w:t>
            </w:r>
          </w:p>
        </w:tc>
      </w:tr>
      <w:tr>
        <w:trPr/>
        <w:tc>
          <w:tcPr>
            <w:tcW w:w="292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Optical Products and Services:</w:t>
            </w:r>
          </w:p>
        </w:tc>
        <w:tc>
          <w:tcPr>
            <w:tcW w:w="165" w:type="dxa"/>
            <w:tcBorders/>
            <w:shd w:fill="CCEEFF" w:val="clear"/>
            <w:vAlign w:val="bottom"/>
          </w:tcPr>
          <w:p>
            <w:pPr>
              <w:pStyle w:val="TableContents"/>
              <w:spacing w:before="0" w:after="0"/>
              <w:ind w:left="0" w:right="0" w:hanging="0"/>
              <w:rPr/>
            </w:pPr>
            <w:r>
              <w:rPr/>
              <w:t> </w:t>
            </w:r>
          </w:p>
        </w:tc>
        <w:tc>
          <w:tcPr>
            <w:tcW w:w="1117" w:type="dxa"/>
            <w:gridSpan w:val="2"/>
            <w:tcBorders/>
            <w:shd w:fill="CCEEFF" w:val="clear"/>
            <w:vAlign w:val="bottom"/>
          </w:tcPr>
          <w:p>
            <w:pPr>
              <w:pStyle w:val="TableContents"/>
              <w:spacing w:before="0" w:after="0"/>
              <w:ind w:left="0" w:right="0" w:hanging="0"/>
              <w:jc w:val="right"/>
              <w:rPr/>
            </w:pPr>
            <w:r>
              <w:rPr/>
              <w:t> </w:t>
            </w:r>
          </w:p>
        </w:tc>
        <w:tc>
          <w:tcPr>
            <w:tcW w:w="165" w:type="dxa"/>
            <w:tcBorders/>
            <w:shd w:fill="CCEEFF" w:val="clear"/>
            <w:vAlign w:val="bottom"/>
          </w:tcPr>
          <w:p>
            <w:pPr>
              <w:pStyle w:val="TableContents"/>
              <w:spacing w:before="0" w:after="0"/>
              <w:ind w:left="0" w:right="0" w:hanging="0"/>
              <w:rPr/>
            </w:pPr>
            <w:r>
              <w:rPr/>
              <w:t> </w:t>
            </w:r>
          </w:p>
        </w:tc>
        <w:tc>
          <w:tcPr>
            <w:tcW w:w="1019" w:type="dxa"/>
            <w:tcBorders/>
            <w:shd w:fill="CCEEFF" w:val="clear"/>
            <w:vAlign w:val="bottom"/>
          </w:tcPr>
          <w:p>
            <w:pPr>
              <w:pStyle w:val="TableContents"/>
              <w:spacing w:before="0" w:after="0"/>
              <w:ind w:left="0" w:right="0" w:hanging="0"/>
              <w:jc w:val="right"/>
              <w:rPr/>
            </w:pPr>
            <w:r>
              <w:rPr/>
              <w:t> </w:t>
            </w:r>
          </w:p>
        </w:tc>
        <w:tc>
          <w:tcPr>
            <w:tcW w:w="271" w:type="dxa"/>
            <w:tcBorders/>
            <w:shd w:fill="CCEEFF" w:val="clear"/>
            <w:vAlign w:val="bottom"/>
          </w:tcPr>
          <w:p>
            <w:pPr>
              <w:pStyle w:val="TableContents"/>
              <w:spacing w:before="0" w:after="0"/>
              <w:ind w:left="0" w:right="0" w:hanging="0"/>
              <w:rPr/>
            </w:pPr>
            <w:r>
              <w:rPr/>
              <w:t> </w:t>
            </w:r>
          </w:p>
        </w:tc>
        <w:tc>
          <w:tcPr>
            <w:tcW w:w="1117" w:type="dxa"/>
            <w:gridSpan w:val="2"/>
            <w:tcBorders/>
            <w:shd w:fill="CCEEFF" w:val="clear"/>
            <w:vAlign w:val="bottom"/>
          </w:tcPr>
          <w:p>
            <w:pPr>
              <w:pStyle w:val="TableContents"/>
              <w:spacing w:before="0" w:after="0"/>
              <w:ind w:left="0" w:right="0" w:hanging="0"/>
              <w:jc w:val="right"/>
              <w:rPr/>
            </w:pPr>
            <w:r>
              <w:rPr/>
              <w:t> </w:t>
            </w:r>
          </w:p>
        </w:tc>
        <w:tc>
          <w:tcPr>
            <w:tcW w:w="165" w:type="dxa"/>
            <w:tcBorders/>
            <w:shd w:fill="CCEEFF" w:val="clear"/>
            <w:vAlign w:val="bottom"/>
          </w:tcPr>
          <w:p>
            <w:pPr>
              <w:pStyle w:val="TableContents"/>
              <w:spacing w:before="0" w:after="0"/>
              <w:ind w:left="0" w:right="0" w:hanging="0"/>
              <w:rPr/>
            </w:pPr>
            <w:r>
              <w:rPr/>
              <w:t> </w:t>
            </w:r>
          </w:p>
        </w:tc>
        <w:tc>
          <w:tcPr>
            <w:tcW w:w="1018"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r>
      <w:tr>
        <w:trPr/>
        <w:tc>
          <w:tcPr>
            <w:tcW w:w="29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Sales, net</w:t>
            </w:r>
          </w:p>
        </w:tc>
        <w:tc>
          <w:tcPr>
            <w:tcW w:w="16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113,677</w:t>
            </w:r>
          </w:p>
        </w:tc>
        <w:tc>
          <w:tcPr>
            <w:tcW w:w="165" w:type="dxa"/>
            <w:tcBorders/>
            <w:shd w:fill="auto" w:val="clear"/>
            <w:vAlign w:val="bottom"/>
          </w:tcPr>
          <w:p>
            <w:pPr>
              <w:pStyle w:val="TableContents"/>
              <w:spacing w:before="0" w:after="0"/>
              <w:ind w:left="0" w:right="0" w:hanging="0"/>
              <w:rPr/>
            </w:pPr>
            <w:r>
              <w:rPr/>
              <w:t> </w:t>
            </w:r>
          </w:p>
        </w:tc>
        <w:tc>
          <w:tcPr>
            <w:tcW w:w="10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100.0</w:t>
            </w:r>
          </w:p>
        </w:tc>
        <w:tc>
          <w:tcPr>
            <w:tcW w:w="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110,025</w:t>
            </w:r>
          </w:p>
        </w:tc>
        <w:tc>
          <w:tcPr>
            <w:tcW w:w="165" w:type="dxa"/>
            <w:tcBorders/>
            <w:shd w:fill="auto" w:val="clear"/>
            <w:vAlign w:val="bottom"/>
          </w:tcPr>
          <w:p>
            <w:pPr>
              <w:pStyle w:val="TableContents"/>
              <w:spacing w:before="0" w:after="0"/>
              <w:ind w:left="0" w:right="0" w:hanging="0"/>
              <w:rPr/>
            </w:pPr>
            <w:r>
              <w:rPr/>
              <w:t> </w:t>
            </w:r>
          </w:p>
        </w:tc>
        <w:tc>
          <w:tcPr>
            <w:tcW w:w="10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100.0</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2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Cost of goods sold</w:t>
            </w:r>
          </w:p>
        </w:tc>
        <w:tc>
          <w:tcPr>
            <w:tcW w:w="165" w:type="dxa"/>
            <w:tcBorders/>
            <w:shd w:fill="CCEEFF" w:val="clear"/>
            <w:vAlign w:val="bottom"/>
          </w:tcPr>
          <w:p>
            <w:pPr>
              <w:pStyle w:val="TableContents"/>
              <w:spacing w:before="0" w:after="0"/>
              <w:ind w:left="0" w:right="0" w:hanging="0"/>
              <w:rPr/>
            </w:pPr>
            <w:r>
              <w:rPr/>
              <w:t> </w:t>
            </w:r>
          </w:p>
        </w:tc>
        <w:tc>
          <w:tcPr>
            <w:tcW w:w="111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49,285</w:t>
            </w:r>
          </w:p>
        </w:tc>
        <w:tc>
          <w:tcPr>
            <w:tcW w:w="165" w:type="dxa"/>
            <w:tcBorders/>
            <w:shd w:fill="CCEEFF" w:val="clear"/>
            <w:vAlign w:val="bottom"/>
          </w:tcPr>
          <w:p>
            <w:pPr>
              <w:pStyle w:val="TableContents"/>
              <w:spacing w:before="0" w:after="0"/>
              <w:ind w:left="0" w:right="0" w:hanging="0"/>
              <w:rPr/>
            </w:pPr>
            <w:r>
              <w:rPr/>
              <w:t> </w:t>
            </w:r>
          </w:p>
        </w:tc>
        <w:tc>
          <w:tcPr>
            <w:tcW w:w="101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43.4</w:t>
            </w:r>
          </w:p>
        </w:tc>
        <w:tc>
          <w:tcPr>
            <w:tcW w:w="2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46,802</w:t>
            </w:r>
          </w:p>
        </w:tc>
        <w:tc>
          <w:tcPr>
            <w:tcW w:w="165" w:type="dxa"/>
            <w:tcBorders/>
            <w:shd w:fill="CCEEFF" w:val="clear"/>
            <w:vAlign w:val="bottom"/>
          </w:tcPr>
          <w:p>
            <w:pPr>
              <w:pStyle w:val="TableContents"/>
              <w:spacing w:before="0" w:after="0"/>
              <w:ind w:left="0" w:right="0" w:hanging="0"/>
              <w:rPr/>
            </w:pPr>
            <w:r>
              <w:rPr/>
              <w:t> </w:t>
            </w:r>
          </w:p>
        </w:tc>
        <w:tc>
          <w:tcPr>
            <w:tcW w:w="101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42.5</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Gross profit</w:t>
            </w:r>
          </w:p>
        </w:tc>
        <w:tc>
          <w:tcPr>
            <w:tcW w:w="165" w:type="dxa"/>
            <w:tcBorders/>
            <w:shd w:fill="auto" w:val="clear"/>
            <w:vAlign w:val="bottom"/>
          </w:tcPr>
          <w:p>
            <w:pPr>
              <w:pStyle w:val="TableContents"/>
              <w:spacing w:before="0" w:after="0"/>
              <w:ind w:left="0" w:right="0" w:hanging="0"/>
              <w:rPr/>
            </w:pPr>
            <w:r>
              <w:rPr/>
              <w:t> </w:t>
            </w:r>
          </w:p>
        </w:tc>
        <w:tc>
          <w:tcPr>
            <w:tcW w:w="110"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7"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64,392</w:t>
            </w:r>
          </w:p>
        </w:tc>
        <w:tc>
          <w:tcPr>
            <w:tcW w:w="165" w:type="dxa"/>
            <w:tcBorders/>
            <w:shd w:fill="auto" w:val="clear"/>
            <w:vAlign w:val="bottom"/>
          </w:tcPr>
          <w:p>
            <w:pPr>
              <w:pStyle w:val="TableContents"/>
              <w:spacing w:before="0" w:after="0"/>
              <w:ind w:left="0" w:right="0" w:hanging="0"/>
              <w:rPr/>
            </w:pPr>
            <w:r>
              <w:rPr/>
              <w:t> </w:t>
            </w:r>
          </w:p>
        </w:tc>
        <w:tc>
          <w:tcPr>
            <w:tcW w:w="1019" w:type="dxa"/>
            <w:tcBorders>
              <w:bottom w:val="double" w:sz="4"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56.6</w:t>
            </w:r>
          </w:p>
        </w:tc>
        <w:tc>
          <w:tcPr>
            <w:tcW w:w="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7"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63,223</w:t>
            </w:r>
          </w:p>
        </w:tc>
        <w:tc>
          <w:tcPr>
            <w:tcW w:w="165" w:type="dxa"/>
            <w:tcBorders/>
            <w:shd w:fill="auto" w:val="clear"/>
            <w:vAlign w:val="bottom"/>
          </w:tcPr>
          <w:p>
            <w:pPr>
              <w:pStyle w:val="TableContents"/>
              <w:spacing w:before="0" w:after="0"/>
              <w:ind w:left="0" w:right="0" w:hanging="0"/>
              <w:rPr/>
            </w:pPr>
            <w:r>
              <w:rPr/>
              <w:t> </w:t>
            </w:r>
          </w:p>
        </w:tc>
        <w:tc>
          <w:tcPr>
            <w:tcW w:w="1018" w:type="dxa"/>
            <w:tcBorders>
              <w:bottom w:val="double" w:sz="4"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57.5</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21" w:type="dxa"/>
            <w:tcBorders/>
            <w:shd w:fill="CCEEFF" w:val="clear"/>
          </w:tcPr>
          <w:p>
            <w:pPr>
              <w:pStyle w:val="TableContents"/>
              <w:spacing w:before="0" w:after="0"/>
              <w:ind w:left="0" w:right="0" w:hanging="0"/>
              <w:rPr/>
            </w:pPr>
            <w:r>
              <w:rPr/>
              <w:t> </w:t>
            </w:r>
          </w:p>
        </w:tc>
        <w:tc>
          <w:tcPr>
            <w:tcW w:w="165" w:type="dxa"/>
            <w:tcBorders/>
            <w:shd w:fill="CCEEFF" w:val="clear"/>
            <w:vAlign w:val="bottom"/>
          </w:tcPr>
          <w:p>
            <w:pPr>
              <w:pStyle w:val="TableContents"/>
              <w:spacing w:before="0" w:after="0"/>
              <w:ind w:left="0" w:right="0" w:hanging="0"/>
              <w:rPr/>
            </w:pPr>
            <w:r>
              <w:rPr/>
              <w:t> </w:t>
            </w:r>
          </w:p>
        </w:tc>
        <w:tc>
          <w:tcPr>
            <w:tcW w:w="1117" w:type="dxa"/>
            <w:gridSpan w:val="2"/>
            <w:tcBorders/>
            <w:shd w:fill="CCEEFF" w:val="clear"/>
            <w:vAlign w:val="bottom"/>
          </w:tcPr>
          <w:p>
            <w:pPr>
              <w:pStyle w:val="TableContents"/>
              <w:spacing w:before="0" w:after="0"/>
              <w:ind w:left="0" w:right="0" w:hanging="0"/>
              <w:jc w:val="right"/>
              <w:rPr/>
            </w:pPr>
            <w:r>
              <w:rPr/>
              <w:t> </w:t>
            </w:r>
          </w:p>
        </w:tc>
        <w:tc>
          <w:tcPr>
            <w:tcW w:w="165" w:type="dxa"/>
            <w:tcBorders/>
            <w:shd w:fill="CCEEFF" w:val="clear"/>
            <w:vAlign w:val="bottom"/>
          </w:tcPr>
          <w:p>
            <w:pPr>
              <w:pStyle w:val="TableContents"/>
              <w:spacing w:before="0" w:after="0"/>
              <w:ind w:left="0" w:right="0" w:hanging="0"/>
              <w:rPr/>
            </w:pPr>
            <w:r>
              <w:rPr/>
              <w:t> </w:t>
            </w:r>
          </w:p>
        </w:tc>
        <w:tc>
          <w:tcPr>
            <w:tcW w:w="1019" w:type="dxa"/>
            <w:tcBorders/>
            <w:shd w:fill="CCEEFF" w:val="clear"/>
            <w:vAlign w:val="bottom"/>
          </w:tcPr>
          <w:p>
            <w:pPr>
              <w:pStyle w:val="TableContents"/>
              <w:spacing w:before="0" w:after="0"/>
              <w:ind w:left="0" w:right="0" w:hanging="0"/>
              <w:jc w:val="right"/>
              <w:rPr/>
            </w:pPr>
            <w:r>
              <w:rPr/>
              <w:t> </w:t>
            </w:r>
          </w:p>
        </w:tc>
        <w:tc>
          <w:tcPr>
            <w:tcW w:w="271" w:type="dxa"/>
            <w:tcBorders/>
            <w:shd w:fill="CCEEFF" w:val="clear"/>
            <w:vAlign w:val="bottom"/>
          </w:tcPr>
          <w:p>
            <w:pPr>
              <w:pStyle w:val="TableContents"/>
              <w:spacing w:before="0" w:after="0"/>
              <w:ind w:left="0" w:right="0" w:hanging="0"/>
              <w:rPr/>
            </w:pPr>
            <w:r>
              <w:rPr/>
              <w:t> </w:t>
            </w:r>
          </w:p>
        </w:tc>
        <w:tc>
          <w:tcPr>
            <w:tcW w:w="1117" w:type="dxa"/>
            <w:gridSpan w:val="2"/>
            <w:tcBorders/>
            <w:shd w:fill="CCEEFF" w:val="clear"/>
            <w:vAlign w:val="bottom"/>
          </w:tcPr>
          <w:p>
            <w:pPr>
              <w:pStyle w:val="TableContents"/>
              <w:spacing w:before="0" w:after="0"/>
              <w:ind w:left="0" w:right="0" w:hanging="0"/>
              <w:jc w:val="right"/>
              <w:rPr/>
            </w:pPr>
            <w:r>
              <w:rPr/>
              <w:t> </w:t>
            </w:r>
          </w:p>
        </w:tc>
        <w:tc>
          <w:tcPr>
            <w:tcW w:w="165" w:type="dxa"/>
            <w:tcBorders/>
            <w:shd w:fill="CCEEFF" w:val="clear"/>
            <w:vAlign w:val="bottom"/>
          </w:tcPr>
          <w:p>
            <w:pPr>
              <w:pStyle w:val="TableContents"/>
              <w:spacing w:before="0" w:after="0"/>
              <w:ind w:left="0" w:right="0" w:hanging="0"/>
              <w:rPr/>
            </w:pPr>
            <w:r>
              <w:rPr/>
              <w:t> </w:t>
            </w:r>
          </w:p>
        </w:tc>
        <w:tc>
          <w:tcPr>
            <w:tcW w:w="1018"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r>
      <w:tr>
        <w:trPr/>
        <w:tc>
          <w:tcPr>
            <w:tcW w:w="29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Managed Vision Care Services:</w:t>
            </w:r>
          </w:p>
        </w:tc>
        <w:tc>
          <w:tcPr>
            <w:tcW w:w="165" w:type="dxa"/>
            <w:tcBorders/>
            <w:shd w:fill="auto" w:val="clear"/>
            <w:vAlign w:val="bottom"/>
          </w:tcPr>
          <w:p>
            <w:pPr>
              <w:pStyle w:val="TableContents"/>
              <w:spacing w:before="0" w:after="0"/>
              <w:ind w:left="0" w:right="0" w:hanging="0"/>
              <w:rPr/>
            </w:pPr>
            <w:r>
              <w:rPr/>
              <w:t> </w:t>
            </w:r>
          </w:p>
        </w:tc>
        <w:tc>
          <w:tcPr>
            <w:tcW w:w="1117" w:type="dxa"/>
            <w:gridSpan w:val="2"/>
            <w:tcBorders/>
            <w:shd w:fill="auto" w:val="clear"/>
            <w:vAlign w:val="bottom"/>
          </w:tcPr>
          <w:p>
            <w:pPr>
              <w:pStyle w:val="TableContents"/>
              <w:spacing w:before="0" w:after="0"/>
              <w:ind w:left="0" w:right="0" w:hanging="0"/>
              <w:jc w:val="right"/>
              <w:rPr/>
            </w:pPr>
            <w:r>
              <w:rPr/>
              <w:t> </w:t>
            </w:r>
          </w:p>
        </w:tc>
        <w:tc>
          <w:tcPr>
            <w:tcW w:w="165" w:type="dxa"/>
            <w:tcBorders/>
            <w:shd w:fill="auto" w:val="clear"/>
            <w:vAlign w:val="bottom"/>
          </w:tcPr>
          <w:p>
            <w:pPr>
              <w:pStyle w:val="TableContents"/>
              <w:spacing w:before="0" w:after="0"/>
              <w:ind w:left="0" w:right="0" w:hanging="0"/>
              <w:rPr/>
            </w:pPr>
            <w:r>
              <w:rPr/>
              <w:t> </w:t>
            </w:r>
          </w:p>
        </w:tc>
        <w:tc>
          <w:tcPr>
            <w:tcW w:w="1019" w:type="dxa"/>
            <w:tcBorders/>
            <w:shd w:fill="auto" w:val="clear"/>
            <w:vAlign w:val="bottom"/>
          </w:tcPr>
          <w:p>
            <w:pPr>
              <w:pStyle w:val="TableContents"/>
              <w:spacing w:before="0" w:after="0"/>
              <w:ind w:left="0" w:right="0" w:hanging="0"/>
              <w:jc w:val="right"/>
              <w:rPr/>
            </w:pPr>
            <w:r>
              <w:rPr/>
              <w:t> </w:t>
            </w:r>
          </w:p>
        </w:tc>
        <w:tc>
          <w:tcPr>
            <w:tcW w:w="271" w:type="dxa"/>
            <w:tcBorders/>
            <w:shd w:fill="auto" w:val="clear"/>
            <w:vAlign w:val="bottom"/>
          </w:tcPr>
          <w:p>
            <w:pPr>
              <w:pStyle w:val="TableContents"/>
              <w:spacing w:before="0" w:after="0"/>
              <w:ind w:left="0" w:right="0" w:hanging="0"/>
              <w:rPr/>
            </w:pPr>
            <w:r>
              <w:rPr/>
              <w:t> </w:t>
            </w:r>
          </w:p>
        </w:tc>
        <w:tc>
          <w:tcPr>
            <w:tcW w:w="1117" w:type="dxa"/>
            <w:gridSpan w:val="2"/>
            <w:tcBorders/>
            <w:shd w:fill="auto" w:val="clear"/>
            <w:vAlign w:val="bottom"/>
          </w:tcPr>
          <w:p>
            <w:pPr>
              <w:pStyle w:val="TableContents"/>
              <w:spacing w:before="0" w:after="0"/>
              <w:ind w:left="0" w:right="0" w:hanging="0"/>
              <w:jc w:val="right"/>
              <w:rPr/>
            </w:pPr>
            <w:r>
              <w:rPr/>
              <w:t> </w:t>
            </w:r>
          </w:p>
        </w:tc>
        <w:tc>
          <w:tcPr>
            <w:tcW w:w="165" w:type="dxa"/>
            <w:tcBorders/>
            <w:shd w:fill="auto" w:val="clear"/>
            <w:vAlign w:val="bottom"/>
          </w:tcPr>
          <w:p>
            <w:pPr>
              <w:pStyle w:val="TableContents"/>
              <w:spacing w:before="0" w:after="0"/>
              <w:ind w:left="0" w:right="0" w:hanging="0"/>
              <w:rPr/>
            </w:pPr>
            <w:r>
              <w:rPr/>
              <w:t> </w:t>
            </w:r>
          </w:p>
        </w:tc>
        <w:tc>
          <w:tcPr>
            <w:tcW w:w="1018" w:type="dxa"/>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r>
      <w:tr>
        <w:trPr/>
        <w:tc>
          <w:tcPr>
            <w:tcW w:w="292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Fee revenue</w:t>
            </w:r>
          </w:p>
        </w:tc>
        <w:tc>
          <w:tcPr>
            <w:tcW w:w="165"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5,101</w:t>
            </w:r>
          </w:p>
        </w:tc>
        <w:tc>
          <w:tcPr>
            <w:tcW w:w="165" w:type="dxa"/>
            <w:tcBorders/>
            <w:shd w:fill="CCEEFF" w:val="clear"/>
            <w:vAlign w:val="bottom"/>
          </w:tcPr>
          <w:p>
            <w:pPr>
              <w:pStyle w:val="TableContents"/>
              <w:spacing w:before="0" w:after="0"/>
              <w:ind w:left="0" w:right="0" w:hanging="0"/>
              <w:rPr/>
            </w:pPr>
            <w:r>
              <w:rPr/>
              <w:t> </w:t>
            </w:r>
          </w:p>
        </w:tc>
        <w:tc>
          <w:tcPr>
            <w:tcW w:w="10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100.0</w:t>
            </w:r>
          </w:p>
        </w:tc>
        <w:tc>
          <w:tcPr>
            <w:tcW w:w="2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3,836</w:t>
            </w:r>
          </w:p>
        </w:tc>
        <w:tc>
          <w:tcPr>
            <w:tcW w:w="165" w:type="dxa"/>
            <w:tcBorders/>
            <w:shd w:fill="CCEEFF" w:val="clear"/>
            <w:vAlign w:val="bottom"/>
          </w:tcPr>
          <w:p>
            <w:pPr>
              <w:pStyle w:val="TableContents"/>
              <w:spacing w:before="0" w:after="0"/>
              <w:ind w:left="0" w:right="0" w:hanging="0"/>
              <w:rPr/>
            </w:pPr>
            <w:r>
              <w:rPr/>
              <w:t> </w:t>
            </w:r>
          </w:p>
        </w:tc>
        <w:tc>
          <w:tcPr>
            <w:tcW w:w="101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100.0</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Cost of sales</w:t>
            </w:r>
          </w:p>
        </w:tc>
        <w:tc>
          <w:tcPr>
            <w:tcW w:w="165" w:type="dxa"/>
            <w:tcBorders/>
            <w:shd w:fill="auto" w:val="clear"/>
            <w:vAlign w:val="bottom"/>
          </w:tcPr>
          <w:p>
            <w:pPr>
              <w:pStyle w:val="TableContents"/>
              <w:spacing w:before="0" w:after="0"/>
              <w:ind w:left="0" w:right="0" w:hanging="0"/>
              <w:rPr/>
            </w:pPr>
            <w:r>
              <w:rPr/>
              <w:t> </w:t>
            </w:r>
          </w:p>
        </w:tc>
        <w:tc>
          <w:tcPr>
            <w:tcW w:w="11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3,445</w:t>
            </w:r>
          </w:p>
        </w:tc>
        <w:tc>
          <w:tcPr>
            <w:tcW w:w="165" w:type="dxa"/>
            <w:tcBorders/>
            <w:shd w:fill="auto" w:val="clear"/>
            <w:vAlign w:val="bottom"/>
          </w:tcPr>
          <w:p>
            <w:pPr>
              <w:pStyle w:val="TableContents"/>
              <w:spacing w:before="0" w:after="0"/>
              <w:ind w:left="0" w:right="0" w:hanging="0"/>
              <w:rPr/>
            </w:pPr>
            <w:r>
              <w:rPr/>
              <w:t> </w:t>
            </w:r>
          </w:p>
        </w:tc>
        <w:tc>
          <w:tcPr>
            <w:tcW w:w="101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67.5</w:t>
            </w:r>
          </w:p>
        </w:tc>
        <w:tc>
          <w:tcPr>
            <w:tcW w:w="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2,442</w:t>
            </w:r>
          </w:p>
        </w:tc>
        <w:tc>
          <w:tcPr>
            <w:tcW w:w="165" w:type="dxa"/>
            <w:tcBorders/>
            <w:shd w:fill="auto" w:val="clear"/>
            <w:vAlign w:val="bottom"/>
          </w:tcPr>
          <w:p>
            <w:pPr>
              <w:pStyle w:val="TableContents"/>
              <w:spacing w:before="0" w:after="0"/>
              <w:ind w:left="0" w:right="0" w:hanging="0"/>
              <w:rPr/>
            </w:pPr>
            <w:r>
              <w:rPr/>
              <w:t> </w:t>
            </w:r>
          </w:p>
        </w:tc>
        <w:tc>
          <w:tcPr>
            <w:tcW w:w="101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63.7</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2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Gross profit</w:t>
            </w:r>
          </w:p>
        </w:tc>
        <w:tc>
          <w:tcPr>
            <w:tcW w:w="165" w:type="dxa"/>
            <w:tcBorders/>
            <w:shd w:fill="CCEEFF" w:val="clear"/>
            <w:vAlign w:val="bottom"/>
          </w:tcPr>
          <w:p>
            <w:pPr>
              <w:pStyle w:val="TableContents"/>
              <w:spacing w:before="0" w:after="0"/>
              <w:ind w:left="0" w:right="0" w:hanging="0"/>
              <w:rPr/>
            </w:pPr>
            <w:r>
              <w:rPr/>
              <w:t> </w:t>
            </w:r>
          </w:p>
        </w:tc>
        <w:tc>
          <w:tcPr>
            <w:tcW w:w="110"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7"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1,656</w:t>
            </w:r>
          </w:p>
        </w:tc>
        <w:tc>
          <w:tcPr>
            <w:tcW w:w="165" w:type="dxa"/>
            <w:tcBorders/>
            <w:shd w:fill="CCEEFF" w:val="clear"/>
            <w:vAlign w:val="bottom"/>
          </w:tcPr>
          <w:p>
            <w:pPr>
              <w:pStyle w:val="TableContents"/>
              <w:spacing w:before="0" w:after="0"/>
              <w:ind w:left="0" w:right="0" w:hanging="0"/>
              <w:rPr/>
            </w:pPr>
            <w:r>
              <w:rPr/>
              <w:t> </w:t>
            </w:r>
          </w:p>
        </w:tc>
        <w:tc>
          <w:tcPr>
            <w:tcW w:w="1019"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w:t>
            </w:r>
          </w:p>
        </w:tc>
        <w:tc>
          <w:tcPr>
            <w:tcW w:w="2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7"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1,394</w:t>
            </w:r>
          </w:p>
        </w:tc>
        <w:tc>
          <w:tcPr>
            <w:tcW w:w="165" w:type="dxa"/>
            <w:tcBorders/>
            <w:shd w:fill="CCEEFF" w:val="clear"/>
            <w:vAlign w:val="bottom"/>
          </w:tcPr>
          <w:p>
            <w:pPr>
              <w:pStyle w:val="TableContents"/>
              <w:spacing w:before="0" w:after="0"/>
              <w:ind w:left="0" w:right="0" w:hanging="0"/>
              <w:rPr/>
            </w:pPr>
            <w:r>
              <w:rPr/>
              <w:t> </w:t>
            </w:r>
          </w:p>
        </w:tc>
        <w:tc>
          <w:tcPr>
            <w:tcW w:w="1018"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36.3</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21" w:type="dxa"/>
            <w:tcBorders/>
            <w:shd w:fill="auto" w:val="clear"/>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rPr/>
            </w:pPr>
            <w:r>
              <w:rPr/>
              <w:t> </w:t>
            </w:r>
          </w:p>
        </w:tc>
        <w:tc>
          <w:tcPr>
            <w:tcW w:w="1117" w:type="dxa"/>
            <w:gridSpan w:val="2"/>
            <w:tcBorders/>
            <w:shd w:fill="auto" w:val="clear"/>
            <w:vAlign w:val="bottom"/>
          </w:tcPr>
          <w:p>
            <w:pPr>
              <w:pStyle w:val="TableContents"/>
              <w:spacing w:before="0" w:after="0"/>
              <w:ind w:left="0" w:right="0" w:hanging="0"/>
              <w:jc w:val="right"/>
              <w:rPr/>
            </w:pPr>
            <w:r>
              <w:rPr/>
              <w:t> </w:t>
            </w:r>
          </w:p>
        </w:tc>
        <w:tc>
          <w:tcPr>
            <w:tcW w:w="165" w:type="dxa"/>
            <w:tcBorders/>
            <w:shd w:fill="auto" w:val="clear"/>
            <w:vAlign w:val="bottom"/>
          </w:tcPr>
          <w:p>
            <w:pPr>
              <w:pStyle w:val="TableContents"/>
              <w:spacing w:before="0" w:after="0"/>
              <w:ind w:left="0" w:right="0" w:hanging="0"/>
              <w:rPr/>
            </w:pPr>
            <w:r>
              <w:rPr/>
              <w:t> </w:t>
            </w:r>
          </w:p>
        </w:tc>
        <w:tc>
          <w:tcPr>
            <w:tcW w:w="1019" w:type="dxa"/>
            <w:tcBorders/>
            <w:shd w:fill="auto" w:val="clear"/>
            <w:vAlign w:val="bottom"/>
          </w:tcPr>
          <w:p>
            <w:pPr>
              <w:pStyle w:val="TableContents"/>
              <w:spacing w:before="0" w:after="0"/>
              <w:ind w:left="0" w:right="0" w:hanging="0"/>
              <w:jc w:val="right"/>
              <w:rPr/>
            </w:pPr>
            <w:r>
              <w:rPr/>
              <w:t> </w:t>
            </w:r>
          </w:p>
        </w:tc>
        <w:tc>
          <w:tcPr>
            <w:tcW w:w="271" w:type="dxa"/>
            <w:tcBorders/>
            <w:shd w:fill="auto" w:val="clear"/>
            <w:vAlign w:val="bottom"/>
          </w:tcPr>
          <w:p>
            <w:pPr>
              <w:pStyle w:val="TableContents"/>
              <w:spacing w:before="0" w:after="0"/>
              <w:ind w:left="0" w:right="0" w:hanging="0"/>
              <w:rPr/>
            </w:pPr>
            <w:r>
              <w:rPr/>
              <w:t> </w:t>
            </w:r>
          </w:p>
        </w:tc>
        <w:tc>
          <w:tcPr>
            <w:tcW w:w="1117" w:type="dxa"/>
            <w:gridSpan w:val="2"/>
            <w:tcBorders/>
            <w:shd w:fill="auto" w:val="clear"/>
            <w:vAlign w:val="bottom"/>
          </w:tcPr>
          <w:p>
            <w:pPr>
              <w:pStyle w:val="TableContents"/>
              <w:spacing w:before="0" w:after="0"/>
              <w:ind w:left="0" w:right="0" w:hanging="0"/>
              <w:jc w:val="right"/>
              <w:rPr/>
            </w:pPr>
            <w:r>
              <w:rPr/>
              <w:t> </w:t>
            </w:r>
          </w:p>
        </w:tc>
        <w:tc>
          <w:tcPr>
            <w:tcW w:w="165" w:type="dxa"/>
            <w:tcBorders/>
            <w:shd w:fill="auto" w:val="clear"/>
            <w:vAlign w:val="bottom"/>
          </w:tcPr>
          <w:p>
            <w:pPr>
              <w:pStyle w:val="TableContents"/>
              <w:spacing w:before="0" w:after="0"/>
              <w:ind w:left="0" w:right="0" w:hanging="0"/>
              <w:rPr/>
            </w:pPr>
            <w:r>
              <w:rPr/>
              <w:t> </w:t>
            </w:r>
          </w:p>
        </w:tc>
        <w:tc>
          <w:tcPr>
            <w:tcW w:w="1018" w:type="dxa"/>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r>
      <w:tr>
        <w:trPr/>
        <w:tc>
          <w:tcPr>
            <w:tcW w:w="292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net revenue</w:t>
            </w:r>
          </w:p>
        </w:tc>
        <w:tc>
          <w:tcPr>
            <w:tcW w:w="165"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118,778</w:t>
            </w:r>
          </w:p>
        </w:tc>
        <w:tc>
          <w:tcPr>
            <w:tcW w:w="165" w:type="dxa"/>
            <w:tcBorders/>
            <w:shd w:fill="CCEEFF" w:val="clear"/>
            <w:vAlign w:val="bottom"/>
          </w:tcPr>
          <w:p>
            <w:pPr>
              <w:pStyle w:val="TableContents"/>
              <w:spacing w:before="0" w:after="0"/>
              <w:ind w:left="0" w:right="0" w:hanging="0"/>
              <w:rPr/>
            </w:pPr>
            <w:r>
              <w:rPr/>
              <w:t> </w:t>
            </w:r>
          </w:p>
        </w:tc>
        <w:tc>
          <w:tcPr>
            <w:tcW w:w="10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100.0</w:t>
            </w:r>
          </w:p>
        </w:tc>
        <w:tc>
          <w:tcPr>
            <w:tcW w:w="2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113,861</w:t>
            </w:r>
          </w:p>
        </w:tc>
        <w:tc>
          <w:tcPr>
            <w:tcW w:w="165" w:type="dxa"/>
            <w:tcBorders/>
            <w:shd w:fill="CCEEFF" w:val="clear"/>
            <w:vAlign w:val="bottom"/>
          </w:tcPr>
          <w:p>
            <w:pPr>
              <w:pStyle w:val="TableContents"/>
              <w:spacing w:before="0" w:after="0"/>
              <w:ind w:left="0" w:right="0" w:hanging="0"/>
              <w:rPr/>
            </w:pPr>
            <w:r>
              <w:rPr/>
              <w:t> </w:t>
            </w:r>
          </w:p>
        </w:tc>
        <w:tc>
          <w:tcPr>
            <w:tcW w:w="101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100.0</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cost of goods sold</w:t>
            </w:r>
          </w:p>
        </w:tc>
        <w:tc>
          <w:tcPr>
            <w:tcW w:w="165" w:type="dxa"/>
            <w:tcBorders/>
            <w:shd w:fill="auto" w:val="clear"/>
            <w:vAlign w:val="bottom"/>
          </w:tcPr>
          <w:p>
            <w:pPr>
              <w:pStyle w:val="TableContents"/>
              <w:spacing w:before="0" w:after="0"/>
              <w:ind w:left="0" w:right="0" w:hanging="0"/>
              <w:rPr/>
            </w:pPr>
            <w:r>
              <w:rPr/>
              <w:t> </w:t>
            </w:r>
          </w:p>
        </w:tc>
        <w:tc>
          <w:tcPr>
            <w:tcW w:w="11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52,730</w:t>
            </w:r>
          </w:p>
        </w:tc>
        <w:tc>
          <w:tcPr>
            <w:tcW w:w="165" w:type="dxa"/>
            <w:tcBorders/>
            <w:shd w:fill="auto" w:val="clear"/>
            <w:vAlign w:val="bottom"/>
          </w:tcPr>
          <w:p>
            <w:pPr>
              <w:pStyle w:val="TableContents"/>
              <w:spacing w:before="0" w:after="0"/>
              <w:ind w:left="0" w:right="0" w:hanging="0"/>
              <w:rPr/>
            </w:pPr>
            <w:r>
              <w:rPr/>
              <w:t> </w:t>
            </w:r>
          </w:p>
        </w:tc>
        <w:tc>
          <w:tcPr>
            <w:tcW w:w="101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44.4</w:t>
            </w:r>
          </w:p>
        </w:tc>
        <w:tc>
          <w:tcPr>
            <w:tcW w:w="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49,244</w:t>
            </w:r>
          </w:p>
        </w:tc>
        <w:tc>
          <w:tcPr>
            <w:tcW w:w="165" w:type="dxa"/>
            <w:tcBorders/>
            <w:shd w:fill="auto" w:val="clear"/>
            <w:vAlign w:val="bottom"/>
          </w:tcPr>
          <w:p>
            <w:pPr>
              <w:pStyle w:val="TableContents"/>
              <w:spacing w:before="0" w:after="0"/>
              <w:ind w:left="0" w:right="0" w:hanging="0"/>
              <w:rPr/>
            </w:pPr>
            <w:r>
              <w:rPr/>
              <w:t> </w:t>
            </w:r>
          </w:p>
        </w:tc>
        <w:tc>
          <w:tcPr>
            <w:tcW w:w="101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43.2</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2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gross profit</w:t>
            </w:r>
          </w:p>
        </w:tc>
        <w:tc>
          <w:tcPr>
            <w:tcW w:w="165" w:type="dxa"/>
            <w:tcBorders/>
            <w:shd w:fill="CCEEFF" w:val="clear"/>
            <w:vAlign w:val="bottom"/>
          </w:tcPr>
          <w:p>
            <w:pPr>
              <w:pStyle w:val="TableContents"/>
              <w:spacing w:before="0" w:after="0"/>
              <w:ind w:left="0" w:right="0" w:hanging="0"/>
              <w:rPr/>
            </w:pPr>
            <w:r>
              <w:rPr/>
              <w:t> </w:t>
            </w:r>
          </w:p>
        </w:tc>
        <w:tc>
          <w:tcPr>
            <w:tcW w:w="110"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7"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66,048</w:t>
            </w:r>
          </w:p>
        </w:tc>
        <w:tc>
          <w:tcPr>
            <w:tcW w:w="165" w:type="dxa"/>
            <w:tcBorders/>
            <w:shd w:fill="CCEEFF" w:val="clear"/>
            <w:vAlign w:val="bottom"/>
          </w:tcPr>
          <w:p>
            <w:pPr>
              <w:pStyle w:val="TableContents"/>
              <w:spacing w:before="0" w:after="0"/>
              <w:ind w:left="0" w:right="0" w:hanging="0"/>
              <w:rPr/>
            </w:pPr>
            <w:r>
              <w:rPr/>
              <w:t> </w:t>
            </w:r>
          </w:p>
        </w:tc>
        <w:tc>
          <w:tcPr>
            <w:tcW w:w="1019"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55.6</w:t>
            </w:r>
          </w:p>
        </w:tc>
        <w:tc>
          <w:tcPr>
            <w:tcW w:w="2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7"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64,617</w:t>
            </w:r>
          </w:p>
        </w:tc>
        <w:tc>
          <w:tcPr>
            <w:tcW w:w="165" w:type="dxa"/>
            <w:tcBorders/>
            <w:shd w:fill="CCEEFF" w:val="clear"/>
            <w:vAlign w:val="bottom"/>
          </w:tcPr>
          <w:p>
            <w:pPr>
              <w:pStyle w:val="TableContents"/>
              <w:spacing w:before="0" w:after="0"/>
              <w:ind w:left="0" w:right="0" w:hanging="0"/>
              <w:rPr/>
            </w:pPr>
            <w:r>
              <w:rPr/>
              <w:t> </w:t>
            </w:r>
          </w:p>
        </w:tc>
        <w:tc>
          <w:tcPr>
            <w:tcW w:w="1018"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56.8</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19</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decline in gross profit on sales of optical products and services as a percent of sales to 56.6% in the six months ended July 2, 2005 from 57.5% in the six months ended July 3, 2004 was due to several factors including (i) an increase in discount promotions in the current year six-month period, (ii) an increase in rent expense as a percent of sales due to more of our Wal-Mart stores entering the option period of their lease when the minimum annual rent increases and higher rent expense as a percent of sales for our new freestanding vision centers during their ramp-up period and (iii) a shift in product mix to a higher percentage of contact lens sales to total sales of optical products and services and a lower percentage of eyeglass sales.  Contact lens sales yield a lower gross margin percentage than do eyeglass sales.  As a percent of sales of optical products and services, contact lens sales increased to 21.1% in the six months ended July 2, 2005 from 20.5% in the prior year six month period, and eyeglass sales including the twelve-month extended warranty plan, declined to 75.3% in the six months ended July 2, 2005 from 76.0% in the prior year six-month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gross profit on managed vision care services represents premium revenue and patient co-payments less claims expenses and the cost of operating our optometric examination offices.  The decline in the gross margin percentage in the current year six-month period compared to the prior year six-month period is due to the opening of 37 optometric offices next to vision centers operated by Wal-Mart since January 2004.  The operating expense ratio for these offices during their ramp up period, which we believe takes 24 to 36 months, is higher than the expense ratio at the more mature optometric offices we operate next to our vision centers inside Wal-Mart.</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r>
        <w:rPr>
          <w:rFonts w:ascii="Times New Roman" w:hAnsi="Times New Roman"/>
          <w:b/>
          <w:i/>
          <w:sz w:val="17"/>
        </w:rPr>
        <w:t>Selling, General and Administrative Expense (SG&amp;A expense).</w:t>
      </w:r>
      <w:r>
        <w:rPr>
          <w:rFonts w:ascii="Times New Roman" w:hAnsi="Times New Roman"/>
          <w:sz w:val="17"/>
        </w:rPr>
        <w:t>  SG&amp;A expense includes both store operating expenses and home office overhead as shown below (dollars in thousands):</w:t>
      </w:r>
    </w:p>
    <w:p>
      <w:pPr>
        <w:pStyle w:val="TextBody"/>
        <w:spacing w:before="0" w:after="0"/>
        <w:ind w:left="0" w:right="0" w:hanging="0"/>
        <w:rPr/>
      </w:pPr>
      <w:r>
        <w:rPr/>
        <w:t> </w:t>
      </w:r>
    </w:p>
    <w:tbl>
      <w:tblPr>
        <w:tblW w:w="4450" w:type="pct"/>
        <w:jc w:val="left"/>
        <w:tblInd w:w="0" w:type="dxa"/>
        <w:tblCellMar>
          <w:top w:w="0" w:type="dxa"/>
          <w:left w:w="0" w:type="dxa"/>
          <w:bottom w:w="0" w:type="dxa"/>
          <w:right w:w="0" w:type="dxa"/>
        </w:tblCellMar>
      </w:tblPr>
      <w:tblGrid>
        <w:gridCol w:w="3809"/>
        <w:gridCol w:w="184"/>
        <w:gridCol w:w="111"/>
        <w:gridCol w:w="976"/>
        <w:gridCol w:w="184"/>
        <w:gridCol w:w="1062"/>
        <w:gridCol w:w="207"/>
        <w:gridCol w:w="111"/>
        <w:gridCol w:w="976"/>
        <w:gridCol w:w="184"/>
        <w:gridCol w:w="1061"/>
        <w:gridCol w:w="217"/>
      </w:tblGrid>
      <w:tr>
        <w:trPr/>
        <w:tc>
          <w:tcPr>
            <w:tcW w:w="3809" w:type="dxa"/>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rPr/>
            </w:pPr>
            <w:r>
              <w:rPr/>
              <w:t> </w:t>
            </w:r>
          </w:p>
        </w:tc>
        <w:tc>
          <w:tcPr>
            <w:tcW w:w="4872"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217" w:type="dxa"/>
            <w:tcBorders/>
            <w:shd w:fill="auto" w:val="clear"/>
            <w:vAlign w:val="bottom"/>
          </w:tcPr>
          <w:p>
            <w:pPr>
              <w:pStyle w:val="TableContents"/>
              <w:spacing w:before="0" w:after="0"/>
              <w:ind w:left="0" w:right="0" w:hanging="0"/>
              <w:rPr/>
            </w:pPr>
            <w:r>
              <w:rPr/>
              <w:t> </w:t>
            </w:r>
          </w:p>
        </w:tc>
      </w:tr>
      <w:tr>
        <w:trPr/>
        <w:tc>
          <w:tcPr>
            <w:tcW w:w="3809" w:type="dxa"/>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rPr/>
            </w:pPr>
            <w:r>
              <w:rPr/>
              <w:t> </w:t>
            </w:r>
          </w:p>
        </w:tc>
        <w:tc>
          <w:tcPr>
            <w:tcW w:w="2333"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2, 2005</w:t>
            </w:r>
          </w:p>
        </w:tc>
        <w:tc>
          <w:tcPr>
            <w:tcW w:w="207" w:type="dxa"/>
            <w:tcBorders>
              <w:top w:val="single" w:sz="8" w:space="0" w:color="000000"/>
            </w:tcBorders>
            <w:shd w:fill="auto" w:val="clear"/>
            <w:tcMar>
              <w:top w:w="28" w:type="dxa"/>
            </w:tcMar>
            <w:vAlign w:val="bottom"/>
          </w:tcPr>
          <w:p>
            <w:pPr>
              <w:pStyle w:val="TableContents"/>
              <w:spacing w:before="0" w:after="0"/>
              <w:ind w:left="0" w:right="0" w:hanging="0"/>
              <w:rPr/>
            </w:pPr>
            <w:r>
              <w:rPr/>
              <w:t> </w:t>
            </w:r>
          </w:p>
        </w:tc>
        <w:tc>
          <w:tcPr>
            <w:tcW w:w="2332" w:type="dxa"/>
            <w:gridSpan w:val="4"/>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3, 2004</w:t>
            </w:r>
          </w:p>
        </w:tc>
        <w:tc>
          <w:tcPr>
            <w:tcW w:w="217" w:type="dxa"/>
            <w:tcBorders/>
            <w:shd w:fill="auto" w:val="clear"/>
            <w:vAlign w:val="bottom"/>
          </w:tcPr>
          <w:p>
            <w:pPr>
              <w:pStyle w:val="TableContents"/>
              <w:spacing w:before="0" w:after="0"/>
              <w:ind w:left="0" w:right="0" w:hanging="0"/>
              <w:rPr/>
            </w:pPr>
            <w:r>
              <w:rPr/>
              <w:t> </w:t>
            </w:r>
          </w:p>
        </w:tc>
      </w:tr>
      <w:tr>
        <w:trPr/>
        <w:tc>
          <w:tcPr>
            <w:tcW w:w="3809" w:type="dxa"/>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rPr/>
            </w:pPr>
            <w:r>
              <w:rPr/>
              <w:t> </w:t>
            </w:r>
          </w:p>
        </w:tc>
        <w:tc>
          <w:tcPr>
            <w:tcW w:w="108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Amount</w:t>
            </w:r>
          </w:p>
        </w:tc>
        <w:tc>
          <w:tcPr>
            <w:tcW w:w="184" w:type="dxa"/>
            <w:tcBorders/>
            <w:shd w:fill="auto" w:val="clear"/>
            <w:vAlign w:val="bottom"/>
          </w:tcPr>
          <w:p>
            <w:pPr>
              <w:pStyle w:val="TableContents"/>
              <w:spacing w:before="0" w:after="0"/>
              <w:ind w:left="0" w:right="0" w:hanging="0"/>
              <w:rPr/>
            </w:pPr>
            <w:r>
              <w:rPr/>
              <w:t> </w:t>
            </w:r>
          </w:p>
        </w:tc>
        <w:tc>
          <w:tcPr>
            <w:tcW w:w="1062"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of Total</w:t>
              <w:br/>
              <w:t>Revenue</w:t>
            </w:r>
          </w:p>
        </w:tc>
        <w:tc>
          <w:tcPr>
            <w:tcW w:w="207" w:type="dxa"/>
            <w:tcBorders/>
            <w:shd w:fill="auto" w:val="clear"/>
            <w:vAlign w:val="bottom"/>
          </w:tcPr>
          <w:p>
            <w:pPr>
              <w:pStyle w:val="TableContents"/>
              <w:spacing w:before="0" w:after="0"/>
              <w:ind w:left="0" w:right="0" w:hanging="0"/>
              <w:rPr/>
            </w:pPr>
            <w:r>
              <w:rPr/>
              <w:t> </w:t>
            </w:r>
          </w:p>
        </w:tc>
        <w:tc>
          <w:tcPr>
            <w:tcW w:w="108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Amount</w:t>
            </w:r>
          </w:p>
        </w:tc>
        <w:tc>
          <w:tcPr>
            <w:tcW w:w="184" w:type="dxa"/>
            <w:tcBorders/>
            <w:shd w:fill="auto" w:val="clear"/>
            <w:vAlign w:val="bottom"/>
          </w:tcPr>
          <w:p>
            <w:pPr>
              <w:pStyle w:val="TableContents"/>
              <w:spacing w:before="0" w:after="0"/>
              <w:ind w:left="0" w:right="0" w:hanging="0"/>
              <w:rPr/>
            </w:pPr>
            <w:r>
              <w:rPr/>
              <w:t> </w:t>
            </w:r>
          </w:p>
        </w:tc>
        <w:tc>
          <w:tcPr>
            <w:tcW w:w="106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of Total</w:t>
              <w:br/>
              <w:t>Revenue</w:t>
            </w:r>
          </w:p>
        </w:tc>
        <w:tc>
          <w:tcPr>
            <w:tcW w:w="217" w:type="dxa"/>
            <w:tcBorders/>
            <w:shd w:fill="auto" w:val="clear"/>
            <w:vAlign w:val="bottom"/>
          </w:tcPr>
          <w:p>
            <w:pPr>
              <w:pStyle w:val="TableContents"/>
              <w:spacing w:before="0" w:after="0"/>
              <w:ind w:left="0" w:right="0" w:hanging="0"/>
              <w:rPr/>
            </w:pPr>
            <w:r>
              <w:rPr/>
              <w:t> </w:t>
            </w:r>
          </w:p>
        </w:tc>
      </w:tr>
      <w:tr>
        <w:trPr/>
        <w:tc>
          <w:tcPr>
            <w:tcW w:w="380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Store operating expense</w:t>
            </w:r>
          </w:p>
        </w:tc>
        <w:tc>
          <w:tcPr>
            <w:tcW w:w="184"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36,850</w:t>
            </w:r>
          </w:p>
        </w:tc>
        <w:tc>
          <w:tcPr>
            <w:tcW w:w="184" w:type="dxa"/>
            <w:tcBorders/>
            <w:shd w:fill="CCEEFF" w:val="clear"/>
            <w:vAlign w:val="bottom"/>
          </w:tcPr>
          <w:p>
            <w:pPr>
              <w:pStyle w:val="TableContents"/>
              <w:spacing w:before="0" w:after="0"/>
              <w:ind w:left="0" w:right="0" w:hanging="0"/>
              <w:rPr/>
            </w:pPr>
            <w:r>
              <w:rPr/>
              <w:t> </w:t>
            </w:r>
          </w:p>
        </w:tc>
        <w:tc>
          <w:tcPr>
            <w:tcW w:w="10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31.0</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34,785</w:t>
            </w:r>
          </w:p>
        </w:tc>
        <w:tc>
          <w:tcPr>
            <w:tcW w:w="184" w:type="dxa"/>
            <w:tcBorders/>
            <w:shd w:fill="CCEEFF" w:val="clear"/>
            <w:vAlign w:val="bottom"/>
          </w:tcPr>
          <w:p>
            <w:pPr>
              <w:pStyle w:val="TableContents"/>
              <w:spacing w:before="0" w:after="0"/>
              <w:ind w:left="0" w:right="0" w:hanging="0"/>
              <w:rPr/>
            </w:pPr>
            <w:r>
              <w:rPr/>
              <w:t> </w:t>
            </w:r>
          </w:p>
        </w:tc>
        <w:tc>
          <w:tcPr>
            <w:tcW w:w="106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30.6</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Store depreciation and amortization</w:t>
            </w:r>
          </w:p>
        </w:tc>
        <w:tc>
          <w:tcPr>
            <w:tcW w:w="184" w:type="dxa"/>
            <w:tcBorders/>
            <w:shd w:fill="auto" w:val="clear"/>
            <w:vAlign w:val="bottom"/>
          </w:tcPr>
          <w:p>
            <w:pPr>
              <w:pStyle w:val="TableContents"/>
              <w:spacing w:before="0" w:after="0"/>
              <w:ind w:left="0" w:right="0" w:hanging="0"/>
              <w:rPr/>
            </w:pPr>
            <w:r>
              <w:rPr/>
              <w:t> </w:t>
            </w:r>
          </w:p>
        </w:tc>
        <w:tc>
          <w:tcPr>
            <w:tcW w:w="10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1,340</w:t>
            </w:r>
          </w:p>
        </w:tc>
        <w:tc>
          <w:tcPr>
            <w:tcW w:w="184" w:type="dxa"/>
            <w:tcBorders/>
            <w:shd w:fill="auto" w:val="clear"/>
            <w:vAlign w:val="bottom"/>
          </w:tcPr>
          <w:p>
            <w:pPr>
              <w:pStyle w:val="TableContents"/>
              <w:spacing w:before="0" w:after="0"/>
              <w:ind w:left="0" w:right="0" w:hanging="0"/>
              <w:rPr/>
            </w:pPr>
            <w:r>
              <w:rPr/>
              <w:t> </w:t>
            </w:r>
          </w:p>
        </w:tc>
        <w:tc>
          <w:tcPr>
            <w:tcW w:w="10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1,736</w:t>
            </w:r>
          </w:p>
        </w:tc>
        <w:tc>
          <w:tcPr>
            <w:tcW w:w="184" w:type="dxa"/>
            <w:tcBorders/>
            <w:shd w:fill="auto" w:val="clear"/>
            <w:vAlign w:val="bottom"/>
          </w:tcPr>
          <w:p>
            <w:pPr>
              <w:pStyle w:val="TableContents"/>
              <w:spacing w:before="0" w:after="0"/>
              <w:ind w:left="0" w:right="0" w:hanging="0"/>
              <w:rPr/>
            </w:pPr>
            <w:r>
              <w:rPr/>
              <w:t> </w:t>
            </w:r>
          </w:p>
        </w:tc>
        <w:tc>
          <w:tcPr>
            <w:tcW w:w="106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0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Field supervision</w:t>
            </w:r>
          </w:p>
        </w:tc>
        <w:tc>
          <w:tcPr>
            <w:tcW w:w="184" w:type="dxa"/>
            <w:tcBorders/>
            <w:shd w:fill="CCEEFF" w:val="clear"/>
            <w:vAlign w:val="bottom"/>
          </w:tcPr>
          <w:p>
            <w:pPr>
              <w:pStyle w:val="TableContents"/>
              <w:spacing w:before="0" w:after="0"/>
              <w:ind w:left="0" w:right="0" w:hanging="0"/>
              <w:rPr/>
            </w:pPr>
            <w:r>
              <w:rPr/>
              <w:t> </w:t>
            </w:r>
          </w:p>
        </w:tc>
        <w:tc>
          <w:tcPr>
            <w:tcW w:w="10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2,507</w:t>
            </w:r>
          </w:p>
        </w:tc>
        <w:tc>
          <w:tcPr>
            <w:tcW w:w="184" w:type="dxa"/>
            <w:tcBorders/>
            <w:shd w:fill="CCEEFF" w:val="clear"/>
            <w:vAlign w:val="bottom"/>
          </w:tcPr>
          <w:p>
            <w:pPr>
              <w:pStyle w:val="TableContents"/>
              <w:spacing w:before="0" w:after="0"/>
              <w:ind w:left="0" w:right="0" w:hanging="0"/>
              <w:rPr/>
            </w:pPr>
            <w:r>
              <w:rPr/>
              <w:t> </w:t>
            </w:r>
          </w:p>
        </w:tc>
        <w:tc>
          <w:tcPr>
            <w:tcW w:w="10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2,692</w:t>
            </w:r>
          </w:p>
        </w:tc>
        <w:tc>
          <w:tcPr>
            <w:tcW w:w="184" w:type="dxa"/>
            <w:tcBorders/>
            <w:shd w:fill="CCEEFF" w:val="clear"/>
            <w:vAlign w:val="bottom"/>
          </w:tcPr>
          <w:p>
            <w:pPr>
              <w:pStyle w:val="TableContents"/>
              <w:spacing w:before="0" w:after="0"/>
              <w:ind w:left="0" w:right="0" w:hanging="0"/>
              <w:rPr/>
            </w:pPr>
            <w:r>
              <w:rPr/>
              <w:t> </w:t>
            </w:r>
          </w:p>
        </w:tc>
        <w:tc>
          <w:tcPr>
            <w:tcW w:w="106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Corporate support</w:t>
            </w:r>
          </w:p>
        </w:tc>
        <w:tc>
          <w:tcPr>
            <w:tcW w:w="184" w:type="dxa"/>
            <w:tcBorders/>
            <w:shd w:fill="auto" w:val="clear"/>
            <w:vAlign w:val="bottom"/>
          </w:tcPr>
          <w:p>
            <w:pPr>
              <w:pStyle w:val="TableContents"/>
              <w:spacing w:before="0" w:after="0"/>
              <w:ind w:left="0" w:right="0" w:hanging="0"/>
              <w:rPr/>
            </w:pPr>
            <w:r>
              <w:rPr/>
              <w:t> </w:t>
            </w:r>
          </w:p>
        </w:tc>
        <w:tc>
          <w:tcPr>
            <w:tcW w:w="10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10,426</w:t>
            </w:r>
          </w:p>
        </w:tc>
        <w:tc>
          <w:tcPr>
            <w:tcW w:w="184" w:type="dxa"/>
            <w:tcBorders/>
            <w:shd w:fill="auto" w:val="clear"/>
            <w:vAlign w:val="bottom"/>
          </w:tcPr>
          <w:p>
            <w:pPr>
              <w:pStyle w:val="TableContents"/>
              <w:spacing w:before="0" w:after="0"/>
              <w:ind w:left="0" w:right="0" w:hanging="0"/>
              <w:rPr/>
            </w:pPr>
            <w:r>
              <w:rPr/>
              <w:t> </w:t>
            </w:r>
          </w:p>
        </w:tc>
        <w:tc>
          <w:tcPr>
            <w:tcW w:w="10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12,431</w:t>
            </w:r>
          </w:p>
        </w:tc>
        <w:tc>
          <w:tcPr>
            <w:tcW w:w="184" w:type="dxa"/>
            <w:tcBorders/>
            <w:shd w:fill="auto" w:val="clear"/>
            <w:vAlign w:val="bottom"/>
          </w:tcPr>
          <w:p>
            <w:pPr>
              <w:pStyle w:val="TableContents"/>
              <w:spacing w:before="0" w:after="0"/>
              <w:ind w:left="0" w:right="0" w:hanging="0"/>
              <w:rPr/>
            </w:pPr>
            <w:r>
              <w:rPr/>
              <w:t> </w:t>
            </w:r>
          </w:p>
        </w:tc>
        <w:tc>
          <w:tcPr>
            <w:tcW w:w="106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0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Amortization of Wal-Mart contract rights</w:t>
            </w:r>
          </w:p>
        </w:tc>
        <w:tc>
          <w:tcPr>
            <w:tcW w:w="184" w:type="dxa"/>
            <w:tcBorders/>
            <w:shd w:fill="CCEEFF" w:val="clear"/>
            <w:vAlign w:val="bottom"/>
          </w:tcPr>
          <w:p>
            <w:pPr>
              <w:pStyle w:val="TableContents"/>
              <w:spacing w:before="0" w:after="0"/>
              <w:ind w:left="0" w:right="0" w:hanging="0"/>
              <w:rPr/>
            </w:pPr>
            <w:r>
              <w:rPr/>
              <w:t> </w:t>
            </w:r>
          </w:p>
        </w:tc>
        <w:tc>
          <w:tcPr>
            <w:tcW w:w="10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3,754</w:t>
            </w:r>
          </w:p>
        </w:tc>
        <w:tc>
          <w:tcPr>
            <w:tcW w:w="184" w:type="dxa"/>
            <w:tcBorders/>
            <w:shd w:fill="CCEEFF" w:val="clear"/>
            <w:vAlign w:val="bottom"/>
          </w:tcPr>
          <w:p>
            <w:pPr>
              <w:pStyle w:val="TableContents"/>
              <w:spacing w:before="0" w:after="0"/>
              <w:ind w:left="0" w:right="0" w:hanging="0"/>
              <w:rPr/>
            </w:pPr>
            <w:r>
              <w:rPr/>
              <w:t> </w:t>
            </w:r>
          </w:p>
        </w:tc>
        <w:tc>
          <w:tcPr>
            <w:tcW w:w="10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3,753</w:t>
            </w:r>
          </w:p>
        </w:tc>
        <w:tc>
          <w:tcPr>
            <w:tcW w:w="184" w:type="dxa"/>
            <w:tcBorders/>
            <w:shd w:fill="CCEEFF" w:val="clear"/>
            <w:vAlign w:val="bottom"/>
          </w:tcPr>
          <w:p>
            <w:pPr>
              <w:pStyle w:val="TableContents"/>
              <w:spacing w:before="0" w:after="0"/>
              <w:ind w:left="0" w:right="0" w:hanging="0"/>
              <w:rPr/>
            </w:pPr>
            <w:r>
              <w:rPr/>
              <w:t> </w:t>
            </w:r>
          </w:p>
        </w:tc>
        <w:tc>
          <w:tcPr>
            <w:tcW w:w="106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depreciation and amortization</w:t>
            </w:r>
          </w:p>
        </w:tc>
        <w:tc>
          <w:tcPr>
            <w:tcW w:w="184" w:type="dxa"/>
            <w:tcBorders/>
            <w:shd w:fill="auto" w:val="clear"/>
            <w:vAlign w:val="bottom"/>
          </w:tcPr>
          <w:p>
            <w:pPr>
              <w:pStyle w:val="TableContents"/>
              <w:spacing w:before="0" w:after="0"/>
              <w:ind w:left="0" w:right="0" w:hanging="0"/>
              <w:rPr/>
            </w:pPr>
            <w:r>
              <w:rPr/>
              <w:t> </w:t>
            </w:r>
          </w:p>
        </w:tc>
        <w:tc>
          <w:tcPr>
            <w:tcW w:w="108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620</w:t>
            </w:r>
          </w:p>
        </w:tc>
        <w:tc>
          <w:tcPr>
            <w:tcW w:w="184" w:type="dxa"/>
            <w:tcBorders/>
            <w:shd w:fill="auto" w:val="clear"/>
            <w:vAlign w:val="bottom"/>
          </w:tcPr>
          <w:p>
            <w:pPr>
              <w:pStyle w:val="TableContents"/>
              <w:spacing w:before="0" w:after="0"/>
              <w:ind w:left="0" w:right="0" w:hanging="0"/>
              <w:rPr/>
            </w:pPr>
            <w:r>
              <w:rPr/>
              <w:t> </w:t>
            </w:r>
          </w:p>
        </w:tc>
        <w:tc>
          <w:tcPr>
            <w:tcW w:w="1062"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w:t>
            </w:r>
          </w:p>
        </w:tc>
        <w:tc>
          <w:tcPr>
            <w:tcW w:w="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494</w:t>
            </w:r>
          </w:p>
        </w:tc>
        <w:tc>
          <w:tcPr>
            <w:tcW w:w="184" w:type="dxa"/>
            <w:tcBorders/>
            <w:shd w:fill="auto" w:val="clear"/>
            <w:vAlign w:val="bottom"/>
          </w:tcPr>
          <w:p>
            <w:pPr>
              <w:pStyle w:val="TableContents"/>
              <w:spacing w:before="0" w:after="0"/>
              <w:ind w:left="0" w:right="0" w:hanging="0"/>
              <w:rPr/>
            </w:pPr>
            <w:r>
              <w:rPr/>
              <w:t> </w:t>
            </w:r>
          </w:p>
        </w:tc>
        <w:tc>
          <w:tcPr>
            <w:tcW w:w="106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0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SG&amp;A expense</w:t>
            </w:r>
          </w:p>
        </w:tc>
        <w:tc>
          <w:tcPr>
            <w:tcW w:w="184" w:type="dxa"/>
            <w:tcBorders/>
            <w:shd w:fill="CCEEFF" w:val="clear"/>
            <w:vAlign w:val="bottom"/>
          </w:tcPr>
          <w:p>
            <w:pPr>
              <w:pStyle w:val="TableContents"/>
              <w:spacing w:before="0" w:after="0"/>
              <w:ind w:left="0" w:right="0" w:hanging="0"/>
              <w:rPr/>
            </w:pPr>
            <w:r>
              <w:rPr/>
              <w:t> </w:t>
            </w:r>
          </w:p>
        </w:tc>
        <w:tc>
          <w:tcPr>
            <w:tcW w:w="111"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6"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55,497</w:t>
            </w:r>
          </w:p>
        </w:tc>
        <w:tc>
          <w:tcPr>
            <w:tcW w:w="184" w:type="dxa"/>
            <w:tcBorders/>
            <w:shd w:fill="CCEEFF" w:val="clear"/>
            <w:vAlign w:val="bottom"/>
          </w:tcPr>
          <w:p>
            <w:pPr>
              <w:pStyle w:val="TableContents"/>
              <w:spacing w:before="0" w:after="0"/>
              <w:ind w:left="0" w:right="0" w:hanging="0"/>
              <w:rPr/>
            </w:pPr>
            <w:r>
              <w:rPr/>
              <w:t> </w:t>
            </w:r>
          </w:p>
        </w:tc>
        <w:tc>
          <w:tcPr>
            <w:tcW w:w="1062"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46.7</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 w:type="dxa"/>
            <w:tcBorders>
              <w:bottom w:val="double" w:sz="4"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6" w:type="dxa"/>
            <w:tcBorders>
              <w:top w:val="single" w:sz="8" w:space="0" w:color="000000"/>
              <w:bottom w:val="double" w:sz="4"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55,891</w:t>
            </w:r>
          </w:p>
        </w:tc>
        <w:tc>
          <w:tcPr>
            <w:tcW w:w="184" w:type="dxa"/>
            <w:tcBorders/>
            <w:shd w:fill="CCEEFF" w:val="clear"/>
            <w:vAlign w:val="bottom"/>
          </w:tcPr>
          <w:p>
            <w:pPr>
              <w:pStyle w:val="TableContents"/>
              <w:spacing w:before="0" w:after="0"/>
              <w:ind w:left="0" w:right="0" w:hanging="0"/>
              <w:rPr/>
            </w:pPr>
            <w:r>
              <w:rPr/>
              <w:t> </w:t>
            </w:r>
          </w:p>
        </w:tc>
        <w:tc>
          <w:tcPr>
            <w:tcW w:w="1061"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49.1</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Except for Store operating expense and Other depreciation and amortization, each categorys expenses declined as a percent of total revenue.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The increase in the amount of store operating expense was primarily the result of increases in payroll and advertising costs partially offset by lower health insurance and workers compensation insurance costs.  The increase in payroll costs is primarily attributable to merit increases given in the second quarters of 2004 and 2005, higher incentive compensation attributable to the increased sales volume and the fact that there were 12 more stores included in continuing operations in the current year six-month period compared to the prior year six month period.  The increase in advertising costs is due to higher levels of promotional activity during the ramp up period for our new freestanding stores and an increase in promotional spending to improve sales at our vision centers inside our host stores.  Reductions in health insurance and workers compensation insurance costs were the result of lower insurance claims.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Store depreciation costs declined in the current year six-month period compared to the prior year six-month period due to leasehold improvements and equipment at some stores becoming fully depreciated.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Field supervision expense declined in the current year six-month period compared to the prior year six-month period due to a reduction in the number of districts.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Corporate support expenses declined in the current year six-month period compared to the prior year six-month period due primarily to lower accruals under our various incentive compensation plans.  Total expense recorded under these incentive plans was approximately $2.5 million less in the first six months of 2005 than in the first six months of 2004, primarily because of higher earnings targets under our short-term incentive program in the current year.  The savings in incentive costs were partially offset by increases in payroll and benefits costs of approximately $0.4 million and in professional fees of approximately $0.2 million.  The increase in payroll and benefits costs was due in part to merit increases given in the second quarters of 2004 and 2005 and the benefits cost attributable to the 401k Company matching contribution feature that was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20</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added to our 401k Plan in January 2005.  The increase in professional fees was attributable to our Sarbanes-Oxley compliance project and the Oklahoma lawsuit described under Legal Matters in our Form 10-K filed on March 25, 2005.</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b/>
          <w:i/>
          <w:sz w:val="17"/>
        </w:rPr>
        <w:t>Interest Expense.</w:t>
      </w:r>
      <w:r>
        <w:rPr>
          <w:rFonts w:ascii="Times New Roman" w:hAnsi="Times New Roman"/>
          <w:sz w:val="17"/>
        </w:rPr>
        <w:t>  The outstanding balance of our Senior Subordinated Notes is the primary driver of interest expense.  Interest expense declined by approximately $1.2 million in the first six months of 2005 compared to the first six months of 2004 due to principal repayments and Note repurchases made during 2004 and the first six months of 2005.</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b/>
          <w:i/>
          <w:sz w:val="17"/>
        </w:rPr>
        <w:t>Income Tax Expense.</w:t>
      </w:r>
      <w:r>
        <w:rPr>
          <w:rFonts w:ascii="Times New Roman" w:hAnsi="Times New Roman"/>
          <w:sz w:val="17"/>
        </w:rPr>
        <w:t>  The effective income tax rate based on pre-tax income from continuing operations and discontinued operations combined was 42.4% for the six months ended July 2, 2005 compared to 3.9% for the six months ended July 3, 2004.  Income tax expense of $418,000 in the first six months of 2004 included only the income taxes we expected to pay currently as the deferred tax provision was offset by a partial reversal of the previously recorded valuation allowance.  At January 1, 2005, as a result of our substantial improvement in profitability in 2004 and improved outlook for future profits, we eliminated the remaining balance of the deferred tax valuation allowance.  As a result of eliminating the deferred tax valuation allowance, income tax expense for the first six months of 2005 includes $225,000 for the income taxes we expect to pay currently plus a provision for deferred income taxes of $2,493,000.  We expect to record income tax expense at an overall effective rate of 42.4% of pre-tax income for the remainder of 2005.  However, we expect that our obligation to pay taxes currently will be less than 5% of our pre-tax income.  See Critical Accounting Policies and Estimates - Accounting for Income Taxes.</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sz w:val="17"/>
        </w:rPr>
      </w:pPr>
      <w:r>
        <w:rPr>
          <w:rFonts w:ascii="Times New Roman" w:hAnsi="Times New Roman"/>
          <w:b/>
          <w:i/>
          <w:sz w:val="17"/>
        </w:rPr>
        <w:t>Discontinued Operations.</w:t>
      </w:r>
      <w:r>
        <w:rPr>
          <w:rFonts w:ascii="Times New Roman" w:hAnsi="Times New Roman"/>
          <w:sz w:val="17"/>
        </w:rPr>
        <w:t xml:space="preserve"> Historical operating results for our closed vision centers that were not relocated to freestanding locations within the vicinity of the closed locations are classified as discontinued operations for all periods.  These operating results are presented as discontinued operations because the vision center locations are geographically dispersed, and in the case of our domestic Wal-Mart locations, we believe the host will open a vision center in the space we vacate and, except in those cases where we open a nearby freestanding vision center, significant cash flows from the closed locations are not expected to migrate to our other vision center operations.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first six months of 2005, we closed 14 vision centers inside domestic Wal-Mart stores, four vision centers in Wal-Mart de Mexico stores and our two home medical equipment stores that were opened in 2004 as a test.  Six of the 14 vision centers closed inside domestic Wal-Mart stores were relocated to freestanding locations within the vicinity of the closed locations.  Relocated stores are not considered to be discontinued operations.  During 2004 we closed 55 vision centers in Wal-Mart stores in the United States, two vision centers in Wal-Mart de Mexico and three vision centers on military bases. Two of the 55 closed vision centers in domestic Wal-Mart stores were relocated to freestanding locations in the vicinity of the closed locations and are not considered discontinued operations. The six locations inside Wal-Mart de Mexico stores were closed due to poor operating results and prospects.  The loss on disposal of these operations includes severance and closing costs offset by gains recorded from the sale of certain assets. Condensed information for these discontinued operations is presented below (in thousands):</w:t>
      </w:r>
    </w:p>
    <w:p>
      <w:pPr>
        <w:pStyle w:val="TextBody"/>
        <w:spacing w:before="0" w:after="0"/>
        <w:ind w:left="0" w:right="0" w:hanging="0"/>
        <w:jc w:val="left"/>
        <w:rPr/>
      </w:pPr>
      <w:r>
        <w:rPr/>
        <w:t> </w:t>
      </w:r>
    </w:p>
    <w:tbl>
      <w:tblPr>
        <w:tblW w:w="2750" w:type="pct"/>
        <w:jc w:val="left"/>
        <w:tblInd w:w="0" w:type="dxa"/>
        <w:tblCellMar>
          <w:top w:w="0" w:type="dxa"/>
          <w:left w:w="0" w:type="dxa"/>
          <w:bottom w:w="0" w:type="dxa"/>
          <w:right w:w="0" w:type="dxa"/>
        </w:tblCellMar>
      </w:tblPr>
      <w:tblGrid>
        <w:gridCol w:w="2314"/>
        <w:gridCol w:w="173"/>
        <w:gridCol w:w="116"/>
        <w:gridCol w:w="1273"/>
        <w:gridCol w:w="173"/>
        <w:gridCol w:w="116"/>
        <w:gridCol w:w="1273"/>
        <w:gridCol w:w="174"/>
      </w:tblGrid>
      <w:tr>
        <w:trPr/>
        <w:tc>
          <w:tcPr>
            <w:tcW w:w="2314" w:type="dxa"/>
            <w:tcBorders/>
            <w:shd w:fill="auto" w:val="clear"/>
            <w:vAlign w:val="bottom"/>
          </w:tcPr>
          <w:p>
            <w:pPr>
              <w:pStyle w:val="TableContents"/>
              <w:spacing w:before="0" w:after="0"/>
              <w:ind w:left="0" w:right="0" w:hanging="0"/>
              <w:jc w:val="center"/>
              <w:rPr/>
            </w:pPr>
            <w:r>
              <w:rPr/>
              <w:t> </w:t>
            </w:r>
          </w:p>
        </w:tc>
        <w:tc>
          <w:tcPr>
            <w:tcW w:w="173" w:type="dxa"/>
            <w:tcBorders/>
            <w:shd w:fill="auto" w:val="clear"/>
            <w:vAlign w:val="bottom"/>
          </w:tcPr>
          <w:p>
            <w:pPr>
              <w:pStyle w:val="TableContents"/>
              <w:spacing w:before="0" w:after="0"/>
              <w:ind w:left="0" w:right="0" w:hanging="0"/>
              <w:rPr/>
            </w:pPr>
            <w:r>
              <w:rPr/>
              <w:t> </w:t>
            </w:r>
          </w:p>
        </w:tc>
        <w:tc>
          <w:tcPr>
            <w:tcW w:w="295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74" w:type="dxa"/>
            <w:tcBorders/>
            <w:shd w:fill="auto" w:val="clear"/>
            <w:vAlign w:val="bottom"/>
          </w:tcPr>
          <w:p>
            <w:pPr>
              <w:pStyle w:val="TableContents"/>
              <w:spacing w:before="0" w:after="0"/>
              <w:ind w:left="0" w:right="0" w:hanging="0"/>
              <w:rPr/>
            </w:pPr>
            <w:r>
              <w:rPr/>
              <w:t> </w:t>
            </w:r>
          </w:p>
        </w:tc>
      </w:tr>
      <w:tr>
        <w:trPr/>
        <w:tc>
          <w:tcPr>
            <w:tcW w:w="2314" w:type="dxa"/>
            <w:tcBorders/>
            <w:shd w:fill="auto" w:val="clear"/>
            <w:vAlign w:val="bottom"/>
          </w:tcPr>
          <w:p>
            <w:pPr>
              <w:pStyle w:val="TableContents"/>
              <w:spacing w:before="0" w:after="0"/>
              <w:ind w:left="0" w:right="0" w:hanging="0"/>
              <w:jc w:val="center"/>
              <w:rPr/>
            </w:pPr>
            <w:r>
              <w:rPr/>
              <w:t> </w:t>
            </w:r>
          </w:p>
        </w:tc>
        <w:tc>
          <w:tcPr>
            <w:tcW w:w="173" w:type="dxa"/>
            <w:tcBorders/>
            <w:shd w:fill="auto" w:val="clear"/>
            <w:vAlign w:val="bottom"/>
          </w:tcPr>
          <w:p>
            <w:pPr>
              <w:pStyle w:val="TableContents"/>
              <w:spacing w:before="0" w:after="0"/>
              <w:ind w:left="0" w:right="0" w:hanging="0"/>
              <w:rPr/>
            </w:pPr>
            <w:r>
              <w:rPr/>
              <w:t> </w:t>
            </w:r>
          </w:p>
        </w:tc>
        <w:tc>
          <w:tcPr>
            <w:tcW w:w="138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2, 2005</w:t>
            </w:r>
          </w:p>
        </w:tc>
        <w:tc>
          <w:tcPr>
            <w:tcW w:w="173" w:type="dxa"/>
            <w:tcBorders>
              <w:top w:val="single" w:sz="8" w:space="0" w:color="000000"/>
            </w:tcBorders>
            <w:shd w:fill="auto" w:val="clear"/>
            <w:tcMar>
              <w:top w:w="28" w:type="dxa"/>
            </w:tcMar>
            <w:vAlign w:val="bottom"/>
          </w:tcPr>
          <w:p>
            <w:pPr>
              <w:pStyle w:val="TableContents"/>
              <w:spacing w:before="0" w:after="0"/>
              <w:ind w:left="0" w:right="0" w:hanging="0"/>
              <w:rPr/>
            </w:pPr>
            <w:r>
              <w:rPr/>
              <w:t> </w:t>
            </w:r>
          </w:p>
        </w:tc>
        <w:tc>
          <w:tcPr>
            <w:tcW w:w="138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3, 2004</w:t>
            </w:r>
          </w:p>
        </w:tc>
        <w:tc>
          <w:tcPr>
            <w:tcW w:w="174" w:type="dxa"/>
            <w:tcBorders/>
            <w:shd w:fill="auto" w:val="clear"/>
            <w:vAlign w:val="bottom"/>
          </w:tcPr>
          <w:p>
            <w:pPr>
              <w:pStyle w:val="TableContents"/>
              <w:spacing w:before="0" w:after="0"/>
              <w:ind w:left="0" w:right="0" w:hanging="0"/>
              <w:rPr/>
            </w:pPr>
            <w:r>
              <w:rPr/>
              <w:t> </w:t>
            </w:r>
          </w:p>
        </w:tc>
      </w:tr>
      <w:tr>
        <w:trPr/>
        <w:tc>
          <w:tcPr>
            <w:tcW w:w="23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net revenue</w:t>
            </w:r>
          </w:p>
        </w:tc>
        <w:tc>
          <w:tcPr>
            <w:tcW w:w="173"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1,651</w:t>
            </w:r>
          </w:p>
        </w:tc>
        <w:tc>
          <w:tcPr>
            <w:tcW w:w="173"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13,610</w:t>
            </w:r>
          </w:p>
        </w:tc>
        <w:tc>
          <w:tcPr>
            <w:tcW w:w="174" w:type="dxa"/>
            <w:tcBorders/>
            <w:shd w:fill="CCEEFF" w:val="clear"/>
            <w:vAlign w:val="bottom"/>
          </w:tcPr>
          <w:p>
            <w:pPr>
              <w:pStyle w:val="TableContents"/>
              <w:spacing w:before="0" w:after="0"/>
              <w:ind w:left="0" w:right="0" w:hanging="0"/>
              <w:rPr/>
            </w:pPr>
            <w:r>
              <w:rPr/>
              <w:t> </w:t>
            </w:r>
          </w:p>
        </w:tc>
      </w:tr>
      <w:tr>
        <w:trPr/>
        <w:tc>
          <w:tcPr>
            <w:tcW w:w="23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Operating income</w:t>
            </w:r>
          </w:p>
        </w:tc>
        <w:tc>
          <w:tcPr>
            <w:tcW w:w="173"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w:t>
            </w:r>
          </w:p>
        </w:tc>
        <w:tc>
          <w:tcPr>
            <w:tcW w:w="173"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2,417</w:t>
            </w:r>
          </w:p>
        </w:tc>
        <w:tc>
          <w:tcPr>
            <w:tcW w:w="174" w:type="dxa"/>
            <w:tcBorders/>
            <w:shd w:fill="auto" w:val="clear"/>
            <w:vAlign w:val="bottom"/>
          </w:tcPr>
          <w:p>
            <w:pPr>
              <w:pStyle w:val="TableContents"/>
              <w:spacing w:before="0" w:after="0"/>
              <w:ind w:left="0" w:right="0" w:hanging="0"/>
              <w:rPr/>
            </w:pPr>
            <w:r>
              <w:rPr/>
              <w:t> </w:t>
            </w:r>
          </w:p>
        </w:tc>
      </w:tr>
      <w:tr>
        <w:trPr/>
        <w:tc>
          <w:tcPr>
            <w:tcW w:w="23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Loss on disposal</w:t>
            </w:r>
          </w:p>
        </w:tc>
        <w:tc>
          <w:tcPr>
            <w:tcW w:w="173"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1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3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Income taxes</w:t>
            </w:r>
          </w:p>
        </w:tc>
        <w:tc>
          <w:tcPr>
            <w:tcW w:w="173"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73"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17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left"/>
        <w:rPr>
          <w:rFonts w:ascii="Times New Roman" w:hAnsi="Times New Roman"/>
          <w:b/>
          <w:i/>
          <w:sz w:val="17"/>
        </w:rPr>
      </w:pPr>
      <w:r>
        <w:rPr>
          <w:rFonts w:ascii="Times New Roman" w:hAnsi="Times New Roman"/>
          <w:b/>
          <w:i/>
          <w:sz w:val="17"/>
        </w:rPr>
        <w:t>LEASE AGREEMENTS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b/>
          <w:i/>
          <w:sz w:val="17"/>
        </w:rPr>
        <w:t>Vision Center Lease Agreements</w:t>
      </w:r>
      <w:r>
        <w:rPr>
          <w:rFonts w:ascii="Times New Roman" w:hAnsi="Times New Roman"/>
          <w:i/>
          <w:sz w:val="17"/>
        </w:rPr>
        <w:t>.</w:t>
      </w:r>
      <w:r>
        <w:rPr>
          <w:rFonts w:ascii="Times New Roman" w:hAnsi="Times New Roman"/>
          <w:sz w:val="17"/>
        </w:rPr>
        <w:t xml:space="preserve"> Our retail vision center operations are governed by occupancy agreements, all but eight of which are with our hosts.  The table below sets forth the number of vision center openings and closings during the six months ended July 2, 2005.</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21</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tbl>
      <w:tblPr>
        <w:tblW w:w="4500" w:type="pct"/>
        <w:jc w:val="left"/>
        <w:tblInd w:w="0" w:type="dxa"/>
        <w:tblCellMar>
          <w:top w:w="0" w:type="dxa"/>
          <w:left w:w="0" w:type="dxa"/>
          <w:bottom w:w="0" w:type="dxa"/>
          <w:right w:w="0" w:type="dxa"/>
        </w:tblCellMar>
      </w:tblPr>
      <w:tblGrid>
        <w:gridCol w:w="2543"/>
        <w:gridCol w:w="195"/>
        <w:gridCol w:w="879"/>
        <w:gridCol w:w="195"/>
        <w:gridCol w:w="879"/>
        <w:gridCol w:w="195"/>
        <w:gridCol w:w="880"/>
        <w:gridCol w:w="195"/>
        <w:gridCol w:w="879"/>
        <w:gridCol w:w="195"/>
        <w:gridCol w:w="879"/>
        <w:gridCol w:w="195"/>
        <w:gridCol w:w="880"/>
        <w:gridCol w:w="195"/>
      </w:tblGrid>
      <w:tr>
        <w:trPr/>
        <w:tc>
          <w:tcPr>
            <w:tcW w:w="2543" w:type="dxa"/>
            <w:tcBorders/>
            <w:shd w:fill="auto" w:val="clear"/>
            <w:vAlign w:val="bottom"/>
          </w:tcPr>
          <w:p>
            <w:pPr>
              <w:pStyle w:val="TableContents"/>
              <w:spacing w:before="0" w:after="0"/>
              <w:ind w:left="0" w:right="0" w:hanging="0"/>
              <w:jc w:val="center"/>
              <w:rPr/>
            </w:pPr>
            <w:r>
              <w:rPr/>
              <w:t> </w:t>
            </w:r>
          </w:p>
        </w:tc>
        <w:tc>
          <w:tcPr>
            <w:tcW w:w="195" w:type="dxa"/>
            <w:tcBorders/>
            <w:shd w:fill="auto" w:val="clear"/>
            <w:vAlign w:val="bottom"/>
          </w:tcPr>
          <w:p>
            <w:pPr>
              <w:pStyle w:val="TableContents"/>
              <w:spacing w:before="0" w:after="0"/>
              <w:ind w:left="0" w:right="0" w:hanging="0"/>
              <w:rPr/>
            </w:pPr>
            <w:r>
              <w:rPr/>
              <w:t> </w:t>
            </w:r>
          </w:p>
        </w:tc>
        <w:tc>
          <w:tcPr>
            <w:tcW w:w="87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Inside</w:t>
              <w:br/>
              <w:t>U.S.</w:t>
              <w:br/>
              <w:t>Wal-Mart</w:t>
              <w:br/>
              <w:t>Stores</w:t>
            </w:r>
          </w:p>
        </w:tc>
        <w:tc>
          <w:tcPr>
            <w:tcW w:w="195" w:type="dxa"/>
            <w:tcBorders/>
            <w:shd w:fill="auto" w:val="clear"/>
            <w:vAlign w:val="bottom"/>
          </w:tcPr>
          <w:p>
            <w:pPr>
              <w:pStyle w:val="TableContents"/>
              <w:spacing w:before="0" w:after="0"/>
              <w:ind w:left="0" w:right="0" w:hanging="0"/>
              <w:rPr/>
            </w:pPr>
            <w:r>
              <w:rPr/>
              <w:t> </w:t>
            </w:r>
          </w:p>
        </w:tc>
        <w:tc>
          <w:tcPr>
            <w:tcW w:w="87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Inside</w:t>
              <w:br/>
              <w:t>Wal-Mart</w:t>
              <w:br/>
              <w:t>Stores</w:t>
              <w:br/>
              <w:t>in Mexico</w:t>
            </w:r>
          </w:p>
        </w:tc>
        <w:tc>
          <w:tcPr>
            <w:tcW w:w="195" w:type="dxa"/>
            <w:tcBorders/>
            <w:shd w:fill="auto" w:val="clear"/>
            <w:vAlign w:val="bottom"/>
          </w:tcPr>
          <w:p>
            <w:pPr>
              <w:pStyle w:val="TableContents"/>
              <w:spacing w:before="0" w:after="0"/>
              <w:ind w:left="0" w:right="0" w:hanging="0"/>
              <w:rPr/>
            </w:pPr>
            <w:r>
              <w:rPr/>
              <w:t> </w:t>
            </w:r>
          </w:p>
        </w:tc>
        <w:tc>
          <w:tcPr>
            <w:tcW w:w="88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Inside</w:t>
              <w:br/>
              <w:t>Fred</w:t>
              <w:br/>
              <w:t>Meyer</w:t>
              <w:br/>
              <w:t>Stores</w:t>
            </w:r>
          </w:p>
        </w:tc>
        <w:tc>
          <w:tcPr>
            <w:tcW w:w="195" w:type="dxa"/>
            <w:tcBorders/>
            <w:shd w:fill="auto" w:val="clear"/>
            <w:vAlign w:val="bottom"/>
          </w:tcPr>
          <w:p>
            <w:pPr>
              <w:pStyle w:val="TableContents"/>
              <w:spacing w:before="0" w:after="0"/>
              <w:ind w:left="0" w:right="0" w:hanging="0"/>
              <w:rPr/>
            </w:pPr>
            <w:r>
              <w:rPr/>
              <w:t> </w:t>
            </w:r>
          </w:p>
        </w:tc>
        <w:tc>
          <w:tcPr>
            <w:tcW w:w="87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On</w:t>
              <w:br/>
              <w:t>U.S.</w:t>
              <w:br/>
              <w:t>Military</w:t>
              <w:br/>
              <w:t>Bases</w:t>
            </w:r>
          </w:p>
        </w:tc>
        <w:tc>
          <w:tcPr>
            <w:tcW w:w="195" w:type="dxa"/>
            <w:tcBorders/>
            <w:shd w:fill="auto" w:val="clear"/>
            <w:vAlign w:val="bottom"/>
          </w:tcPr>
          <w:p>
            <w:pPr>
              <w:pStyle w:val="TableContents"/>
              <w:spacing w:before="0" w:after="0"/>
              <w:ind w:left="0" w:right="0" w:hanging="0"/>
              <w:rPr/>
            </w:pPr>
            <w:r>
              <w:rPr/>
              <w:t> </w:t>
            </w:r>
          </w:p>
        </w:tc>
        <w:tc>
          <w:tcPr>
            <w:tcW w:w="87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Free-</w:t>
              <w:br/>
              <w:t>Standing</w:t>
              <w:br/>
              <w:t>Stores</w:t>
            </w:r>
          </w:p>
        </w:tc>
        <w:tc>
          <w:tcPr>
            <w:tcW w:w="195" w:type="dxa"/>
            <w:tcBorders/>
            <w:shd w:fill="auto" w:val="clear"/>
            <w:vAlign w:val="bottom"/>
          </w:tcPr>
          <w:p>
            <w:pPr>
              <w:pStyle w:val="TableContents"/>
              <w:spacing w:before="0" w:after="0"/>
              <w:ind w:left="0" w:right="0" w:hanging="0"/>
              <w:rPr/>
            </w:pPr>
            <w:r>
              <w:rPr/>
              <w:t> </w:t>
            </w:r>
          </w:p>
        </w:tc>
        <w:tc>
          <w:tcPr>
            <w:tcW w:w="88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br/>
              <w:t>No. of</w:t>
              <w:br/>
              <w:t>Vision</w:t>
              <w:br/>
              <w:t>Centers</w:t>
            </w:r>
          </w:p>
        </w:tc>
        <w:tc>
          <w:tcPr>
            <w:tcW w:w="195" w:type="dxa"/>
            <w:tcBorders/>
            <w:shd w:fill="auto" w:val="clear"/>
            <w:vAlign w:val="bottom"/>
          </w:tcPr>
          <w:p>
            <w:pPr>
              <w:pStyle w:val="TableContents"/>
              <w:spacing w:before="0" w:after="0"/>
              <w:ind w:left="0" w:right="0" w:hanging="0"/>
              <w:rPr/>
            </w:pPr>
            <w:r>
              <w:rPr/>
              <w:t> </w:t>
            </w:r>
          </w:p>
        </w:tc>
      </w:tr>
      <w:tr>
        <w:trPr/>
        <w:tc>
          <w:tcPr>
            <w:tcW w:w="2543"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79" w:type="dxa"/>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879" w:type="dxa"/>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880" w:type="dxa"/>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879" w:type="dxa"/>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879" w:type="dxa"/>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880" w:type="dxa"/>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r>
      <w:tr>
        <w:trPr/>
        <w:tc>
          <w:tcPr>
            <w:tcW w:w="254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Store count, January 1, 2005</w:t>
            </w:r>
          </w:p>
        </w:tc>
        <w:tc>
          <w:tcPr>
            <w:tcW w:w="195" w:type="dxa"/>
            <w:tcBorders/>
            <w:shd w:fill="CCEEFF" w:val="clear"/>
            <w:vAlign w:val="bottom"/>
          </w:tcPr>
          <w:p>
            <w:pPr>
              <w:pStyle w:val="TableContents"/>
              <w:spacing w:before="0" w:after="0"/>
              <w:ind w:left="0" w:right="0" w:hanging="0"/>
              <w:rPr/>
            </w:pPr>
            <w:r>
              <w:rPr/>
              <w:t> </w:t>
            </w:r>
          </w:p>
        </w:tc>
        <w:tc>
          <w:tcPr>
            <w:tcW w:w="87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304</w:t>
            </w:r>
          </w:p>
        </w:tc>
        <w:tc>
          <w:tcPr>
            <w:tcW w:w="195" w:type="dxa"/>
            <w:tcBorders/>
            <w:shd w:fill="CCEEFF" w:val="clear"/>
            <w:vAlign w:val="bottom"/>
          </w:tcPr>
          <w:p>
            <w:pPr>
              <w:pStyle w:val="TableContents"/>
              <w:spacing w:before="0" w:after="0"/>
              <w:ind w:left="0" w:right="0" w:hanging="0"/>
              <w:rPr/>
            </w:pPr>
            <w:r>
              <w:rPr/>
              <w:t> </w:t>
            </w:r>
          </w:p>
        </w:tc>
        <w:tc>
          <w:tcPr>
            <w:tcW w:w="87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95" w:type="dxa"/>
            <w:tcBorders/>
            <w:shd w:fill="CCEEFF" w:val="clear"/>
            <w:vAlign w:val="bottom"/>
          </w:tcPr>
          <w:p>
            <w:pPr>
              <w:pStyle w:val="TableContents"/>
              <w:spacing w:before="0" w:after="0"/>
              <w:ind w:left="0" w:right="0" w:hanging="0"/>
              <w:rPr/>
            </w:pPr>
            <w:r>
              <w:rPr/>
              <w:t> </w:t>
            </w:r>
          </w:p>
        </w:tc>
        <w:tc>
          <w:tcPr>
            <w:tcW w:w="8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95" w:type="dxa"/>
            <w:tcBorders/>
            <w:shd w:fill="CCEEFF" w:val="clear"/>
            <w:vAlign w:val="bottom"/>
          </w:tcPr>
          <w:p>
            <w:pPr>
              <w:pStyle w:val="TableContents"/>
              <w:spacing w:before="0" w:after="0"/>
              <w:ind w:left="0" w:right="0" w:hanging="0"/>
              <w:rPr/>
            </w:pPr>
            <w:r>
              <w:rPr/>
              <w:t> </w:t>
            </w:r>
          </w:p>
        </w:tc>
        <w:tc>
          <w:tcPr>
            <w:tcW w:w="87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95" w:type="dxa"/>
            <w:tcBorders/>
            <w:shd w:fill="CCEEFF" w:val="clear"/>
            <w:vAlign w:val="bottom"/>
          </w:tcPr>
          <w:p>
            <w:pPr>
              <w:pStyle w:val="TableContents"/>
              <w:spacing w:before="0" w:after="0"/>
              <w:ind w:left="0" w:right="0" w:hanging="0"/>
              <w:rPr/>
            </w:pPr>
            <w:r>
              <w:rPr/>
              <w:t> </w:t>
            </w:r>
          </w:p>
        </w:tc>
        <w:tc>
          <w:tcPr>
            <w:tcW w:w="87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5" w:type="dxa"/>
            <w:tcBorders/>
            <w:shd w:fill="CCEEFF" w:val="clear"/>
            <w:vAlign w:val="bottom"/>
          </w:tcPr>
          <w:p>
            <w:pPr>
              <w:pStyle w:val="TableContents"/>
              <w:spacing w:before="0" w:after="0"/>
              <w:ind w:left="0" w:right="0" w:hanging="0"/>
              <w:rPr/>
            </w:pPr>
            <w:r>
              <w:rPr/>
              <w:t> </w:t>
            </w:r>
          </w:p>
        </w:tc>
        <w:tc>
          <w:tcPr>
            <w:tcW w:w="880" w:type="dxa"/>
            <w:tcBorders/>
            <w:shd w:fill="CCEEFF"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416</w:t>
            </w:r>
          </w:p>
        </w:tc>
        <w:tc>
          <w:tcPr>
            <w:tcW w:w="195" w:type="dxa"/>
            <w:tcBorders/>
            <w:shd w:fill="CCEEFF" w:val="clear"/>
            <w:vAlign w:val="bottom"/>
          </w:tcPr>
          <w:p>
            <w:pPr>
              <w:pStyle w:val="TableContents"/>
              <w:spacing w:before="0" w:after="0"/>
              <w:ind w:left="0" w:right="0" w:hanging="0"/>
              <w:rPr/>
            </w:pPr>
            <w:r>
              <w:rPr/>
              <w:t> </w:t>
            </w:r>
          </w:p>
        </w:tc>
      </w:tr>
      <w:tr>
        <w:trPr/>
        <w:tc>
          <w:tcPr>
            <w:tcW w:w="25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Store openings</w:t>
            </w:r>
          </w:p>
        </w:tc>
        <w:tc>
          <w:tcPr>
            <w:tcW w:w="195" w:type="dxa"/>
            <w:tcBorders/>
            <w:shd w:fill="auto" w:val="clear"/>
            <w:vAlign w:val="bottom"/>
          </w:tcPr>
          <w:p>
            <w:pPr>
              <w:pStyle w:val="TableContents"/>
              <w:spacing w:before="0" w:after="0"/>
              <w:ind w:left="0" w:right="0" w:hanging="0"/>
              <w:rPr/>
            </w:pPr>
            <w:r>
              <w:rPr/>
              <w:t> </w:t>
            </w:r>
          </w:p>
        </w:tc>
        <w:tc>
          <w:tcPr>
            <w:tcW w:w="879" w:type="dxa"/>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87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5" w:type="dxa"/>
            <w:tcBorders/>
            <w:shd w:fill="auto" w:val="clear"/>
            <w:vAlign w:val="bottom"/>
          </w:tcPr>
          <w:p>
            <w:pPr>
              <w:pStyle w:val="TableContents"/>
              <w:spacing w:before="0" w:after="0"/>
              <w:ind w:left="0" w:right="0" w:hanging="0"/>
              <w:rPr/>
            </w:pPr>
            <w:r>
              <w:rPr/>
              <w:t> </w:t>
            </w:r>
          </w:p>
        </w:tc>
        <w:tc>
          <w:tcPr>
            <w:tcW w:w="880" w:type="dxa"/>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87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95" w:type="dxa"/>
            <w:tcBorders/>
            <w:shd w:fill="auto" w:val="clear"/>
            <w:vAlign w:val="bottom"/>
          </w:tcPr>
          <w:p>
            <w:pPr>
              <w:pStyle w:val="TableContents"/>
              <w:spacing w:before="0" w:after="0"/>
              <w:ind w:left="0" w:right="0" w:hanging="0"/>
              <w:rPr/>
            </w:pPr>
            <w:r>
              <w:rPr/>
              <w:t> </w:t>
            </w:r>
          </w:p>
        </w:tc>
        <w:tc>
          <w:tcPr>
            <w:tcW w:w="87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5" w:type="dxa"/>
            <w:tcBorders/>
            <w:shd w:fill="auto" w:val="clear"/>
            <w:vAlign w:val="bottom"/>
          </w:tcPr>
          <w:p>
            <w:pPr>
              <w:pStyle w:val="TableContents"/>
              <w:spacing w:before="0" w:after="0"/>
              <w:ind w:left="0" w:right="0" w:hanging="0"/>
              <w:rPr/>
            </w:pPr>
            <w:r>
              <w:rPr/>
              <w:t> </w:t>
            </w:r>
          </w:p>
        </w:tc>
        <w:tc>
          <w:tcPr>
            <w:tcW w:w="880" w:type="dxa"/>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14</w:t>
            </w:r>
          </w:p>
        </w:tc>
        <w:tc>
          <w:tcPr>
            <w:tcW w:w="195" w:type="dxa"/>
            <w:tcBorders/>
            <w:shd w:fill="auto" w:val="clear"/>
            <w:vAlign w:val="bottom"/>
          </w:tcPr>
          <w:p>
            <w:pPr>
              <w:pStyle w:val="TableContents"/>
              <w:spacing w:before="0" w:after="0"/>
              <w:ind w:left="0" w:right="0" w:hanging="0"/>
              <w:rPr/>
            </w:pPr>
            <w:r>
              <w:rPr/>
              <w:t> </w:t>
            </w:r>
          </w:p>
        </w:tc>
      </w:tr>
      <w:tr>
        <w:trPr/>
        <w:tc>
          <w:tcPr>
            <w:tcW w:w="254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Store closings</w:t>
            </w:r>
          </w:p>
        </w:tc>
        <w:tc>
          <w:tcPr>
            <w:tcW w:w="195" w:type="dxa"/>
            <w:tcBorders/>
            <w:shd w:fill="CCEEFF" w:val="clear"/>
            <w:vAlign w:val="bottom"/>
          </w:tcPr>
          <w:p>
            <w:pPr>
              <w:pStyle w:val="TableContents"/>
              <w:spacing w:before="0" w:after="0"/>
              <w:ind w:left="0" w:right="0" w:hanging="0"/>
              <w:rPr/>
            </w:pPr>
            <w:r>
              <w:rPr/>
              <w:t> </w:t>
            </w:r>
          </w:p>
        </w:tc>
        <w:tc>
          <w:tcPr>
            <w:tcW w:w="87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0" w:type="dxa"/>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879" w:type="dxa"/>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879" w:type="dxa"/>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88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(18</w:t>
            </w:r>
          </w:p>
        </w:tc>
        <w:tc>
          <w:tcPr>
            <w:tcW w:w="19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r>
      <w:tr>
        <w:trPr/>
        <w:tc>
          <w:tcPr>
            <w:tcW w:w="2543"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79" w:type="dxa"/>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879" w:type="dxa"/>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880" w:type="dxa"/>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879" w:type="dxa"/>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879" w:type="dxa"/>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880" w:type="dxa"/>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r>
      <w:tr>
        <w:trPr/>
        <w:tc>
          <w:tcPr>
            <w:tcW w:w="254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Store count, July 2, 2005</w:t>
            </w:r>
          </w:p>
        </w:tc>
        <w:tc>
          <w:tcPr>
            <w:tcW w:w="195" w:type="dxa"/>
            <w:tcBorders/>
            <w:shd w:fill="CCEEFF" w:val="clear"/>
            <w:vAlign w:val="bottom"/>
          </w:tcPr>
          <w:p>
            <w:pPr>
              <w:pStyle w:val="TableContents"/>
              <w:spacing w:before="0" w:after="0"/>
              <w:ind w:left="0" w:right="0" w:hanging="0"/>
              <w:rPr/>
            </w:pPr>
            <w:r>
              <w:rPr/>
              <w:t> </w:t>
            </w:r>
          </w:p>
        </w:tc>
        <w:tc>
          <w:tcPr>
            <w:tcW w:w="879"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w:t>
            </w:r>
          </w:p>
        </w:tc>
        <w:tc>
          <w:tcPr>
            <w:tcW w:w="195" w:type="dxa"/>
            <w:tcBorders/>
            <w:shd w:fill="CCEEFF" w:val="clear"/>
            <w:vAlign w:val="bottom"/>
          </w:tcPr>
          <w:p>
            <w:pPr>
              <w:pStyle w:val="TableContents"/>
              <w:spacing w:before="0" w:after="0"/>
              <w:ind w:left="0" w:right="0" w:hanging="0"/>
              <w:rPr/>
            </w:pPr>
            <w:r>
              <w:rPr/>
              <w:t> </w:t>
            </w:r>
          </w:p>
        </w:tc>
        <w:tc>
          <w:tcPr>
            <w:tcW w:w="879"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95" w:type="dxa"/>
            <w:tcBorders/>
            <w:shd w:fill="CCEEFF" w:val="clear"/>
            <w:vAlign w:val="bottom"/>
          </w:tcPr>
          <w:p>
            <w:pPr>
              <w:pStyle w:val="TableContents"/>
              <w:spacing w:before="0" w:after="0"/>
              <w:ind w:left="0" w:right="0" w:hanging="0"/>
              <w:rPr/>
            </w:pPr>
            <w:r>
              <w:rPr/>
              <w:t> </w:t>
            </w:r>
          </w:p>
        </w:tc>
        <w:tc>
          <w:tcPr>
            <w:tcW w:w="880"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95" w:type="dxa"/>
            <w:tcBorders/>
            <w:shd w:fill="CCEEFF" w:val="clear"/>
            <w:vAlign w:val="bottom"/>
          </w:tcPr>
          <w:p>
            <w:pPr>
              <w:pStyle w:val="TableContents"/>
              <w:spacing w:before="0" w:after="0"/>
              <w:ind w:left="0" w:right="0" w:hanging="0"/>
              <w:rPr/>
            </w:pPr>
            <w:r>
              <w:rPr/>
              <w:t> </w:t>
            </w:r>
          </w:p>
        </w:tc>
        <w:tc>
          <w:tcPr>
            <w:tcW w:w="879"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95" w:type="dxa"/>
            <w:tcBorders/>
            <w:shd w:fill="CCEEFF" w:val="clear"/>
            <w:vAlign w:val="bottom"/>
          </w:tcPr>
          <w:p>
            <w:pPr>
              <w:pStyle w:val="TableContents"/>
              <w:spacing w:before="0" w:after="0"/>
              <w:ind w:left="0" w:right="0" w:hanging="0"/>
              <w:rPr/>
            </w:pPr>
            <w:r>
              <w:rPr/>
              <w:t> </w:t>
            </w:r>
          </w:p>
        </w:tc>
        <w:tc>
          <w:tcPr>
            <w:tcW w:w="879"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95" w:type="dxa"/>
            <w:tcBorders/>
            <w:shd w:fill="CCEEFF" w:val="clear"/>
            <w:vAlign w:val="bottom"/>
          </w:tcPr>
          <w:p>
            <w:pPr>
              <w:pStyle w:val="TableContents"/>
              <w:spacing w:before="0" w:after="0"/>
              <w:ind w:left="0" w:right="0" w:hanging="0"/>
              <w:rPr/>
            </w:pPr>
            <w:r>
              <w:rPr/>
              <w:t> </w:t>
            </w:r>
          </w:p>
        </w:tc>
        <w:tc>
          <w:tcPr>
            <w:tcW w:w="880" w:type="dxa"/>
            <w:tcBorders>
              <w:bottom w:val="double" w:sz="4"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412</w:t>
            </w:r>
          </w:p>
        </w:tc>
        <w:tc>
          <w:tcPr>
            <w:tcW w:w="195" w:type="dxa"/>
            <w:tcBorders/>
            <w:shd w:fill="CCEEFF" w:val="clear"/>
            <w:vAlign w:val="bottom"/>
          </w:tcPr>
          <w:p>
            <w:pPr>
              <w:pStyle w:val="TableContents"/>
              <w:spacing w:before="0" w:after="0"/>
              <w:ind w:left="0" w:right="0" w:hanging="0"/>
              <w:rPr/>
            </w:pPr>
            <w:r>
              <w:rPr/>
              <w:t> </w:t>
            </w:r>
          </w:p>
        </w:tc>
      </w:tr>
      <w:tr>
        <w:trPr/>
        <w:tc>
          <w:tcPr>
            <w:tcW w:w="25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change during period</w:t>
            </w:r>
          </w:p>
        </w:tc>
        <w:tc>
          <w:tcPr>
            <w:tcW w:w="195" w:type="dxa"/>
            <w:tcBorders/>
            <w:shd w:fill="auto" w:val="clear"/>
            <w:vAlign w:val="bottom"/>
          </w:tcPr>
          <w:p>
            <w:pPr>
              <w:pStyle w:val="TableContents"/>
              <w:spacing w:before="0" w:after="0"/>
              <w:ind w:left="0" w:right="0" w:hanging="0"/>
              <w:rPr/>
            </w:pPr>
            <w:r>
              <w:rPr/>
              <w:t> </w:t>
            </w:r>
          </w:p>
        </w:tc>
        <w:tc>
          <w:tcPr>
            <w:tcW w:w="879" w:type="dxa"/>
            <w:tcBorders>
              <w:bottom w:val="double" w:sz="4"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9" w:type="dxa"/>
            <w:tcBorders>
              <w:bottom w:val="double" w:sz="4"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0" w:type="dxa"/>
            <w:tcBorders>
              <w:bottom w:val="double" w:sz="4"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c>
          <w:tcPr>
            <w:tcW w:w="879" w:type="dxa"/>
            <w:tcBorders>
              <w:bottom w:val="double" w:sz="4"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95" w:type="dxa"/>
            <w:tcBorders/>
            <w:shd w:fill="auto" w:val="clear"/>
            <w:vAlign w:val="bottom"/>
          </w:tcPr>
          <w:p>
            <w:pPr>
              <w:pStyle w:val="TableContents"/>
              <w:spacing w:before="0" w:after="0"/>
              <w:ind w:left="0" w:right="0" w:hanging="0"/>
              <w:rPr/>
            </w:pPr>
            <w:r>
              <w:rPr/>
              <w:t> </w:t>
            </w:r>
          </w:p>
        </w:tc>
        <w:tc>
          <w:tcPr>
            <w:tcW w:w="879" w:type="dxa"/>
            <w:tcBorders>
              <w:bottom w:val="double" w:sz="4"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5" w:type="dxa"/>
            <w:tcBorders/>
            <w:shd w:fill="auto" w:val="clear"/>
            <w:vAlign w:val="bottom"/>
          </w:tcPr>
          <w:p>
            <w:pPr>
              <w:pStyle w:val="TableContents"/>
              <w:spacing w:before="0" w:after="0"/>
              <w:ind w:left="0" w:right="0" w:hanging="0"/>
              <w:rPr/>
            </w:pPr>
            <w:r>
              <w:rPr/>
              <w:t> </w:t>
            </w:r>
          </w:p>
        </w:tc>
        <w:tc>
          <w:tcPr>
            <w:tcW w:w="880" w:type="dxa"/>
            <w:tcBorders>
              <w:bottom w:val="double" w:sz="4"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w:t>
            </w:r>
          </w:p>
        </w:tc>
        <w:tc>
          <w:tcPr>
            <w:tcW w:w="195"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All 14 domestic Wal-Mart closings were the result of lease expirations.  Six of these stores were relocated to freestanding vision center locations.  The four closings in Wal-Mart de Mexico stores were made at our request due to the poor operating results and prospects of those stores.</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sz w:val="17"/>
        </w:rPr>
      </w:pPr>
      <w:r>
        <w:rPr>
          <w:rFonts w:ascii="Times New Roman" w:hAnsi="Times New Roman"/>
          <w:b/>
          <w:i/>
          <w:sz w:val="17"/>
        </w:rPr>
        <w:t xml:space="preserve">Lease Expiration Dates. </w:t>
      </w:r>
      <w:r>
        <w:rPr>
          <w:rFonts w:ascii="Times New Roman" w:hAnsi="Times New Roman"/>
          <w:sz w:val="17"/>
        </w:rPr>
        <w:t>The following table sets forth the number of our vision center leases that we expect to expire during the remainder of 2005 and in each year thereafter until the final projected expiration of all leases.  In the first six-months of 2005 three of our domestic Wal-Mart leases were extended as a result of conversion to Supercenters.  We expect the leases for another 10 of our domestic Wal-Mart vision centers to be extended as a result of Supercenter conversions scheduled for the balance of 2005 and 2006.  These conversions are reflected in the table below.  We can provide no assurance that these 10 expected lease extensions will in fact occur.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entered into a new lease agreement with Wal-Mart de Mexico effective June 1, 2005 under which the lease terms for all of our Mexico vision centers will expire on July 31, 2007.  Prior to June 1, 2005 each vision center in Mexico had a separate lease term with expirations occurring through November 2011.  Also prior to signing the new lease agreement, 13 of our Mexico vision centers were operating on a month-to-month lease.</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817"/>
        <w:gridCol w:w="113"/>
        <w:gridCol w:w="795"/>
        <w:gridCol w:w="112"/>
        <w:gridCol w:w="454"/>
        <w:gridCol w:w="113"/>
        <w:gridCol w:w="454"/>
        <w:gridCol w:w="113"/>
        <w:gridCol w:w="454"/>
        <w:gridCol w:w="112"/>
        <w:gridCol w:w="454"/>
        <w:gridCol w:w="113"/>
        <w:gridCol w:w="454"/>
        <w:gridCol w:w="113"/>
        <w:gridCol w:w="454"/>
        <w:gridCol w:w="113"/>
        <w:gridCol w:w="454"/>
        <w:gridCol w:w="112"/>
        <w:gridCol w:w="454"/>
        <w:gridCol w:w="113"/>
        <w:gridCol w:w="454"/>
        <w:gridCol w:w="113"/>
        <w:gridCol w:w="454"/>
        <w:gridCol w:w="112"/>
        <w:gridCol w:w="454"/>
        <w:gridCol w:w="113"/>
        <w:gridCol w:w="454"/>
        <w:gridCol w:w="113"/>
        <w:gridCol w:w="454"/>
        <w:gridCol w:w="113"/>
      </w:tblGrid>
      <w:tr>
        <w:trPr/>
        <w:tc>
          <w:tcPr>
            <w:tcW w:w="1817" w:type="dxa"/>
            <w:tcBorders/>
            <w:shd w:fill="auto" w:val="clear"/>
            <w:vAlign w:val="bottom"/>
          </w:tcPr>
          <w:p>
            <w:pPr>
              <w:pStyle w:val="TableContents"/>
              <w:spacing w:before="0" w:after="0"/>
              <w:ind w:left="0" w:right="0" w:hanging="0"/>
              <w:jc w:val="center"/>
              <w:rPr/>
            </w:pPr>
            <w:r>
              <w:rPr/>
              <w:t> </w:t>
            </w:r>
          </w:p>
        </w:tc>
        <w:tc>
          <w:tcPr>
            <w:tcW w:w="113" w:type="dxa"/>
            <w:tcBorders/>
            <w:shd w:fill="auto" w:val="clear"/>
            <w:vAlign w:val="bottom"/>
          </w:tcPr>
          <w:p>
            <w:pPr>
              <w:pStyle w:val="TableContents"/>
              <w:spacing w:before="0" w:after="0"/>
              <w:ind w:left="0" w:right="0" w:hanging="0"/>
              <w:rPr/>
            </w:pPr>
            <w:r>
              <w:rPr/>
              <w:t> </w:t>
            </w:r>
          </w:p>
        </w:tc>
        <w:tc>
          <w:tcPr>
            <w:tcW w:w="8162" w:type="dxa"/>
            <w:gridSpan w:val="27"/>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Leases Expiring In Fiscal Year</w:t>
            </w:r>
          </w:p>
        </w:tc>
        <w:tc>
          <w:tcPr>
            <w:tcW w:w="113" w:type="dxa"/>
            <w:tcBorders/>
            <w:shd w:fill="auto" w:val="clear"/>
            <w:vAlign w:val="bottom"/>
          </w:tcPr>
          <w:p>
            <w:pPr>
              <w:pStyle w:val="TableContents"/>
              <w:spacing w:before="0" w:after="0"/>
              <w:ind w:left="0" w:right="0" w:hanging="0"/>
              <w:rPr/>
            </w:pPr>
            <w:r>
              <w:rPr/>
              <w:t> </w:t>
            </w:r>
          </w:p>
        </w:tc>
      </w:tr>
      <w:tr>
        <w:trPr/>
        <w:tc>
          <w:tcPr>
            <w:tcW w:w="1817" w:type="dxa"/>
            <w:tcBorders/>
            <w:shd w:fill="auto" w:val="clear"/>
            <w:vAlign w:val="bottom"/>
          </w:tcPr>
          <w:p>
            <w:pPr>
              <w:pStyle w:val="TableContents"/>
              <w:spacing w:before="0" w:after="0"/>
              <w:ind w:left="0" w:right="0" w:hanging="0"/>
              <w:jc w:val="center"/>
              <w:rPr/>
            </w:pPr>
            <w:r>
              <w:rPr/>
              <w:t> </w:t>
            </w:r>
          </w:p>
        </w:tc>
        <w:tc>
          <w:tcPr>
            <w:tcW w:w="113" w:type="dxa"/>
            <w:tcBorders/>
            <w:shd w:fill="auto" w:val="clear"/>
            <w:vAlign w:val="bottom"/>
          </w:tcPr>
          <w:p>
            <w:pPr>
              <w:pStyle w:val="TableContents"/>
              <w:spacing w:before="0" w:after="0"/>
              <w:ind w:left="0" w:right="0" w:hanging="0"/>
              <w:rPr/>
            </w:pPr>
            <w:r>
              <w:rPr/>
              <w:t> </w:t>
            </w:r>
          </w:p>
        </w:tc>
        <w:tc>
          <w:tcPr>
            <w:tcW w:w="79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Remainder</w:t>
              <w:br/>
              <w:t>of</w:t>
              <w:br/>
              <w:t>2005</w:t>
            </w:r>
          </w:p>
        </w:tc>
        <w:tc>
          <w:tcPr>
            <w:tcW w:w="112" w:type="dxa"/>
            <w:tcBorders/>
            <w:shd w:fill="auto" w:val="clear"/>
            <w:vAlign w:val="bottom"/>
          </w:tcPr>
          <w:p>
            <w:pPr>
              <w:pStyle w:val="TableContents"/>
              <w:spacing w:before="0" w:after="0"/>
              <w:ind w:left="0" w:right="0" w:hanging="0"/>
              <w:rPr/>
            </w:pPr>
            <w:r>
              <w:rPr/>
              <w:t> </w:t>
            </w:r>
          </w:p>
        </w:tc>
        <w:tc>
          <w:tcPr>
            <w:tcW w:w="45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2006</w:t>
            </w:r>
          </w:p>
        </w:tc>
        <w:tc>
          <w:tcPr>
            <w:tcW w:w="113" w:type="dxa"/>
            <w:tcBorders/>
            <w:shd w:fill="auto" w:val="clear"/>
            <w:vAlign w:val="bottom"/>
          </w:tcPr>
          <w:p>
            <w:pPr>
              <w:pStyle w:val="TableContents"/>
              <w:spacing w:before="0" w:after="0"/>
              <w:ind w:left="0" w:right="0" w:hanging="0"/>
              <w:rPr/>
            </w:pPr>
            <w:r>
              <w:rPr/>
              <w:t> </w:t>
            </w:r>
          </w:p>
        </w:tc>
        <w:tc>
          <w:tcPr>
            <w:tcW w:w="45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113" w:type="dxa"/>
            <w:tcBorders/>
            <w:shd w:fill="auto" w:val="clear"/>
            <w:vAlign w:val="bottom"/>
          </w:tcPr>
          <w:p>
            <w:pPr>
              <w:pStyle w:val="TableContents"/>
              <w:spacing w:before="0" w:after="0"/>
              <w:ind w:left="0" w:right="0" w:hanging="0"/>
              <w:rPr/>
            </w:pPr>
            <w:r>
              <w:rPr/>
              <w:t> </w:t>
            </w:r>
          </w:p>
        </w:tc>
        <w:tc>
          <w:tcPr>
            <w:tcW w:w="45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12" w:type="dxa"/>
            <w:tcBorders/>
            <w:shd w:fill="auto" w:val="clear"/>
            <w:vAlign w:val="bottom"/>
          </w:tcPr>
          <w:p>
            <w:pPr>
              <w:pStyle w:val="TableContents"/>
              <w:spacing w:before="0" w:after="0"/>
              <w:ind w:left="0" w:right="0" w:hanging="0"/>
              <w:rPr/>
            </w:pPr>
            <w:r>
              <w:rPr/>
              <w:t> </w:t>
            </w:r>
          </w:p>
        </w:tc>
        <w:tc>
          <w:tcPr>
            <w:tcW w:w="45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13" w:type="dxa"/>
            <w:tcBorders/>
            <w:shd w:fill="auto" w:val="clear"/>
            <w:vAlign w:val="bottom"/>
          </w:tcPr>
          <w:p>
            <w:pPr>
              <w:pStyle w:val="TableContents"/>
              <w:spacing w:before="0" w:after="0"/>
              <w:ind w:left="0" w:right="0" w:hanging="0"/>
              <w:rPr/>
            </w:pPr>
            <w:r>
              <w:rPr/>
              <w:t> </w:t>
            </w:r>
          </w:p>
        </w:tc>
        <w:tc>
          <w:tcPr>
            <w:tcW w:w="45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13" w:type="dxa"/>
            <w:tcBorders/>
            <w:shd w:fill="auto" w:val="clear"/>
            <w:vAlign w:val="bottom"/>
          </w:tcPr>
          <w:p>
            <w:pPr>
              <w:pStyle w:val="TableContents"/>
              <w:spacing w:before="0" w:after="0"/>
              <w:ind w:left="0" w:right="0" w:hanging="0"/>
              <w:rPr/>
            </w:pPr>
            <w:r>
              <w:rPr/>
              <w:t> </w:t>
            </w:r>
          </w:p>
        </w:tc>
        <w:tc>
          <w:tcPr>
            <w:tcW w:w="45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13" w:type="dxa"/>
            <w:tcBorders/>
            <w:shd w:fill="auto" w:val="clear"/>
            <w:vAlign w:val="bottom"/>
          </w:tcPr>
          <w:p>
            <w:pPr>
              <w:pStyle w:val="TableContents"/>
              <w:spacing w:before="0" w:after="0"/>
              <w:ind w:left="0" w:right="0" w:hanging="0"/>
              <w:rPr/>
            </w:pPr>
            <w:r>
              <w:rPr/>
              <w:t> </w:t>
            </w:r>
          </w:p>
        </w:tc>
        <w:tc>
          <w:tcPr>
            <w:tcW w:w="45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12" w:type="dxa"/>
            <w:tcBorders/>
            <w:shd w:fill="auto" w:val="clear"/>
            <w:vAlign w:val="bottom"/>
          </w:tcPr>
          <w:p>
            <w:pPr>
              <w:pStyle w:val="TableContents"/>
              <w:spacing w:before="0" w:after="0"/>
              <w:ind w:left="0" w:right="0" w:hanging="0"/>
              <w:rPr/>
            </w:pPr>
            <w:r>
              <w:rPr/>
              <w:t> </w:t>
            </w:r>
          </w:p>
        </w:tc>
        <w:tc>
          <w:tcPr>
            <w:tcW w:w="45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13" w:type="dxa"/>
            <w:tcBorders/>
            <w:shd w:fill="auto" w:val="clear"/>
            <w:vAlign w:val="bottom"/>
          </w:tcPr>
          <w:p>
            <w:pPr>
              <w:pStyle w:val="TableContents"/>
              <w:spacing w:before="0" w:after="0"/>
              <w:ind w:left="0" w:right="0" w:hanging="0"/>
              <w:rPr/>
            </w:pPr>
            <w:r>
              <w:rPr/>
              <w:t> </w:t>
            </w:r>
          </w:p>
        </w:tc>
        <w:tc>
          <w:tcPr>
            <w:tcW w:w="45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113" w:type="dxa"/>
            <w:tcBorders/>
            <w:shd w:fill="auto" w:val="clear"/>
            <w:vAlign w:val="bottom"/>
          </w:tcPr>
          <w:p>
            <w:pPr>
              <w:pStyle w:val="TableContents"/>
              <w:spacing w:before="0" w:after="0"/>
              <w:ind w:left="0" w:right="0" w:hanging="0"/>
              <w:rPr/>
            </w:pPr>
            <w:r>
              <w:rPr/>
              <w:t> </w:t>
            </w:r>
          </w:p>
        </w:tc>
        <w:tc>
          <w:tcPr>
            <w:tcW w:w="45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2015</w:t>
            </w:r>
          </w:p>
        </w:tc>
        <w:tc>
          <w:tcPr>
            <w:tcW w:w="112" w:type="dxa"/>
            <w:tcBorders/>
            <w:shd w:fill="auto" w:val="clear"/>
            <w:vAlign w:val="bottom"/>
          </w:tcPr>
          <w:p>
            <w:pPr>
              <w:pStyle w:val="TableContents"/>
              <w:spacing w:before="0" w:after="0"/>
              <w:ind w:left="0" w:right="0" w:hanging="0"/>
              <w:rPr/>
            </w:pPr>
            <w:r>
              <w:rPr/>
              <w:t> </w:t>
            </w:r>
          </w:p>
        </w:tc>
        <w:tc>
          <w:tcPr>
            <w:tcW w:w="45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2016</w:t>
            </w:r>
          </w:p>
        </w:tc>
        <w:tc>
          <w:tcPr>
            <w:tcW w:w="113" w:type="dxa"/>
            <w:tcBorders/>
            <w:shd w:fill="auto" w:val="clear"/>
            <w:vAlign w:val="bottom"/>
          </w:tcPr>
          <w:p>
            <w:pPr>
              <w:pStyle w:val="TableContents"/>
              <w:spacing w:before="0" w:after="0"/>
              <w:ind w:left="0" w:right="0" w:hanging="0"/>
              <w:rPr/>
            </w:pPr>
            <w:r>
              <w:rPr/>
              <w:t> </w:t>
            </w:r>
          </w:p>
        </w:tc>
        <w:tc>
          <w:tcPr>
            <w:tcW w:w="45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2017</w:t>
            </w:r>
          </w:p>
        </w:tc>
        <w:tc>
          <w:tcPr>
            <w:tcW w:w="113" w:type="dxa"/>
            <w:tcBorders/>
            <w:shd w:fill="auto" w:val="clear"/>
            <w:vAlign w:val="bottom"/>
          </w:tcPr>
          <w:p>
            <w:pPr>
              <w:pStyle w:val="TableContents"/>
              <w:spacing w:before="0" w:after="0"/>
              <w:ind w:left="0" w:right="0" w:hanging="0"/>
              <w:rPr/>
            </w:pPr>
            <w:r>
              <w:rPr/>
              <w:t> </w:t>
            </w:r>
          </w:p>
        </w:tc>
        <w:tc>
          <w:tcPr>
            <w:tcW w:w="45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2018</w:t>
            </w:r>
          </w:p>
        </w:tc>
        <w:tc>
          <w:tcPr>
            <w:tcW w:w="113" w:type="dxa"/>
            <w:tcBorders/>
            <w:shd w:fill="auto" w:val="clear"/>
            <w:vAlign w:val="bottom"/>
          </w:tcPr>
          <w:p>
            <w:pPr>
              <w:pStyle w:val="TableContents"/>
              <w:spacing w:before="0" w:after="0"/>
              <w:ind w:left="0" w:right="0" w:hanging="0"/>
              <w:rPr/>
            </w:pPr>
            <w:r>
              <w:rPr/>
              <w:t> </w:t>
            </w:r>
          </w:p>
        </w:tc>
      </w:tr>
      <w:tr>
        <w:trPr/>
        <w:tc>
          <w:tcPr>
            <w:tcW w:w="1817"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Host Company:</w:t>
            </w:r>
          </w:p>
        </w:tc>
        <w:tc>
          <w:tcPr>
            <w:tcW w:w="113" w:type="dxa"/>
            <w:tcBorders/>
            <w:shd w:fill="CCEEFF" w:val="clear"/>
            <w:vAlign w:val="bottom"/>
          </w:tcPr>
          <w:p>
            <w:pPr>
              <w:pStyle w:val="TableContents"/>
              <w:spacing w:before="0" w:after="0"/>
              <w:ind w:left="0" w:right="0" w:hanging="0"/>
              <w:rPr/>
            </w:pPr>
            <w:r>
              <w:rPr/>
              <w:t> </w:t>
            </w:r>
          </w:p>
        </w:tc>
        <w:tc>
          <w:tcPr>
            <w:tcW w:w="795" w:type="dxa"/>
            <w:tcBorders/>
            <w:shd w:fill="CCEEFF" w:val="clear"/>
            <w:vAlign w:val="bottom"/>
          </w:tcPr>
          <w:p>
            <w:pPr>
              <w:pStyle w:val="TableContents"/>
              <w:spacing w:before="0" w:after="0"/>
              <w:ind w:left="0" w:right="0" w:hanging="0"/>
              <w:jc w:val="right"/>
              <w:rPr/>
            </w:pPr>
            <w:r>
              <w:rPr/>
              <w:t> </w:t>
            </w:r>
          </w:p>
        </w:tc>
        <w:tc>
          <w:tcPr>
            <w:tcW w:w="112"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pPr>
            <w:r>
              <w:rPr/>
              <w:t> </w:t>
            </w:r>
          </w:p>
        </w:tc>
        <w:tc>
          <w:tcPr>
            <w:tcW w:w="112"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pPr>
            <w:r>
              <w:rPr/>
              <w:t> </w:t>
            </w:r>
          </w:p>
        </w:tc>
        <w:tc>
          <w:tcPr>
            <w:tcW w:w="112"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pPr>
            <w:r>
              <w:rPr/>
              <w:t> </w:t>
            </w:r>
          </w:p>
        </w:tc>
        <w:tc>
          <w:tcPr>
            <w:tcW w:w="112"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r>
      <w:tr>
        <w:trPr/>
        <w:tc>
          <w:tcPr>
            <w:tcW w:w="18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Wal-Mart</w:t>
            </w:r>
          </w:p>
        </w:tc>
        <w:tc>
          <w:tcPr>
            <w:tcW w:w="113" w:type="dxa"/>
            <w:tcBorders/>
            <w:shd w:fill="auto" w:val="clear"/>
            <w:vAlign w:val="bottom"/>
          </w:tcPr>
          <w:p>
            <w:pPr>
              <w:pStyle w:val="TableContents"/>
              <w:spacing w:before="0" w:after="0"/>
              <w:ind w:left="0" w:right="0" w:hanging="0"/>
              <w:rPr/>
            </w:pPr>
            <w:r>
              <w:rPr/>
              <w:t> </w:t>
            </w:r>
          </w:p>
        </w:tc>
        <w:tc>
          <w:tcPr>
            <w:tcW w:w="795" w:type="dxa"/>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r>
      <w:tr>
        <w:trPr/>
        <w:tc>
          <w:tcPr>
            <w:tcW w:w="181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Domestic</w:t>
            </w:r>
          </w:p>
        </w:tc>
        <w:tc>
          <w:tcPr>
            <w:tcW w:w="113" w:type="dxa"/>
            <w:tcBorders/>
            <w:shd w:fill="CCEEFF" w:val="clear"/>
            <w:vAlign w:val="bottom"/>
          </w:tcPr>
          <w:p>
            <w:pPr>
              <w:pStyle w:val="TableContents"/>
              <w:spacing w:before="0" w:after="0"/>
              <w:ind w:left="0" w:right="0" w:hanging="0"/>
              <w:rPr/>
            </w:pPr>
            <w:r>
              <w:rPr/>
              <w:t> </w:t>
            </w:r>
          </w:p>
        </w:tc>
        <w:tc>
          <w:tcPr>
            <w:tcW w:w="79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12"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13"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13"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12"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13"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13"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13"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12"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13"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13"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12"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13"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13"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13" w:type="dxa"/>
            <w:tcBorders/>
            <w:shd w:fill="CCEEFF" w:val="clear"/>
            <w:vAlign w:val="bottom"/>
          </w:tcPr>
          <w:p>
            <w:pPr>
              <w:pStyle w:val="TableContents"/>
              <w:spacing w:before="0" w:after="0"/>
              <w:ind w:left="0" w:right="0" w:hanging="0"/>
              <w:rPr/>
            </w:pPr>
            <w:r>
              <w:rPr/>
              <w:t> </w:t>
            </w:r>
          </w:p>
        </w:tc>
      </w:tr>
      <w:tr>
        <w:trPr/>
        <w:tc>
          <w:tcPr>
            <w:tcW w:w="18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Mexico</w:t>
            </w:r>
          </w:p>
        </w:tc>
        <w:tc>
          <w:tcPr>
            <w:tcW w:w="113" w:type="dxa"/>
            <w:tcBorders/>
            <w:shd w:fill="auto" w:val="clear"/>
            <w:vAlign w:val="bottom"/>
          </w:tcPr>
          <w:p>
            <w:pPr>
              <w:pStyle w:val="TableContents"/>
              <w:spacing w:before="0" w:after="0"/>
              <w:ind w:left="0" w:right="0" w:hanging="0"/>
              <w:rPr/>
            </w:pPr>
            <w:r>
              <w:rPr/>
              <w:t> </w:t>
            </w:r>
          </w:p>
        </w:tc>
        <w:tc>
          <w:tcPr>
            <w:tcW w:w="79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2"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13"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2"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2"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2"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auto" w:val="clear"/>
            <w:vAlign w:val="bottom"/>
          </w:tcPr>
          <w:p>
            <w:pPr>
              <w:pStyle w:val="TableContents"/>
              <w:spacing w:before="0" w:after="0"/>
              <w:ind w:left="0" w:right="0" w:hanging="0"/>
              <w:rPr/>
            </w:pPr>
            <w:r>
              <w:rPr/>
              <w:t> </w:t>
            </w:r>
          </w:p>
        </w:tc>
      </w:tr>
      <w:tr>
        <w:trPr/>
        <w:tc>
          <w:tcPr>
            <w:tcW w:w="181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Fred Meyer</w:t>
            </w:r>
          </w:p>
        </w:tc>
        <w:tc>
          <w:tcPr>
            <w:tcW w:w="113" w:type="dxa"/>
            <w:tcBorders/>
            <w:shd w:fill="CCEEFF" w:val="clear"/>
            <w:vAlign w:val="bottom"/>
          </w:tcPr>
          <w:p>
            <w:pPr>
              <w:pStyle w:val="TableContents"/>
              <w:spacing w:before="0" w:after="0"/>
              <w:ind w:left="0" w:right="0" w:hanging="0"/>
              <w:rPr/>
            </w:pPr>
            <w:r>
              <w:rPr/>
              <w:t> </w:t>
            </w:r>
          </w:p>
        </w:tc>
        <w:tc>
          <w:tcPr>
            <w:tcW w:w="79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2"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13"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2"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2"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2"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4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r>
      <w:tr>
        <w:trPr/>
        <w:tc>
          <w:tcPr>
            <w:tcW w:w="18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Military</w:t>
            </w:r>
          </w:p>
        </w:tc>
        <w:tc>
          <w:tcPr>
            <w:tcW w:w="113" w:type="dxa"/>
            <w:tcBorders/>
            <w:shd w:fill="auto" w:val="clear"/>
            <w:vAlign w:val="bottom"/>
          </w:tcPr>
          <w:p>
            <w:pPr>
              <w:pStyle w:val="TableContents"/>
              <w:spacing w:before="0" w:after="0"/>
              <w:ind w:left="0" w:right="0" w:hanging="0"/>
              <w:rPr/>
            </w:pPr>
            <w:r>
              <w:rPr/>
              <w:t> </w:t>
            </w:r>
          </w:p>
        </w:tc>
        <w:tc>
          <w:tcPr>
            <w:tcW w:w="79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2"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13"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3"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2"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3"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3"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13"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2"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2"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auto" w:val="clear"/>
            <w:vAlign w:val="bottom"/>
          </w:tcPr>
          <w:p>
            <w:pPr>
              <w:pStyle w:val="TableContents"/>
              <w:spacing w:before="0" w:after="0"/>
              <w:ind w:left="0" w:right="0" w:hanging="0"/>
              <w:rPr/>
            </w:pPr>
            <w:r>
              <w:rPr/>
              <w:t> </w:t>
            </w:r>
          </w:p>
        </w:tc>
        <w:tc>
          <w:tcPr>
            <w:tcW w:w="4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auto" w:val="clear"/>
            <w:vAlign w:val="bottom"/>
          </w:tcPr>
          <w:p>
            <w:pPr>
              <w:pStyle w:val="TableContents"/>
              <w:spacing w:before="0" w:after="0"/>
              <w:ind w:left="0" w:right="0" w:hanging="0"/>
              <w:rPr/>
            </w:pPr>
            <w:r>
              <w:rPr/>
              <w:t> </w:t>
            </w:r>
          </w:p>
        </w:tc>
      </w:tr>
      <w:tr>
        <w:trPr/>
        <w:tc>
          <w:tcPr>
            <w:tcW w:w="1817"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Freestanding stores</w:t>
            </w:r>
          </w:p>
        </w:tc>
        <w:tc>
          <w:tcPr>
            <w:tcW w:w="113" w:type="dxa"/>
            <w:tcBorders/>
            <w:shd w:fill="CCEEFF" w:val="clear"/>
            <w:vAlign w:val="bottom"/>
          </w:tcPr>
          <w:p>
            <w:pPr>
              <w:pStyle w:val="TableContents"/>
              <w:spacing w:before="0" w:after="0"/>
              <w:ind w:left="0" w:right="0" w:hanging="0"/>
              <w:rPr/>
            </w:pPr>
            <w:r>
              <w:rPr/>
              <w:t> </w:t>
            </w:r>
          </w:p>
        </w:tc>
        <w:tc>
          <w:tcPr>
            <w:tcW w:w="79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2" w:type="dxa"/>
            <w:tcBorders/>
            <w:shd w:fill="CCEEFF" w:val="clear"/>
            <w:vAlign w:val="bottom"/>
          </w:tcPr>
          <w:p>
            <w:pPr>
              <w:pStyle w:val="TableContents"/>
              <w:spacing w:before="0" w:after="0"/>
              <w:ind w:left="0" w:right="0" w:hanging="0"/>
              <w:rPr/>
            </w:pPr>
            <w:r>
              <w:rPr/>
              <w:t> </w:t>
            </w:r>
          </w:p>
        </w:tc>
        <w:tc>
          <w:tcPr>
            <w:tcW w:w="45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3" w:type="dxa"/>
            <w:tcBorders/>
            <w:shd w:fill="CCEEFF" w:val="clear"/>
            <w:vAlign w:val="bottom"/>
          </w:tcPr>
          <w:p>
            <w:pPr>
              <w:pStyle w:val="TableContents"/>
              <w:spacing w:before="0" w:after="0"/>
              <w:ind w:left="0" w:right="0" w:hanging="0"/>
              <w:rPr/>
            </w:pPr>
            <w:r>
              <w:rPr/>
              <w:t> </w:t>
            </w:r>
          </w:p>
        </w:tc>
        <w:tc>
          <w:tcPr>
            <w:tcW w:w="45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45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2" w:type="dxa"/>
            <w:tcBorders/>
            <w:shd w:fill="CCEEFF" w:val="clear"/>
            <w:vAlign w:val="bottom"/>
          </w:tcPr>
          <w:p>
            <w:pPr>
              <w:pStyle w:val="TableContents"/>
              <w:spacing w:before="0" w:after="0"/>
              <w:ind w:left="0" w:right="0" w:hanging="0"/>
              <w:rPr/>
            </w:pPr>
            <w:r>
              <w:rPr/>
              <w:t> </w:t>
            </w:r>
          </w:p>
        </w:tc>
        <w:tc>
          <w:tcPr>
            <w:tcW w:w="45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3" w:type="dxa"/>
            <w:tcBorders/>
            <w:shd w:fill="CCEEFF" w:val="clear"/>
            <w:vAlign w:val="bottom"/>
          </w:tcPr>
          <w:p>
            <w:pPr>
              <w:pStyle w:val="TableContents"/>
              <w:spacing w:before="0" w:after="0"/>
              <w:ind w:left="0" w:right="0" w:hanging="0"/>
              <w:rPr/>
            </w:pPr>
            <w:r>
              <w:rPr/>
              <w:t> </w:t>
            </w:r>
          </w:p>
        </w:tc>
        <w:tc>
          <w:tcPr>
            <w:tcW w:w="45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3" w:type="dxa"/>
            <w:tcBorders/>
            <w:shd w:fill="CCEEFF" w:val="clear"/>
            <w:vAlign w:val="bottom"/>
          </w:tcPr>
          <w:p>
            <w:pPr>
              <w:pStyle w:val="TableContents"/>
              <w:spacing w:before="0" w:after="0"/>
              <w:ind w:left="0" w:right="0" w:hanging="0"/>
              <w:rPr/>
            </w:pPr>
            <w:r>
              <w:rPr/>
              <w:t> </w:t>
            </w:r>
          </w:p>
        </w:tc>
        <w:tc>
          <w:tcPr>
            <w:tcW w:w="45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45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2" w:type="dxa"/>
            <w:tcBorders/>
            <w:shd w:fill="CCEEFF" w:val="clear"/>
            <w:vAlign w:val="bottom"/>
          </w:tcPr>
          <w:p>
            <w:pPr>
              <w:pStyle w:val="TableContents"/>
              <w:spacing w:before="0" w:after="0"/>
              <w:ind w:left="0" w:right="0" w:hanging="0"/>
              <w:rPr/>
            </w:pPr>
            <w:r>
              <w:rPr/>
              <w:t> </w:t>
            </w:r>
          </w:p>
        </w:tc>
        <w:tc>
          <w:tcPr>
            <w:tcW w:w="45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45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45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2" w:type="dxa"/>
            <w:tcBorders/>
            <w:shd w:fill="CCEEFF" w:val="clear"/>
            <w:vAlign w:val="bottom"/>
          </w:tcPr>
          <w:p>
            <w:pPr>
              <w:pStyle w:val="TableContents"/>
              <w:spacing w:before="0" w:after="0"/>
              <w:ind w:left="0" w:right="0" w:hanging="0"/>
              <w:rPr/>
            </w:pPr>
            <w:r>
              <w:rPr/>
              <w:t> </w:t>
            </w:r>
          </w:p>
        </w:tc>
        <w:tc>
          <w:tcPr>
            <w:tcW w:w="45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45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45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r>
      <w:tr>
        <w:trPr/>
        <w:tc>
          <w:tcPr>
            <w:tcW w:w="18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Totals</w:t>
            </w:r>
          </w:p>
        </w:tc>
        <w:tc>
          <w:tcPr>
            <w:tcW w:w="113" w:type="dxa"/>
            <w:tcBorders/>
            <w:shd w:fill="auto" w:val="clear"/>
            <w:vAlign w:val="bottom"/>
          </w:tcPr>
          <w:p>
            <w:pPr>
              <w:pStyle w:val="TableContents"/>
              <w:spacing w:before="0" w:after="0"/>
              <w:ind w:left="0" w:right="0" w:hanging="0"/>
              <w:rPr/>
            </w:pPr>
            <w:r>
              <w:rPr/>
              <w:t> </w:t>
            </w:r>
          </w:p>
        </w:tc>
        <w:tc>
          <w:tcPr>
            <w:tcW w:w="795" w:type="dxa"/>
            <w:tcBorders>
              <w:bottom w:val="double" w:sz="4"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12" w:type="dxa"/>
            <w:tcBorders/>
            <w:shd w:fill="auto" w:val="clear"/>
            <w:vAlign w:val="bottom"/>
          </w:tcPr>
          <w:p>
            <w:pPr>
              <w:pStyle w:val="TableContents"/>
              <w:spacing w:before="0" w:after="0"/>
              <w:ind w:left="0" w:right="0" w:hanging="0"/>
              <w:rPr/>
            </w:pPr>
            <w:r>
              <w:rPr/>
              <w:t> </w:t>
            </w:r>
          </w:p>
        </w:tc>
        <w:tc>
          <w:tcPr>
            <w:tcW w:w="454" w:type="dxa"/>
            <w:tcBorders>
              <w:bottom w:val="double" w:sz="4"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113" w:type="dxa"/>
            <w:tcBorders/>
            <w:shd w:fill="auto" w:val="clear"/>
            <w:vAlign w:val="bottom"/>
          </w:tcPr>
          <w:p>
            <w:pPr>
              <w:pStyle w:val="TableContents"/>
              <w:spacing w:before="0" w:after="0"/>
              <w:ind w:left="0" w:right="0" w:hanging="0"/>
              <w:rPr/>
            </w:pPr>
            <w:r>
              <w:rPr/>
              <w:t> </w:t>
            </w:r>
          </w:p>
        </w:tc>
        <w:tc>
          <w:tcPr>
            <w:tcW w:w="454" w:type="dxa"/>
            <w:tcBorders>
              <w:bottom w:val="double" w:sz="4"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113" w:type="dxa"/>
            <w:tcBorders/>
            <w:shd w:fill="auto" w:val="clear"/>
            <w:vAlign w:val="bottom"/>
          </w:tcPr>
          <w:p>
            <w:pPr>
              <w:pStyle w:val="TableContents"/>
              <w:spacing w:before="0" w:after="0"/>
              <w:ind w:left="0" w:right="0" w:hanging="0"/>
              <w:rPr/>
            </w:pPr>
            <w:r>
              <w:rPr/>
              <w:t> </w:t>
            </w:r>
          </w:p>
        </w:tc>
        <w:tc>
          <w:tcPr>
            <w:tcW w:w="454" w:type="dxa"/>
            <w:tcBorders>
              <w:bottom w:val="double" w:sz="4"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12" w:type="dxa"/>
            <w:tcBorders/>
            <w:shd w:fill="auto" w:val="clear"/>
            <w:vAlign w:val="bottom"/>
          </w:tcPr>
          <w:p>
            <w:pPr>
              <w:pStyle w:val="TableContents"/>
              <w:spacing w:before="0" w:after="0"/>
              <w:ind w:left="0" w:right="0" w:hanging="0"/>
              <w:rPr/>
            </w:pPr>
            <w:r>
              <w:rPr/>
              <w:t> </w:t>
            </w:r>
          </w:p>
        </w:tc>
        <w:tc>
          <w:tcPr>
            <w:tcW w:w="454" w:type="dxa"/>
            <w:tcBorders>
              <w:bottom w:val="double" w:sz="4"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13" w:type="dxa"/>
            <w:tcBorders/>
            <w:shd w:fill="auto" w:val="clear"/>
            <w:vAlign w:val="bottom"/>
          </w:tcPr>
          <w:p>
            <w:pPr>
              <w:pStyle w:val="TableContents"/>
              <w:spacing w:before="0" w:after="0"/>
              <w:ind w:left="0" w:right="0" w:hanging="0"/>
              <w:rPr/>
            </w:pPr>
            <w:r>
              <w:rPr/>
              <w:t> </w:t>
            </w:r>
          </w:p>
        </w:tc>
        <w:tc>
          <w:tcPr>
            <w:tcW w:w="454" w:type="dxa"/>
            <w:tcBorders>
              <w:bottom w:val="double" w:sz="4"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13" w:type="dxa"/>
            <w:tcBorders/>
            <w:shd w:fill="auto" w:val="clear"/>
            <w:vAlign w:val="bottom"/>
          </w:tcPr>
          <w:p>
            <w:pPr>
              <w:pStyle w:val="TableContents"/>
              <w:spacing w:before="0" w:after="0"/>
              <w:ind w:left="0" w:right="0" w:hanging="0"/>
              <w:rPr/>
            </w:pPr>
            <w:r>
              <w:rPr/>
              <w:t> </w:t>
            </w:r>
          </w:p>
        </w:tc>
        <w:tc>
          <w:tcPr>
            <w:tcW w:w="454" w:type="dxa"/>
            <w:tcBorders>
              <w:bottom w:val="double" w:sz="4"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13" w:type="dxa"/>
            <w:tcBorders/>
            <w:shd w:fill="auto" w:val="clear"/>
            <w:vAlign w:val="bottom"/>
          </w:tcPr>
          <w:p>
            <w:pPr>
              <w:pStyle w:val="TableContents"/>
              <w:spacing w:before="0" w:after="0"/>
              <w:ind w:left="0" w:right="0" w:hanging="0"/>
              <w:rPr/>
            </w:pPr>
            <w:r>
              <w:rPr/>
              <w:t> </w:t>
            </w:r>
          </w:p>
        </w:tc>
        <w:tc>
          <w:tcPr>
            <w:tcW w:w="454" w:type="dxa"/>
            <w:tcBorders>
              <w:bottom w:val="double" w:sz="4"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112" w:type="dxa"/>
            <w:tcBorders/>
            <w:shd w:fill="auto" w:val="clear"/>
            <w:vAlign w:val="bottom"/>
          </w:tcPr>
          <w:p>
            <w:pPr>
              <w:pStyle w:val="TableContents"/>
              <w:spacing w:before="0" w:after="0"/>
              <w:ind w:left="0" w:right="0" w:hanging="0"/>
              <w:rPr/>
            </w:pPr>
            <w:r>
              <w:rPr/>
              <w:t> </w:t>
            </w:r>
          </w:p>
        </w:tc>
        <w:tc>
          <w:tcPr>
            <w:tcW w:w="454" w:type="dxa"/>
            <w:tcBorders>
              <w:bottom w:val="double" w:sz="4"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13" w:type="dxa"/>
            <w:tcBorders/>
            <w:shd w:fill="auto" w:val="clear"/>
            <w:vAlign w:val="bottom"/>
          </w:tcPr>
          <w:p>
            <w:pPr>
              <w:pStyle w:val="TableContents"/>
              <w:spacing w:before="0" w:after="0"/>
              <w:ind w:left="0" w:right="0" w:hanging="0"/>
              <w:rPr/>
            </w:pPr>
            <w:r>
              <w:rPr/>
              <w:t> </w:t>
            </w:r>
          </w:p>
        </w:tc>
        <w:tc>
          <w:tcPr>
            <w:tcW w:w="454" w:type="dxa"/>
            <w:tcBorders>
              <w:bottom w:val="double" w:sz="4"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13" w:type="dxa"/>
            <w:tcBorders/>
            <w:shd w:fill="auto" w:val="clear"/>
            <w:vAlign w:val="bottom"/>
          </w:tcPr>
          <w:p>
            <w:pPr>
              <w:pStyle w:val="TableContents"/>
              <w:spacing w:before="0" w:after="0"/>
              <w:ind w:left="0" w:right="0" w:hanging="0"/>
              <w:rPr/>
            </w:pPr>
            <w:r>
              <w:rPr/>
              <w:t> </w:t>
            </w:r>
          </w:p>
        </w:tc>
        <w:tc>
          <w:tcPr>
            <w:tcW w:w="454" w:type="dxa"/>
            <w:tcBorders>
              <w:bottom w:val="double" w:sz="4"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12" w:type="dxa"/>
            <w:tcBorders/>
            <w:shd w:fill="auto" w:val="clear"/>
            <w:vAlign w:val="bottom"/>
          </w:tcPr>
          <w:p>
            <w:pPr>
              <w:pStyle w:val="TableContents"/>
              <w:spacing w:before="0" w:after="0"/>
              <w:ind w:left="0" w:right="0" w:hanging="0"/>
              <w:rPr/>
            </w:pPr>
            <w:r>
              <w:rPr/>
              <w:t> </w:t>
            </w:r>
          </w:p>
        </w:tc>
        <w:tc>
          <w:tcPr>
            <w:tcW w:w="454" w:type="dxa"/>
            <w:tcBorders>
              <w:bottom w:val="double" w:sz="4"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13" w:type="dxa"/>
            <w:tcBorders/>
            <w:shd w:fill="auto" w:val="clear"/>
            <w:vAlign w:val="bottom"/>
          </w:tcPr>
          <w:p>
            <w:pPr>
              <w:pStyle w:val="TableContents"/>
              <w:spacing w:before="0" w:after="0"/>
              <w:ind w:left="0" w:right="0" w:hanging="0"/>
              <w:rPr/>
            </w:pPr>
            <w:r>
              <w:rPr/>
              <w:t> </w:t>
            </w:r>
          </w:p>
        </w:tc>
        <w:tc>
          <w:tcPr>
            <w:tcW w:w="454" w:type="dxa"/>
            <w:tcBorders>
              <w:bottom w:val="double" w:sz="4"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13" w:type="dxa"/>
            <w:tcBorders/>
            <w:shd w:fill="auto" w:val="clear"/>
            <w:vAlign w:val="bottom"/>
          </w:tcPr>
          <w:p>
            <w:pPr>
              <w:pStyle w:val="TableContents"/>
              <w:spacing w:before="0" w:after="0"/>
              <w:ind w:left="0" w:right="0" w:hanging="0"/>
              <w:rPr/>
            </w:pPr>
            <w:r>
              <w:rPr/>
              <w:t> </w:t>
            </w:r>
          </w:p>
        </w:tc>
        <w:tc>
          <w:tcPr>
            <w:tcW w:w="454" w:type="dxa"/>
            <w:tcBorders>
              <w:bottom w:val="double" w:sz="4"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1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Subsequent to the end of the 2005 second quarter, we closed three domestic Wal-Mart vision centers at the expiration of their lease, we opened one freestanding vision center and we opened one vision center on a military base.  On May 13, 2005, the Pentagon announced the closing of several of its military bases; we currently operate a vision center on only one of these bases.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17"/>
        </w:rPr>
      </w:pPr>
      <w:r>
        <w:rPr>
          <w:rFonts w:ascii="Times New Roman" w:hAnsi="Times New Roman"/>
          <w:b/>
          <w:sz w:val="17"/>
        </w:rPr>
        <w:t>LIQUIDITY AND CAPITAL RESOURCES</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six-month period ended July 2, 2005, we generated operating cash flow of $12.3 million, a decrease of $2.5 million from the prior year six-month period.  The current years operating cash flow was substantially in excess of amounts needed to fund our capital expenditures and make mandatory principal redemptions of our Senior Subordinated Notes (the Notes).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made a mandatory principal redemption payment on the Notes of approximately $4.9 million on February 28, 2005.  This redemption was based on the requirements of the Indenture and was made at par.  On June 1, 2005, we made an optional</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22</w:t>
      </w:r>
    </w:p>
    <w:p>
      <w:pPr>
        <w:pStyle w:val="HorizontalLine"/>
        <w:pBdr>
          <w:bottom w:val="single" w:sz="12"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partial redemption of the Notes of $5.2 million at par.  By making the optional redemption payment on June 1, 2005 rather than waiting for the next mandatory redemption payment date, we saved approximately $158,000 in interest expense.  During the six-months ended July 2, 2005, we also repurchased at a slight discount, Notes with a par value of $819,000.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meet occasional needs for additional funding, we currently maintain a $10 million revolving credit facility with Bank of America. Our borrowing capacity under this credit facility is based upon specified advance rates applied to eligible accounts receivable and inventory balances.  A portion of the Bank of America facility may be used to issue letters of credit.  At July 2, 2005, we had no borrowings under our credit facility, we had letters of credit of $3.8 million outstanding and our unused availability was approximately $2.7 million.  The Bank of America credit facility expires on May 30, 2007 or earlier in the event of a change in control.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amended to date, our Bank of America facility contains various restrictive covenants, including requirements that we: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20"/>
        </w:rPr>
        <w:t></w:t>
      </w:r>
      <w:r>
        <w:rPr>
          <w:rFonts w:ascii="Times New Roman" w:hAnsi="Times New Roman"/>
          <w:sz w:val="17"/>
        </w:rPr>
        <w:t>                  maintain minimum EBITDA (as defined) of $19.6 million for each rolling 12-month period ending on the last day of each fiscal month,</w:t>
      </w:r>
    </w:p>
    <w:p>
      <w:pPr>
        <w:pStyle w:val="TextBody"/>
        <w:spacing w:before="0" w:after="0"/>
        <w:ind w:left="0" w:right="0" w:hanging="0"/>
        <w:rPr>
          <w:rFonts w:ascii="Times New Roman" w:hAnsi="Times New Roman"/>
          <w:sz w:val="17"/>
        </w:rPr>
      </w:pPr>
      <w:r>
        <w:rPr>
          <w:rFonts w:ascii="Times New Roman" w:hAnsi="Times New Roman"/>
          <w:sz w:val="20"/>
        </w:rPr>
        <w:t></w:t>
      </w:r>
      <w:r>
        <w:rPr>
          <w:rFonts w:ascii="Times New Roman" w:hAnsi="Times New Roman"/>
          <w:sz w:val="17"/>
        </w:rPr>
        <w:t>                  maintain a minimum fixed charge coverage ratio (as defined) of 1.0 to 1.0 for each six-month period ending nearest June 30 and December 31,</w:t>
      </w:r>
    </w:p>
    <w:p>
      <w:pPr>
        <w:pStyle w:val="TextBody"/>
        <w:spacing w:before="0" w:after="0"/>
        <w:ind w:left="0" w:right="0" w:hanging="0"/>
        <w:rPr>
          <w:rFonts w:ascii="Times New Roman" w:hAnsi="Times New Roman"/>
          <w:sz w:val="17"/>
        </w:rPr>
      </w:pPr>
      <w:r>
        <w:rPr>
          <w:rFonts w:ascii="Times New Roman" w:hAnsi="Times New Roman"/>
          <w:sz w:val="20"/>
        </w:rPr>
        <w:t></w:t>
      </w:r>
      <w:r>
        <w:rPr>
          <w:rFonts w:ascii="Times New Roman" w:hAnsi="Times New Roman"/>
          <w:sz w:val="17"/>
        </w:rPr>
        <w:t>                  limit our annual lease obligations in non-hosted locations, and</w:t>
      </w:r>
    </w:p>
    <w:p>
      <w:pPr>
        <w:pStyle w:val="TextBody"/>
        <w:spacing w:before="0" w:after="0"/>
        <w:ind w:left="0" w:right="0" w:hanging="0"/>
        <w:rPr>
          <w:rFonts w:ascii="Times New Roman" w:hAnsi="Times New Roman"/>
          <w:sz w:val="17"/>
        </w:rPr>
      </w:pPr>
      <w:r>
        <w:rPr>
          <w:rFonts w:ascii="Times New Roman" w:hAnsi="Times New Roman"/>
          <w:sz w:val="20"/>
        </w:rPr>
        <w:t></w:t>
      </w:r>
      <w:r>
        <w:rPr>
          <w:rFonts w:ascii="Times New Roman" w:hAnsi="Times New Roman"/>
          <w:sz w:val="17"/>
        </w:rPr>
        <w:t>                  limit our capital expenditures.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March 2005, to allow for the opening of new freestanding locations, Bank of America increased the limit on certain non-host lease obligations from $800,000 during any consecutive twelve-month period to $2,000,000 during any consecutive twelve-month period and provided for capital expenditures of up to $9.5 million in 2005.  The capital spending limit will revert to its previous level of $5.5 million after 2005.  We cannot offer any assurances that, if needed, Bank of America would increase the annual lease payment or capital spending limits to accommodate an accelerated pace of store openings.</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We continually monitor our compliance with covenants under the Bank of America agreement and believe that we currently comply with all such covenants.  We include the EBITDA disclosure below because it is an important covenant of the Bank of America agreement.</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is a reconciliation of net earnings to adjusted EBITDA as defined (amounts in thousands):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713"/>
        <w:gridCol w:w="112"/>
        <w:gridCol w:w="112"/>
        <w:gridCol w:w="1121"/>
        <w:gridCol w:w="112"/>
        <w:gridCol w:w="111"/>
        <w:gridCol w:w="1122"/>
        <w:gridCol w:w="112"/>
        <w:gridCol w:w="111"/>
        <w:gridCol w:w="1122"/>
        <w:gridCol w:w="112"/>
        <w:gridCol w:w="111"/>
        <w:gridCol w:w="1122"/>
        <w:gridCol w:w="112"/>
      </w:tblGrid>
      <w:tr>
        <w:trPr/>
        <w:tc>
          <w:tcPr>
            <w:tcW w:w="4713" w:type="dxa"/>
            <w:tcBorders/>
            <w:shd w:fill="auto" w:val="clear"/>
            <w:vAlign w:val="bottom"/>
          </w:tcPr>
          <w:p>
            <w:pPr>
              <w:pStyle w:val="TableContents"/>
              <w:spacing w:before="0" w:after="0"/>
              <w:ind w:left="0" w:right="0" w:hanging="0"/>
              <w:jc w:val="center"/>
              <w:rPr/>
            </w:pPr>
            <w:r>
              <w:rPr/>
              <w:t> </w:t>
            </w:r>
          </w:p>
        </w:tc>
        <w:tc>
          <w:tcPr>
            <w:tcW w:w="112" w:type="dxa"/>
            <w:tcBorders/>
            <w:shd w:fill="auto" w:val="clear"/>
            <w:vAlign w:val="bottom"/>
          </w:tcPr>
          <w:p>
            <w:pPr>
              <w:pStyle w:val="TableContents"/>
              <w:spacing w:before="0" w:after="0"/>
              <w:ind w:left="0" w:right="0" w:hanging="0"/>
              <w:rPr/>
            </w:pPr>
            <w:r>
              <w:rPr/>
              <w:t> </w:t>
            </w:r>
          </w:p>
        </w:tc>
        <w:tc>
          <w:tcPr>
            <w:tcW w:w="257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12" w:type="dxa"/>
            <w:tcBorders/>
            <w:shd w:fill="auto" w:val="clear"/>
            <w:vAlign w:val="bottom"/>
          </w:tcPr>
          <w:p>
            <w:pPr>
              <w:pStyle w:val="TableContents"/>
              <w:spacing w:before="0" w:after="0"/>
              <w:ind w:left="0" w:right="0" w:hanging="0"/>
              <w:rPr/>
            </w:pPr>
            <w:r>
              <w:rPr/>
              <w:t> </w:t>
            </w:r>
          </w:p>
        </w:tc>
        <w:tc>
          <w:tcPr>
            <w:tcW w:w="257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Rolling Twelve Months</w:t>
            </w:r>
          </w:p>
        </w:tc>
        <w:tc>
          <w:tcPr>
            <w:tcW w:w="112" w:type="dxa"/>
            <w:tcBorders/>
            <w:shd w:fill="auto" w:val="clear"/>
            <w:vAlign w:val="bottom"/>
          </w:tcPr>
          <w:p>
            <w:pPr>
              <w:pStyle w:val="TableContents"/>
              <w:spacing w:before="0" w:after="0"/>
              <w:ind w:left="0" w:right="0" w:hanging="0"/>
              <w:rPr/>
            </w:pPr>
            <w:r>
              <w:rPr/>
              <w:t> </w:t>
            </w:r>
          </w:p>
        </w:tc>
      </w:tr>
      <w:tr>
        <w:trPr/>
        <w:tc>
          <w:tcPr>
            <w:tcW w:w="4713" w:type="dxa"/>
            <w:tcBorders/>
            <w:shd w:fill="auto" w:val="clear"/>
            <w:vAlign w:val="bottom"/>
          </w:tcPr>
          <w:p>
            <w:pPr>
              <w:pStyle w:val="TableContents"/>
              <w:spacing w:before="0" w:after="0"/>
              <w:ind w:left="0" w:right="0" w:hanging="0"/>
              <w:jc w:val="center"/>
              <w:rPr/>
            </w:pPr>
            <w:r>
              <w:rPr/>
              <w:t> </w:t>
            </w:r>
          </w:p>
        </w:tc>
        <w:tc>
          <w:tcPr>
            <w:tcW w:w="112" w:type="dxa"/>
            <w:tcBorders/>
            <w:shd w:fill="auto" w:val="clear"/>
            <w:vAlign w:val="bottom"/>
          </w:tcPr>
          <w:p>
            <w:pPr>
              <w:pStyle w:val="TableContents"/>
              <w:spacing w:before="0" w:after="0"/>
              <w:ind w:left="0" w:right="0" w:hanging="0"/>
              <w:rPr/>
            </w:pPr>
            <w:r>
              <w:rPr/>
              <w:t> </w:t>
            </w:r>
          </w:p>
        </w:tc>
        <w:tc>
          <w:tcPr>
            <w:tcW w:w="123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2, 2005</w:t>
            </w:r>
          </w:p>
        </w:tc>
        <w:tc>
          <w:tcPr>
            <w:tcW w:w="112" w:type="dxa"/>
            <w:tcBorders>
              <w:top w:val="single" w:sz="8" w:space="0" w:color="000000"/>
            </w:tcBorders>
            <w:shd w:fill="auto" w:val="clear"/>
            <w:tcMar>
              <w:top w:w="28" w:type="dxa"/>
            </w:tcMar>
            <w:vAlign w:val="bottom"/>
          </w:tcPr>
          <w:p>
            <w:pPr>
              <w:pStyle w:val="TableContents"/>
              <w:spacing w:before="0" w:after="0"/>
              <w:ind w:left="0" w:right="0" w:hanging="0"/>
              <w:rPr/>
            </w:pPr>
            <w:r>
              <w:rPr/>
              <w:t> </w:t>
            </w:r>
          </w:p>
        </w:tc>
        <w:tc>
          <w:tcPr>
            <w:tcW w:w="123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3, 2004</w:t>
            </w:r>
          </w:p>
        </w:tc>
        <w:tc>
          <w:tcPr>
            <w:tcW w:w="112" w:type="dxa"/>
            <w:tcBorders/>
            <w:shd w:fill="auto" w:val="clear"/>
            <w:vAlign w:val="bottom"/>
          </w:tcPr>
          <w:p>
            <w:pPr>
              <w:pStyle w:val="TableContents"/>
              <w:spacing w:before="0" w:after="0"/>
              <w:ind w:left="0" w:right="0" w:hanging="0"/>
              <w:rPr/>
            </w:pPr>
            <w:r>
              <w:rPr/>
              <w:t> </w:t>
            </w:r>
          </w:p>
        </w:tc>
        <w:tc>
          <w:tcPr>
            <w:tcW w:w="123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2, 2005</w:t>
            </w:r>
          </w:p>
        </w:tc>
        <w:tc>
          <w:tcPr>
            <w:tcW w:w="112" w:type="dxa"/>
            <w:tcBorders>
              <w:top w:val="single" w:sz="8" w:space="0" w:color="000000"/>
            </w:tcBorders>
            <w:shd w:fill="auto" w:val="clear"/>
            <w:tcMar>
              <w:top w:w="28" w:type="dxa"/>
            </w:tcMar>
            <w:vAlign w:val="bottom"/>
          </w:tcPr>
          <w:p>
            <w:pPr>
              <w:pStyle w:val="TableContents"/>
              <w:spacing w:before="0" w:after="0"/>
              <w:ind w:left="0" w:right="0" w:hanging="0"/>
              <w:rPr/>
            </w:pPr>
            <w:r>
              <w:rPr/>
              <w:t> </w:t>
            </w:r>
          </w:p>
        </w:tc>
        <w:tc>
          <w:tcPr>
            <w:tcW w:w="123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3, 2004</w:t>
            </w:r>
          </w:p>
        </w:tc>
        <w:tc>
          <w:tcPr>
            <w:tcW w:w="112" w:type="dxa"/>
            <w:tcBorders/>
            <w:shd w:fill="auto" w:val="clear"/>
            <w:vAlign w:val="bottom"/>
          </w:tcPr>
          <w:p>
            <w:pPr>
              <w:pStyle w:val="TableContents"/>
              <w:spacing w:before="0" w:after="0"/>
              <w:ind w:left="0" w:right="0" w:hanging="0"/>
              <w:rPr/>
            </w:pPr>
            <w:r>
              <w:rPr/>
              <w:t> </w:t>
            </w:r>
          </w:p>
        </w:tc>
      </w:tr>
      <w:tr>
        <w:trPr/>
        <w:tc>
          <w:tcPr>
            <w:tcW w:w="4713" w:type="dxa"/>
            <w:tcBorders/>
            <w:shd w:fill="auto" w:val="clear"/>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471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earnings</w:t>
            </w:r>
          </w:p>
        </w:tc>
        <w:tc>
          <w:tcPr>
            <w:tcW w:w="112"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3,693</w:t>
            </w:r>
          </w:p>
        </w:tc>
        <w:tc>
          <w:tcPr>
            <w:tcW w:w="112"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7,869</w:t>
            </w:r>
          </w:p>
        </w:tc>
        <w:tc>
          <w:tcPr>
            <w:tcW w:w="112"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8,199</w:t>
            </w:r>
          </w:p>
        </w:tc>
        <w:tc>
          <w:tcPr>
            <w:tcW w:w="112"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8,770</w:t>
            </w:r>
          </w:p>
        </w:tc>
        <w:tc>
          <w:tcPr>
            <w:tcW w:w="112" w:type="dxa"/>
            <w:tcBorders/>
            <w:shd w:fill="CCEEFF" w:val="clear"/>
            <w:vAlign w:val="bottom"/>
          </w:tcPr>
          <w:p>
            <w:pPr>
              <w:pStyle w:val="TableContents"/>
              <w:spacing w:before="0" w:after="0"/>
              <w:ind w:left="0" w:right="0" w:hanging="0"/>
              <w:rPr/>
            </w:pPr>
            <w:r>
              <w:rPr/>
              <w:t> </w:t>
            </w:r>
          </w:p>
        </w:tc>
      </w:tr>
      <w:tr>
        <w:trPr/>
        <w:tc>
          <w:tcPr>
            <w:tcW w:w="47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Adjustments:</w:t>
            </w:r>
          </w:p>
        </w:tc>
        <w:tc>
          <w:tcPr>
            <w:tcW w:w="112"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471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12"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4,553</w:t>
            </w:r>
          </w:p>
        </w:tc>
        <w:tc>
          <w:tcPr>
            <w:tcW w:w="112"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5,754</w:t>
            </w:r>
          </w:p>
        </w:tc>
        <w:tc>
          <w:tcPr>
            <w:tcW w:w="112"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9,394</w:t>
            </w:r>
          </w:p>
        </w:tc>
        <w:tc>
          <w:tcPr>
            <w:tcW w:w="112"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12,249</w:t>
            </w:r>
          </w:p>
        </w:tc>
        <w:tc>
          <w:tcPr>
            <w:tcW w:w="112" w:type="dxa"/>
            <w:tcBorders/>
            <w:shd w:fill="CCEEFF" w:val="clear"/>
            <w:vAlign w:val="bottom"/>
          </w:tcPr>
          <w:p>
            <w:pPr>
              <w:pStyle w:val="TableContents"/>
              <w:spacing w:before="0" w:after="0"/>
              <w:ind w:left="0" w:right="0" w:hanging="0"/>
              <w:rPr/>
            </w:pPr>
            <w:r>
              <w:rPr/>
              <w:t> </w:t>
            </w:r>
          </w:p>
        </w:tc>
      </w:tr>
      <w:tr>
        <w:trPr/>
        <w:tc>
          <w:tcPr>
            <w:tcW w:w="47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112"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2,718</w:t>
            </w:r>
          </w:p>
        </w:tc>
        <w:tc>
          <w:tcPr>
            <w:tcW w:w="112"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418</w:t>
            </w:r>
          </w:p>
        </w:tc>
        <w:tc>
          <w:tcPr>
            <w:tcW w:w="112"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1,513</w:t>
            </w:r>
          </w:p>
        </w:tc>
        <w:tc>
          <w:tcPr>
            <w:tcW w:w="112"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616</w:t>
            </w:r>
          </w:p>
        </w:tc>
        <w:tc>
          <w:tcPr>
            <w:tcW w:w="112" w:type="dxa"/>
            <w:tcBorders/>
            <w:shd w:fill="auto" w:val="clear"/>
            <w:vAlign w:val="bottom"/>
          </w:tcPr>
          <w:p>
            <w:pPr>
              <w:pStyle w:val="TableContents"/>
              <w:spacing w:before="0" w:after="0"/>
              <w:ind w:left="0" w:right="0" w:hanging="0"/>
              <w:rPr/>
            </w:pPr>
            <w:r>
              <w:rPr/>
              <w:t> </w:t>
            </w:r>
          </w:p>
        </w:tc>
      </w:tr>
      <w:tr>
        <w:trPr/>
        <w:tc>
          <w:tcPr>
            <w:tcW w:w="471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112"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6,086</w:t>
            </w:r>
          </w:p>
        </w:tc>
        <w:tc>
          <w:tcPr>
            <w:tcW w:w="112"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6,850</w:t>
            </w:r>
          </w:p>
        </w:tc>
        <w:tc>
          <w:tcPr>
            <w:tcW w:w="112"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12,778</w:t>
            </w:r>
          </w:p>
        </w:tc>
        <w:tc>
          <w:tcPr>
            <w:tcW w:w="112"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14,707</w:t>
            </w:r>
          </w:p>
        </w:tc>
        <w:tc>
          <w:tcPr>
            <w:tcW w:w="112" w:type="dxa"/>
            <w:tcBorders/>
            <w:shd w:fill="CCEEFF" w:val="clear"/>
            <w:vAlign w:val="bottom"/>
          </w:tcPr>
          <w:p>
            <w:pPr>
              <w:pStyle w:val="TableContents"/>
              <w:spacing w:before="0" w:after="0"/>
              <w:ind w:left="0" w:right="0" w:hanging="0"/>
              <w:rPr/>
            </w:pPr>
            <w:r>
              <w:rPr/>
              <w:t> </w:t>
            </w:r>
          </w:p>
        </w:tc>
      </w:tr>
      <w:tr>
        <w:trPr/>
        <w:tc>
          <w:tcPr>
            <w:tcW w:w="47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Gains on repurchase of Senior Subordinated Notes</w:t>
            </w:r>
          </w:p>
        </w:tc>
        <w:tc>
          <w:tcPr>
            <w:tcW w:w="112"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(2,902</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(287</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(5,223</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71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Deferred stock compensation</w:t>
            </w:r>
          </w:p>
        </w:tc>
        <w:tc>
          <w:tcPr>
            <w:tcW w:w="112"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12"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12"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112"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w:t>
            </w:r>
          </w:p>
        </w:tc>
        <w:tc>
          <w:tcPr>
            <w:tcW w:w="112" w:type="dxa"/>
            <w:tcBorders/>
            <w:shd w:fill="CCEEFF" w:val="clear"/>
            <w:vAlign w:val="bottom"/>
          </w:tcPr>
          <w:p>
            <w:pPr>
              <w:pStyle w:val="TableContents"/>
              <w:spacing w:before="0" w:after="0"/>
              <w:ind w:left="0" w:right="0" w:hanging="0"/>
              <w:rPr/>
            </w:pPr>
            <w:r>
              <w:rPr/>
              <w:t> </w:t>
            </w:r>
          </w:p>
        </w:tc>
      </w:tr>
      <w:tr>
        <w:trPr/>
        <w:tc>
          <w:tcPr>
            <w:tcW w:w="47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Impairment of long-lived assets</w:t>
            </w:r>
          </w:p>
        </w:tc>
        <w:tc>
          <w:tcPr>
            <w:tcW w:w="112"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336</w:t>
            </w:r>
          </w:p>
        </w:tc>
        <w:tc>
          <w:tcPr>
            <w:tcW w:w="112"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550</w:t>
            </w:r>
          </w:p>
        </w:tc>
        <w:tc>
          <w:tcPr>
            <w:tcW w:w="112" w:type="dxa"/>
            <w:tcBorders/>
            <w:shd w:fill="auto" w:val="clear"/>
            <w:vAlign w:val="bottom"/>
          </w:tcPr>
          <w:p>
            <w:pPr>
              <w:pStyle w:val="TableContents"/>
              <w:spacing w:before="0" w:after="0"/>
              <w:ind w:left="0" w:right="0" w:hanging="0"/>
              <w:rPr/>
            </w:pPr>
            <w:r>
              <w:rPr/>
              <w:t> </w:t>
            </w:r>
          </w:p>
        </w:tc>
      </w:tr>
      <w:tr>
        <w:trPr/>
        <w:tc>
          <w:tcPr>
            <w:tcW w:w="471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Interest income</w:t>
            </w:r>
          </w:p>
        </w:tc>
        <w:tc>
          <w:tcPr>
            <w:tcW w:w="112" w:type="dxa"/>
            <w:tcBorders/>
            <w:shd w:fill="CCEEFF" w:val="clear"/>
            <w:vAlign w:val="bottom"/>
          </w:tcPr>
          <w:p>
            <w:pPr>
              <w:pStyle w:val="TableContents"/>
              <w:spacing w:before="0" w:after="0"/>
              <w:ind w:left="0" w:right="0" w:hanging="0"/>
              <w:rPr/>
            </w:pPr>
            <w:r>
              <w:rPr/>
              <w:t> </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7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Purchase discounts</w:t>
            </w:r>
          </w:p>
        </w:tc>
        <w:tc>
          <w:tcPr>
            <w:tcW w:w="112" w:type="dxa"/>
            <w:tcBorders/>
            <w:shd w:fill="auto" w:val="clear"/>
            <w:vAlign w:val="bottom"/>
          </w:tcPr>
          <w:p>
            <w:pPr>
              <w:pStyle w:val="TableContents"/>
              <w:spacing w:before="0" w:after="0"/>
              <w:ind w:left="0" w:right="0" w:hanging="0"/>
              <w:rPr/>
            </w:pPr>
            <w:r>
              <w:rPr/>
              <w:t> </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(248</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71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Bank fees</w:t>
            </w:r>
          </w:p>
        </w:tc>
        <w:tc>
          <w:tcPr>
            <w:tcW w:w="112" w:type="dxa"/>
            <w:tcBorders/>
            <w:shd w:fill="CCEEFF" w:val="clear"/>
            <w:vAlign w:val="bottom"/>
          </w:tcPr>
          <w:p>
            <w:pPr>
              <w:pStyle w:val="TableContents"/>
              <w:spacing w:before="0" w:after="0"/>
              <w:ind w:left="0" w:right="0" w:hanging="0"/>
              <w:rPr/>
            </w:pPr>
            <w:r>
              <w:rPr/>
              <w:t> </w:t>
            </w:r>
          </w:p>
        </w:tc>
        <w:tc>
          <w:tcPr>
            <w:tcW w:w="12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112" w:type="dxa"/>
            <w:tcBorders/>
            <w:shd w:fill="CCEEFF" w:val="clear"/>
            <w:vAlign w:val="bottom"/>
          </w:tcPr>
          <w:p>
            <w:pPr>
              <w:pStyle w:val="TableContents"/>
              <w:spacing w:before="0" w:after="0"/>
              <w:ind w:left="0" w:right="0" w:hanging="0"/>
              <w:rPr/>
            </w:pPr>
            <w:r>
              <w:rPr/>
              <w:t> </w:t>
            </w:r>
          </w:p>
        </w:tc>
        <w:tc>
          <w:tcPr>
            <w:tcW w:w="12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112" w:type="dxa"/>
            <w:tcBorders/>
            <w:shd w:fill="CCEEFF" w:val="clear"/>
            <w:vAlign w:val="bottom"/>
          </w:tcPr>
          <w:p>
            <w:pPr>
              <w:pStyle w:val="TableContents"/>
              <w:spacing w:before="0" w:after="0"/>
              <w:ind w:left="0" w:right="0" w:hanging="0"/>
              <w:rPr/>
            </w:pPr>
            <w:r>
              <w:rPr/>
              <w:t> </w:t>
            </w:r>
          </w:p>
        </w:tc>
        <w:tc>
          <w:tcPr>
            <w:tcW w:w="12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112" w:type="dxa"/>
            <w:tcBorders/>
            <w:shd w:fill="CCEEFF" w:val="clear"/>
            <w:vAlign w:val="bottom"/>
          </w:tcPr>
          <w:p>
            <w:pPr>
              <w:pStyle w:val="TableContents"/>
              <w:spacing w:before="0" w:after="0"/>
              <w:ind w:left="0" w:right="0" w:hanging="0"/>
              <w:rPr/>
            </w:pPr>
            <w:r>
              <w:rPr/>
              <w:t> </w:t>
            </w:r>
          </w:p>
        </w:tc>
        <w:tc>
          <w:tcPr>
            <w:tcW w:w="12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242</w:t>
            </w:r>
          </w:p>
        </w:tc>
        <w:tc>
          <w:tcPr>
            <w:tcW w:w="112" w:type="dxa"/>
            <w:tcBorders/>
            <w:shd w:fill="CCEEFF" w:val="clear"/>
            <w:vAlign w:val="bottom"/>
          </w:tcPr>
          <w:p>
            <w:pPr>
              <w:pStyle w:val="TableContents"/>
              <w:spacing w:before="0" w:after="0"/>
              <w:ind w:left="0" w:right="0" w:hanging="0"/>
              <w:rPr/>
            </w:pPr>
            <w:r>
              <w:rPr/>
              <w:t> </w:t>
            </w:r>
          </w:p>
        </w:tc>
      </w:tr>
      <w:tr>
        <w:trPr/>
        <w:tc>
          <w:tcPr>
            <w:tcW w:w="47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Adjusted EBITDA, as defined</w:t>
            </w:r>
          </w:p>
        </w:tc>
        <w:tc>
          <w:tcPr>
            <w:tcW w:w="112" w:type="dxa"/>
            <w:tcBorders/>
            <w:shd w:fill="auto" w:val="clear"/>
            <w:vAlign w:val="bottom"/>
          </w:tcPr>
          <w:p>
            <w:pPr>
              <w:pStyle w:val="TableContents"/>
              <w:spacing w:before="0" w:after="0"/>
              <w:ind w:left="0" w:right="0" w:hanging="0"/>
              <w:rPr/>
            </w:pPr>
            <w:r>
              <w:rPr/>
              <w:t> </w:t>
            </w:r>
          </w:p>
        </w:tc>
        <w:tc>
          <w:tcPr>
            <w:tcW w:w="112"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1"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16,990</w:t>
            </w:r>
          </w:p>
        </w:tc>
        <w:tc>
          <w:tcPr>
            <w:tcW w:w="112" w:type="dxa"/>
            <w:tcBorders/>
            <w:shd w:fill="auto" w:val="clear"/>
            <w:vAlign w:val="bottom"/>
          </w:tcPr>
          <w:p>
            <w:pPr>
              <w:pStyle w:val="TableContents"/>
              <w:spacing w:before="0" w:after="0"/>
              <w:ind w:left="0" w:right="0" w:hanging="0"/>
              <w:rPr/>
            </w:pPr>
            <w:r>
              <w:rPr/>
              <w:t> </w:t>
            </w:r>
          </w:p>
        </w:tc>
        <w:tc>
          <w:tcPr>
            <w:tcW w:w="111"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17,961</w:t>
            </w:r>
          </w:p>
        </w:tc>
        <w:tc>
          <w:tcPr>
            <w:tcW w:w="112" w:type="dxa"/>
            <w:tcBorders/>
            <w:shd w:fill="auto" w:val="clear"/>
            <w:vAlign w:val="bottom"/>
          </w:tcPr>
          <w:p>
            <w:pPr>
              <w:pStyle w:val="TableContents"/>
              <w:spacing w:before="0" w:after="0"/>
              <w:ind w:left="0" w:right="0" w:hanging="0"/>
              <w:rPr/>
            </w:pPr>
            <w:r>
              <w:rPr/>
              <w:t> </w:t>
            </w:r>
          </w:p>
        </w:tc>
        <w:tc>
          <w:tcPr>
            <w:tcW w:w="111"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31,871</w:t>
            </w:r>
          </w:p>
        </w:tc>
        <w:tc>
          <w:tcPr>
            <w:tcW w:w="112" w:type="dxa"/>
            <w:tcBorders/>
            <w:shd w:fill="auto" w:val="clear"/>
            <w:vAlign w:val="bottom"/>
          </w:tcPr>
          <w:p>
            <w:pPr>
              <w:pStyle w:val="TableContents"/>
              <w:spacing w:before="0" w:after="0"/>
              <w:ind w:left="0" w:right="0" w:hanging="0"/>
              <w:rPr/>
            </w:pPr>
            <w:r>
              <w:rPr/>
              <w:t> </w:t>
            </w:r>
          </w:p>
        </w:tc>
        <w:tc>
          <w:tcPr>
            <w:tcW w:w="111"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31,599</w:t>
            </w:r>
          </w:p>
        </w:tc>
        <w:tc>
          <w:tcPr>
            <w:tcW w:w="11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EBITDA does not represent cash flow from operations as defined by generally accepted accounting principles, is not necessarily indicative of cash available to fund all capital expenditures, debt service costs and payment of income taxes, should not be considered an alternative to net income or to cash flow from operations (as determined in accordance with GAAP) and should not be considered an indication of our operating performance or as a measure of liquidity.  EBITDA is not necessarily comparable to similarly titled measures for other companies.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23</w:t>
      </w:r>
    </w:p>
    <w:p>
      <w:pPr>
        <w:pStyle w:val="HorizontalLine"/>
        <w:pBdr>
          <w:bottom w:val="single" w:sz="12" w:space="0" w:color="808080"/>
        </w:pBdr>
        <w:spacing w:before="0" w:after="0"/>
        <w:rPr/>
      </w:pPr>
      <w:r>
        <w:rPr/>
      </w:r>
      <w:r>
        <w:br w:type="page"/>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The following table presents the financial measures calculated and presented in accordance with generally accepted accounting principles that are most directly comparable to EBITDA, as defined (in thousands):</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4386"/>
        <w:gridCol w:w="119"/>
        <w:gridCol w:w="137"/>
        <w:gridCol w:w="1167"/>
        <w:gridCol w:w="126"/>
        <w:gridCol w:w="137"/>
        <w:gridCol w:w="1167"/>
        <w:gridCol w:w="126"/>
        <w:gridCol w:w="151"/>
        <w:gridCol w:w="1134"/>
        <w:gridCol w:w="126"/>
        <w:gridCol w:w="137"/>
        <w:gridCol w:w="1156"/>
        <w:gridCol w:w="136"/>
      </w:tblGrid>
      <w:tr>
        <w:trPr/>
        <w:tc>
          <w:tcPr>
            <w:tcW w:w="4386" w:type="dxa"/>
            <w:tcBorders/>
            <w:shd w:fill="auto" w:val="clear"/>
            <w:vAlign w:val="bottom"/>
          </w:tcPr>
          <w:p>
            <w:pPr>
              <w:pStyle w:val="TableContents"/>
              <w:spacing w:before="0" w:after="0"/>
              <w:ind w:left="0" w:right="0" w:hanging="0"/>
              <w:jc w:val="center"/>
              <w:rPr/>
            </w:pPr>
            <w:r>
              <w:rPr/>
              <w:t> </w:t>
            </w:r>
          </w:p>
        </w:tc>
        <w:tc>
          <w:tcPr>
            <w:tcW w:w="119" w:type="dxa"/>
            <w:tcBorders/>
            <w:shd w:fill="auto" w:val="clear"/>
            <w:vAlign w:val="bottom"/>
          </w:tcPr>
          <w:p>
            <w:pPr>
              <w:pStyle w:val="TableContents"/>
              <w:spacing w:before="0" w:after="0"/>
              <w:ind w:left="0" w:right="0" w:hanging="0"/>
              <w:rPr/>
            </w:pPr>
            <w:r>
              <w:rPr/>
              <w:t> </w:t>
            </w:r>
          </w:p>
        </w:tc>
        <w:tc>
          <w:tcPr>
            <w:tcW w:w="273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26" w:type="dxa"/>
            <w:tcBorders/>
            <w:shd w:fill="auto" w:val="clear"/>
            <w:vAlign w:val="bottom"/>
          </w:tcPr>
          <w:p>
            <w:pPr>
              <w:pStyle w:val="TableContents"/>
              <w:spacing w:before="0" w:after="0"/>
              <w:ind w:left="0" w:right="0" w:hanging="0"/>
              <w:rPr/>
            </w:pPr>
            <w:r>
              <w:rPr/>
              <w:t> </w:t>
            </w:r>
          </w:p>
        </w:tc>
        <w:tc>
          <w:tcPr>
            <w:tcW w:w="270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Rolling Twelve Months</w:t>
            </w:r>
          </w:p>
        </w:tc>
        <w:tc>
          <w:tcPr>
            <w:tcW w:w="136" w:type="dxa"/>
            <w:tcBorders/>
            <w:shd w:fill="auto" w:val="clear"/>
            <w:vAlign w:val="bottom"/>
          </w:tcPr>
          <w:p>
            <w:pPr>
              <w:pStyle w:val="TableContents"/>
              <w:spacing w:before="0" w:after="0"/>
              <w:ind w:left="0" w:right="0" w:hanging="0"/>
              <w:rPr/>
            </w:pPr>
            <w:r>
              <w:rPr/>
              <w:t> </w:t>
            </w:r>
          </w:p>
        </w:tc>
      </w:tr>
      <w:tr>
        <w:trPr/>
        <w:tc>
          <w:tcPr>
            <w:tcW w:w="4386" w:type="dxa"/>
            <w:tcBorders/>
            <w:shd w:fill="auto" w:val="clear"/>
            <w:vAlign w:val="bottom"/>
          </w:tcPr>
          <w:p>
            <w:pPr>
              <w:pStyle w:val="TableContents"/>
              <w:spacing w:before="0" w:after="0"/>
              <w:ind w:left="0" w:right="0" w:hanging="0"/>
              <w:jc w:val="center"/>
              <w:rPr/>
            </w:pPr>
            <w:r>
              <w:rPr/>
              <w:t> </w:t>
            </w:r>
          </w:p>
        </w:tc>
        <w:tc>
          <w:tcPr>
            <w:tcW w:w="119" w:type="dxa"/>
            <w:tcBorders/>
            <w:shd w:fill="auto"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2, 2005</w:t>
            </w:r>
          </w:p>
        </w:tc>
        <w:tc>
          <w:tcPr>
            <w:tcW w:w="126" w:type="dxa"/>
            <w:tcBorders>
              <w:top w:val="single" w:sz="8" w:space="0" w:color="000000"/>
            </w:tcBorders>
            <w:shd w:fill="auto" w:val="clear"/>
            <w:tcMar>
              <w:top w:w="28" w:type="dxa"/>
            </w:tcMar>
            <w:vAlign w:val="bottom"/>
          </w:tcPr>
          <w:p>
            <w:pPr>
              <w:pStyle w:val="TableContents"/>
              <w:spacing w:before="0" w:after="0"/>
              <w:ind w:left="0" w:right="0" w:hanging="0"/>
              <w:rPr/>
            </w:pPr>
            <w:r>
              <w:rPr/>
              <w:t> </w:t>
            </w:r>
          </w:p>
        </w:tc>
        <w:tc>
          <w:tcPr>
            <w:tcW w:w="130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3, 2004</w:t>
            </w:r>
          </w:p>
        </w:tc>
        <w:tc>
          <w:tcPr>
            <w:tcW w:w="126" w:type="dxa"/>
            <w:tcBorders/>
            <w:shd w:fill="auto" w:val="clear"/>
            <w:vAlign w:val="bottom"/>
          </w:tcPr>
          <w:p>
            <w:pPr>
              <w:pStyle w:val="TableContents"/>
              <w:spacing w:before="0" w:after="0"/>
              <w:ind w:left="0" w:right="0" w:hanging="0"/>
              <w:rPr/>
            </w:pPr>
            <w:r>
              <w:rPr/>
              <w:t> </w:t>
            </w:r>
          </w:p>
        </w:tc>
        <w:tc>
          <w:tcPr>
            <w:tcW w:w="128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2, 2005</w:t>
            </w:r>
          </w:p>
        </w:tc>
        <w:tc>
          <w:tcPr>
            <w:tcW w:w="126" w:type="dxa"/>
            <w:tcBorders>
              <w:top w:val="single" w:sz="8" w:space="0" w:color="000000"/>
            </w:tcBorders>
            <w:shd w:fill="auto" w:val="clear"/>
            <w:tcMar>
              <w:top w:w="28" w:type="dxa"/>
            </w:tcMar>
            <w:vAlign w:val="bottom"/>
          </w:tcPr>
          <w:p>
            <w:pPr>
              <w:pStyle w:val="TableContents"/>
              <w:spacing w:before="0" w:after="0"/>
              <w:ind w:left="0" w:right="0" w:hanging="0"/>
              <w:rPr/>
            </w:pPr>
            <w:r>
              <w:rPr/>
              <w:t> </w:t>
            </w:r>
          </w:p>
        </w:tc>
        <w:tc>
          <w:tcPr>
            <w:tcW w:w="129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July 3, 2004</w:t>
            </w:r>
          </w:p>
        </w:tc>
        <w:tc>
          <w:tcPr>
            <w:tcW w:w="136" w:type="dxa"/>
            <w:tcBorders/>
            <w:shd w:fill="auto" w:val="clear"/>
            <w:vAlign w:val="bottom"/>
          </w:tcPr>
          <w:p>
            <w:pPr>
              <w:pStyle w:val="TableContents"/>
              <w:spacing w:before="0" w:after="0"/>
              <w:ind w:left="0" w:right="0" w:hanging="0"/>
              <w:rPr/>
            </w:pPr>
            <w:r>
              <w:rPr/>
              <w:t> </w:t>
            </w:r>
          </w:p>
        </w:tc>
      </w:tr>
      <w:tr>
        <w:trPr/>
        <w:tc>
          <w:tcPr>
            <w:tcW w:w="4386" w:type="dxa"/>
            <w:tcBorders/>
            <w:shd w:fill="auto" w:val="clear"/>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6"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6" w:type="dxa"/>
            <w:tcBorders/>
            <w:shd w:fill="auto" w:val="clear"/>
            <w:vAlign w:val="bottom"/>
          </w:tcPr>
          <w:p>
            <w:pPr>
              <w:pStyle w:val="TableContents"/>
              <w:spacing w:before="0" w:after="0"/>
              <w:ind w:left="0" w:right="0" w:hanging="0"/>
              <w:rPr/>
            </w:pPr>
            <w:r>
              <w:rPr/>
              <w:t> </w:t>
            </w:r>
          </w:p>
        </w:tc>
        <w:tc>
          <w:tcPr>
            <w:tcW w:w="1285" w:type="dxa"/>
            <w:gridSpan w:val="2"/>
            <w:tcBorders/>
            <w:shd w:fill="auto" w:val="clear"/>
            <w:vAlign w:val="bottom"/>
          </w:tcPr>
          <w:p>
            <w:pPr>
              <w:pStyle w:val="TableContents"/>
              <w:spacing w:before="0" w:after="0"/>
              <w:ind w:left="0" w:right="0" w:hanging="0"/>
              <w:jc w:val="right"/>
              <w:rPr/>
            </w:pPr>
            <w:r>
              <w:rPr/>
              <w:t> </w:t>
            </w:r>
          </w:p>
        </w:tc>
        <w:tc>
          <w:tcPr>
            <w:tcW w:w="126" w:type="dxa"/>
            <w:tcBorders/>
            <w:shd w:fill="auto" w:val="clear"/>
            <w:vAlign w:val="bottom"/>
          </w:tcPr>
          <w:p>
            <w:pPr>
              <w:pStyle w:val="TableContents"/>
              <w:spacing w:before="0" w:after="0"/>
              <w:ind w:left="0" w:right="0" w:hanging="0"/>
              <w:rPr/>
            </w:pPr>
            <w:r>
              <w:rPr/>
              <w:t> </w:t>
            </w:r>
          </w:p>
        </w:tc>
        <w:tc>
          <w:tcPr>
            <w:tcW w:w="1293" w:type="dxa"/>
            <w:gridSpan w:val="2"/>
            <w:tcBorders/>
            <w:shd w:fill="auto" w:val="clear"/>
            <w:vAlign w:val="bottom"/>
          </w:tcPr>
          <w:p>
            <w:pPr>
              <w:pStyle w:val="TableContents"/>
              <w:spacing w:before="0" w:after="0"/>
              <w:ind w:left="0" w:right="0" w:hanging="0"/>
              <w:jc w:val="right"/>
              <w:rPr/>
            </w:pPr>
            <w:r>
              <w:rPr/>
              <w:t> </w:t>
            </w:r>
          </w:p>
        </w:tc>
        <w:tc>
          <w:tcPr>
            <w:tcW w:w="136" w:type="dxa"/>
            <w:tcBorders/>
            <w:shd w:fill="auto" w:val="clear"/>
            <w:vAlign w:val="bottom"/>
          </w:tcPr>
          <w:p>
            <w:pPr>
              <w:pStyle w:val="TableContents"/>
              <w:spacing w:before="0" w:after="0"/>
              <w:ind w:left="0" w:right="0" w:hanging="0"/>
              <w:rPr/>
            </w:pPr>
            <w:r>
              <w:rPr/>
              <w:t> </w:t>
            </w:r>
          </w:p>
        </w:tc>
      </w:tr>
      <w:tr>
        <w:trPr/>
        <w:tc>
          <w:tcPr>
            <w:tcW w:w="438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cash provided by operating activities</w:t>
            </w:r>
          </w:p>
        </w:tc>
        <w:tc>
          <w:tcPr>
            <w:tcW w:w="119" w:type="dxa"/>
            <w:tcBorders/>
            <w:shd w:fill="CCEEFF" w:val="clear"/>
            <w:vAlign w:val="bottom"/>
          </w:tcPr>
          <w:p>
            <w:pPr>
              <w:pStyle w:val="TableContents"/>
              <w:spacing w:before="0" w:after="0"/>
              <w:ind w:left="0" w:right="0" w:hanging="0"/>
              <w:rPr/>
            </w:pPr>
            <w:r>
              <w:rPr/>
              <w:t> </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12,266</w:t>
            </w:r>
          </w:p>
        </w:tc>
        <w:tc>
          <w:tcPr>
            <w:tcW w:w="126" w:type="dxa"/>
            <w:tcBorders/>
            <w:shd w:fill="CCEEFF" w:val="clear"/>
            <w:vAlign w:val="bottom"/>
          </w:tcPr>
          <w:p>
            <w:pPr>
              <w:pStyle w:val="TableContents"/>
              <w:spacing w:before="0" w:after="0"/>
              <w:ind w:left="0" w:right="0" w:hanging="0"/>
              <w:rPr/>
            </w:pPr>
            <w:r>
              <w:rPr/>
              <w:t> </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14,831</w:t>
            </w:r>
          </w:p>
        </w:tc>
        <w:tc>
          <w:tcPr>
            <w:tcW w:w="126" w:type="dxa"/>
            <w:tcBorders/>
            <w:shd w:fill="CCEEFF" w:val="clear"/>
            <w:vAlign w:val="bottom"/>
          </w:tcPr>
          <w:p>
            <w:pPr>
              <w:pStyle w:val="TableContents"/>
              <w:spacing w:before="0" w:after="0"/>
              <w:ind w:left="0" w:right="0" w:hanging="0"/>
              <w:rPr/>
            </w:pPr>
            <w:r>
              <w:rPr/>
              <w:t> </w:t>
            </w:r>
          </w:p>
        </w:tc>
        <w:tc>
          <w:tcPr>
            <w:tcW w:w="12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21,160</w:t>
            </w:r>
          </w:p>
        </w:tc>
        <w:tc>
          <w:tcPr>
            <w:tcW w:w="126" w:type="dxa"/>
            <w:tcBorders/>
            <w:shd w:fill="CCEEFF" w:val="clear"/>
            <w:vAlign w:val="bottom"/>
          </w:tcPr>
          <w:p>
            <w:pPr>
              <w:pStyle w:val="TableContents"/>
              <w:spacing w:before="0" w:after="0"/>
              <w:ind w:left="0" w:right="0" w:hanging="0"/>
              <w:rPr/>
            </w:pPr>
            <w:r>
              <w:rPr/>
              <w:t> </w:t>
            </w:r>
          </w:p>
        </w:tc>
        <w:tc>
          <w:tcPr>
            <w:tcW w:w="12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19,684</w:t>
            </w:r>
          </w:p>
        </w:tc>
        <w:tc>
          <w:tcPr>
            <w:tcW w:w="136" w:type="dxa"/>
            <w:tcBorders/>
            <w:shd w:fill="CCEEFF" w:val="clear"/>
            <w:vAlign w:val="bottom"/>
          </w:tcPr>
          <w:p>
            <w:pPr>
              <w:pStyle w:val="TableContents"/>
              <w:spacing w:before="0" w:after="0"/>
              <w:ind w:left="0" w:right="0" w:hanging="0"/>
              <w:rPr/>
            </w:pPr>
            <w:r>
              <w:rPr/>
              <w:t> </w:t>
            </w:r>
          </w:p>
        </w:tc>
      </w:tr>
      <w:tr>
        <w:trPr/>
        <w:tc>
          <w:tcPr>
            <w:tcW w:w="438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cash used by investing activities</w:t>
            </w:r>
          </w:p>
        </w:tc>
        <w:tc>
          <w:tcPr>
            <w:tcW w:w="119"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(3,261</w:t>
            </w:r>
          </w:p>
        </w:tc>
        <w:tc>
          <w:tcPr>
            <w:tcW w:w="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(1,601</w:t>
            </w:r>
          </w:p>
        </w:tc>
        <w:tc>
          <w:tcPr>
            <w:tcW w:w="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(6,552</w:t>
            </w:r>
          </w:p>
        </w:tc>
        <w:tc>
          <w:tcPr>
            <w:tcW w:w="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(4,380</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38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cash used by financing activities</w:t>
            </w:r>
          </w:p>
        </w:tc>
        <w:tc>
          <w:tcPr>
            <w:tcW w:w="119" w:type="dxa"/>
            <w:tcBorders/>
            <w:shd w:fill="CCEEFF"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(10,854</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(11,769</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(13,605</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(20,911</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38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increase (decrease) in cash</w:t>
            </w:r>
          </w:p>
        </w:tc>
        <w:tc>
          <w:tcPr>
            <w:tcW w:w="119" w:type="dxa"/>
            <w:tcBorders/>
            <w:shd w:fill="auto" w:val="clear"/>
            <w:vAlign w:val="bottom"/>
          </w:tcPr>
          <w:p>
            <w:pPr>
              <w:pStyle w:val="TableContents"/>
              <w:spacing w:before="0" w:after="0"/>
              <w:ind w:left="0" w:right="0" w:hanging="0"/>
              <w:rPr/>
            </w:pPr>
            <w:r>
              <w:rPr/>
              <w:t> </w:t>
            </w:r>
          </w:p>
        </w:tc>
        <w:tc>
          <w:tcPr>
            <w:tcW w:w="137"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7"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(1,849</w:t>
            </w:r>
          </w:p>
        </w:tc>
        <w:tc>
          <w:tcPr>
            <w:tcW w:w="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7"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7"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1,461</w:t>
            </w:r>
          </w:p>
        </w:tc>
        <w:tc>
          <w:tcPr>
            <w:tcW w:w="126" w:type="dxa"/>
            <w:tcBorders/>
            <w:shd w:fill="auto" w:val="clear"/>
            <w:vAlign w:val="bottom"/>
          </w:tcPr>
          <w:p>
            <w:pPr>
              <w:pStyle w:val="TableContents"/>
              <w:spacing w:before="0" w:after="0"/>
              <w:ind w:left="0" w:right="0" w:hanging="0"/>
              <w:rPr/>
            </w:pPr>
            <w:r>
              <w:rPr/>
              <w:t> </w:t>
            </w:r>
          </w:p>
        </w:tc>
        <w:tc>
          <w:tcPr>
            <w:tcW w:w="151"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4"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1,003</w:t>
            </w:r>
          </w:p>
        </w:tc>
        <w:tc>
          <w:tcPr>
            <w:tcW w:w="126" w:type="dxa"/>
            <w:tcBorders/>
            <w:shd w:fill="auto" w:val="clear"/>
            <w:vAlign w:val="bottom"/>
          </w:tcPr>
          <w:p>
            <w:pPr>
              <w:pStyle w:val="TableContents"/>
              <w:spacing w:before="0" w:after="0"/>
              <w:ind w:left="0" w:right="0" w:hanging="0"/>
              <w:rPr/>
            </w:pPr>
            <w:r>
              <w:rPr/>
              <w:t> </w:t>
            </w:r>
          </w:p>
        </w:tc>
        <w:tc>
          <w:tcPr>
            <w:tcW w:w="137" w:type="dxa"/>
            <w:tcBorders>
              <w:bottom w:val="double" w:sz="4"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6" w:type="dxa"/>
            <w:tcBorders>
              <w:top w:val="single" w:sz="8" w:space="0" w:color="000000"/>
              <w:bottom w:val="double" w:sz="4"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(5,607</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38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Companys capital expenditures have historically been for store openings, relocations, and remodeling, lensmaking and other optometric equipment.  Capital costs for the eight freestanding stores opened through July 2, 2005 averaged approximately $225,000 per store.  We opened seven new military locations in the six-month period ended July 2, 2005, one additional military location in July and we intend to bid on several other locations during 2005 as the current contracts expire.  Capital costs for the seven new military locations we opened during the first six-months of 2005 averaged $79,000 per store.   During the first six-months of 2005 we incurred capital costs of approximately $84,000 for each of three of our Wal-Mart vision centers at the time their lease was extended because Wal-Mart converted the stores to a Supercenter.  During the remainder of 2005, we expect to refixture five additional vision centers due to Wal-Mart Supercenter conversions.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expect that cash flow generated by 2005 operations will be sufficient to fund debt service costs and the capital costs associated with new store openings.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we expect to record an income tax provision in 2005 at a rate of 42.4% of pre-tax income, we do not anticipate that our actual obligations to pay income taxes will increase from 2004s rate of less than 5% of pre-tax income because of our ability to utilize net operating tax loss carry-forwards to offset our regular federal tax liability and substantially all of our state tax liabilities.  We estimate that our usable federal net operating loss carry-forward is approximately $61.1 million at January 1, 2005.  Available state net operating loss carry-forwards vary by jurisdiction.  Many of these tax losses, particularly the federal loss carry-forward, are subject to significant limitations in certain circumstances.</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17"/>
        </w:rPr>
      </w:pPr>
      <w:r>
        <w:rPr>
          <w:rFonts w:ascii="Times New Roman" w:hAnsi="Times New Roman"/>
          <w:b/>
          <w:sz w:val="17"/>
        </w:rPr>
        <w:t>FUTURE COMMITMENTS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The table below sets forth our contractual obligations as of July 2, 2005 (amounts in thousands):</w:t>
      </w:r>
    </w:p>
    <w:p>
      <w:pPr>
        <w:pStyle w:val="TextBody"/>
        <w:spacing w:before="0" w:after="0"/>
        <w:ind w:left="0" w:right="0" w:hanging="0"/>
        <w:jc w:val="left"/>
        <w:rPr/>
      </w:pPr>
      <w:r>
        <w:rPr/>
        <w:t> </w:t>
      </w:r>
    </w:p>
    <w:tbl>
      <w:tblPr>
        <w:tblW w:w="4950" w:type="pct"/>
        <w:jc w:val="left"/>
        <w:tblInd w:w="0" w:type="dxa"/>
        <w:tblCellMar>
          <w:top w:w="0" w:type="dxa"/>
          <w:left w:w="0" w:type="dxa"/>
          <w:bottom w:w="0" w:type="dxa"/>
          <w:right w:w="0" w:type="dxa"/>
        </w:tblCellMar>
      </w:tblPr>
      <w:tblGrid>
        <w:gridCol w:w="3219"/>
        <w:gridCol w:w="115"/>
        <w:gridCol w:w="117"/>
        <w:gridCol w:w="929"/>
        <w:gridCol w:w="115"/>
        <w:gridCol w:w="117"/>
        <w:gridCol w:w="701"/>
        <w:gridCol w:w="115"/>
        <w:gridCol w:w="117"/>
        <w:gridCol w:w="701"/>
        <w:gridCol w:w="115"/>
        <w:gridCol w:w="117"/>
        <w:gridCol w:w="696"/>
        <w:gridCol w:w="115"/>
        <w:gridCol w:w="117"/>
        <w:gridCol w:w="701"/>
        <w:gridCol w:w="115"/>
        <w:gridCol w:w="117"/>
        <w:gridCol w:w="697"/>
        <w:gridCol w:w="115"/>
        <w:gridCol w:w="117"/>
        <w:gridCol w:w="701"/>
        <w:gridCol w:w="133"/>
      </w:tblGrid>
      <w:tr>
        <w:trPr/>
        <w:tc>
          <w:tcPr>
            <w:tcW w:w="3219" w:type="dxa"/>
            <w:tcBorders/>
            <w:shd w:fill="auto" w:val="clear"/>
            <w:vAlign w:val="bottom"/>
          </w:tcPr>
          <w:p>
            <w:pPr>
              <w:pStyle w:val="TableContents"/>
              <w:spacing w:before="0" w:after="0"/>
              <w:ind w:left="0" w:right="0" w:hanging="0"/>
              <w:jc w:val="center"/>
              <w:rPr/>
            </w:pPr>
            <w:r>
              <w:rPr/>
              <w:t> </w:t>
            </w:r>
          </w:p>
        </w:tc>
        <w:tc>
          <w:tcPr>
            <w:tcW w:w="115" w:type="dxa"/>
            <w:tcBorders/>
            <w:shd w:fill="auto" w:val="clear"/>
            <w:vAlign w:val="bottom"/>
          </w:tcPr>
          <w:p>
            <w:pPr>
              <w:pStyle w:val="TableContents"/>
              <w:spacing w:before="0" w:after="0"/>
              <w:ind w:left="0" w:right="0" w:hanging="0"/>
              <w:rPr/>
            </w:pPr>
            <w:r>
              <w:rPr/>
              <w:t> </w:t>
            </w:r>
          </w:p>
        </w:tc>
        <w:tc>
          <w:tcPr>
            <w:tcW w:w="6635" w:type="dxa"/>
            <w:gridSpan w:val="20"/>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Payments due by fiscal year</w:t>
            </w:r>
          </w:p>
        </w:tc>
        <w:tc>
          <w:tcPr>
            <w:tcW w:w="133" w:type="dxa"/>
            <w:tcBorders/>
            <w:shd w:fill="auto" w:val="clear"/>
            <w:vAlign w:val="bottom"/>
          </w:tcPr>
          <w:p>
            <w:pPr>
              <w:pStyle w:val="TableContents"/>
              <w:spacing w:before="0" w:after="0"/>
              <w:ind w:left="0" w:right="0" w:hanging="0"/>
              <w:rPr/>
            </w:pPr>
            <w:r>
              <w:rPr/>
              <w:t> </w:t>
            </w:r>
          </w:p>
        </w:tc>
      </w:tr>
      <w:tr>
        <w:trPr/>
        <w:tc>
          <w:tcPr>
            <w:tcW w:w="3219" w:type="dxa"/>
            <w:tcBorders/>
            <w:shd w:fill="auto" w:val="clear"/>
            <w:vAlign w:val="bottom"/>
          </w:tcPr>
          <w:p>
            <w:pPr>
              <w:pStyle w:val="TableContents"/>
              <w:spacing w:before="0" w:after="0"/>
              <w:ind w:left="0" w:right="0" w:hanging="0"/>
              <w:jc w:val="center"/>
              <w:rPr/>
            </w:pPr>
            <w:r>
              <w:rPr/>
              <w:t> </w:t>
            </w:r>
          </w:p>
        </w:tc>
        <w:tc>
          <w:tcPr>
            <w:tcW w:w="115" w:type="dxa"/>
            <w:tcBorders/>
            <w:shd w:fill="auto" w:val="clear"/>
            <w:vAlign w:val="bottom"/>
          </w:tcPr>
          <w:p>
            <w:pPr>
              <w:pStyle w:val="TableContents"/>
              <w:spacing w:before="0" w:after="0"/>
              <w:ind w:left="0" w:right="0" w:hanging="0"/>
              <w:rPr/>
            </w:pPr>
            <w:r>
              <w:rPr/>
              <w:t> </w:t>
            </w:r>
          </w:p>
        </w:tc>
        <w:tc>
          <w:tcPr>
            <w:tcW w:w="104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Remainder of</w:t>
              <w:br/>
              <w:t>2005</w:t>
            </w:r>
          </w:p>
        </w:tc>
        <w:tc>
          <w:tcPr>
            <w:tcW w:w="115" w:type="dxa"/>
            <w:tcBorders/>
            <w:shd w:fill="auto" w:val="clear"/>
            <w:vAlign w:val="bottom"/>
          </w:tcPr>
          <w:p>
            <w:pPr>
              <w:pStyle w:val="TableContents"/>
              <w:spacing w:before="0" w:after="0"/>
              <w:ind w:left="0" w:right="0" w:hanging="0"/>
              <w:rPr/>
            </w:pPr>
            <w:r>
              <w:rPr/>
              <w:t> </w:t>
            </w:r>
          </w:p>
        </w:tc>
        <w:tc>
          <w:tcPr>
            <w:tcW w:w="81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2006</w:t>
            </w:r>
          </w:p>
        </w:tc>
        <w:tc>
          <w:tcPr>
            <w:tcW w:w="115" w:type="dxa"/>
            <w:tcBorders/>
            <w:shd w:fill="auto" w:val="clear"/>
            <w:vAlign w:val="bottom"/>
          </w:tcPr>
          <w:p>
            <w:pPr>
              <w:pStyle w:val="TableContents"/>
              <w:spacing w:before="0" w:after="0"/>
              <w:ind w:left="0" w:right="0" w:hanging="0"/>
              <w:rPr/>
            </w:pPr>
            <w:r>
              <w:rPr/>
              <w:t> </w:t>
            </w:r>
          </w:p>
        </w:tc>
        <w:tc>
          <w:tcPr>
            <w:tcW w:w="81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115" w:type="dxa"/>
            <w:tcBorders/>
            <w:shd w:fill="auto" w:val="clear"/>
            <w:vAlign w:val="bottom"/>
          </w:tcPr>
          <w:p>
            <w:pPr>
              <w:pStyle w:val="TableContents"/>
              <w:spacing w:before="0" w:after="0"/>
              <w:ind w:left="0" w:right="0" w:hanging="0"/>
              <w:rPr/>
            </w:pPr>
            <w:r>
              <w:rPr/>
              <w:t> </w:t>
            </w:r>
          </w:p>
        </w:tc>
        <w:tc>
          <w:tcPr>
            <w:tcW w:w="81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15" w:type="dxa"/>
            <w:tcBorders/>
            <w:shd w:fill="auto" w:val="clear"/>
            <w:vAlign w:val="bottom"/>
          </w:tcPr>
          <w:p>
            <w:pPr>
              <w:pStyle w:val="TableContents"/>
              <w:spacing w:before="0" w:after="0"/>
              <w:ind w:left="0" w:right="0" w:hanging="0"/>
              <w:rPr/>
            </w:pPr>
            <w:r>
              <w:rPr/>
              <w:t> </w:t>
            </w:r>
          </w:p>
        </w:tc>
        <w:tc>
          <w:tcPr>
            <w:tcW w:w="81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15" w:type="dxa"/>
            <w:tcBorders/>
            <w:shd w:fill="auto" w:val="clear"/>
            <w:vAlign w:val="bottom"/>
          </w:tcPr>
          <w:p>
            <w:pPr>
              <w:pStyle w:val="TableContents"/>
              <w:spacing w:before="0" w:after="0"/>
              <w:ind w:left="0" w:right="0" w:hanging="0"/>
              <w:rPr/>
            </w:pPr>
            <w:r>
              <w:rPr/>
              <w:t> </w:t>
            </w:r>
          </w:p>
        </w:tc>
        <w:tc>
          <w:tcPr>
            <w:tcW w:w="81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There-</w:t>
              <w:br/>
              <w:t>after</w:t>
            </w:r>
          </w:p>
        </w:tc>
        <w:tc>
          <w:tcPr>
            <w:tcW w:w="115" w:type="dxa"/>
            <w:tcBorders/>
            <w:shd w:fill="auto" w:val="clear"/>
            <w:vAlign w:val="bottom"/>
          </w:tcPr>
          <w:p>
            <w:pPr>
              <w:pStyle w:val="TableContents"/>
              <w:spacing w:before="0" w:after="0"/>
              <w:ind w:left="0" w:right="0" w:hanging="0"/>
              <w:rPr/>
            </w:pPr>
            <w:r>
              <w:rPr/>
              <w:t> </w:t>
            </w:r>
          </w:p>
        </w:tc>
        <w:tc>
          <w:tcPr>
            <w:tcW w:w="81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33" w:type="dxa"/>
            <w:tcBorders/>
            <w:shd w:fill="auto" w:val="clear"/>
            <w:vAlign w:val="bottom"/>
          </w:tcPr>
          <w:p>
            <w:pPr>
              <w:pStyle w:val="TableContents"/>
              <w:spacing w:before="0" w:after="0"/>
              <w:ind w:left="0" w:right="0" w:hanging="0"/>
              <w:rPr/>
            </w:pPr>
            <w:r>
              <w:rPr/>
              <w:t> </w:t>
            </w:r>
          </w:p>
        </w:tc>
      </w:tr>
      <w:tr>
        <w:trPr/>
        <w:tc>
          <w:tcPr>
            <w:tcW w:w="3219" w:type="dxa"/>
            <w:tcBorders/>
            <w:shd w:fill="auto" w:val="clear"/>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pPr>
            <w:r>
              <w:rPr/>
              <w:t> </w:t>
            </w:r>
          </w:p>
        </w:tc>
        <w:tc>
          <w:tcPr>
            <w:tcW w:w="1046"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81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814"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321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Senior Subordinated Notes</w:t>
            </w:r>
          </w:p>
        </w:tc>
        <w:tc>
          <w:tcPr>
            <w:tcW w:w="115" w:type="dxa"/>
            <w:tcBorders/>
            <w:shd w:fill="CCEEFF" w:val="clear"/>
            <w:vAlign w:val="bottom"/>
          </w:tcPr>
          <w:p>
            <w:pPr>
              <w:pStyle w:val="TableContents"/>
              <w:spacing w:before="0" w:after="0"/>
              <w:ind w:left="0" w:right="0" w:hanging="0"/>
              <w:rPr/>
            </w:pPr>
            <w:r>
              <w:rPr/>
              <w:t> </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3,009</w:t>
            </w:r>
          </w:p>
        </w:tc>
        <w:tc>
          <w:tcPr>
            <w:tcW w:w="115" w:type="dxa"/>
            <w:tcBorders/>
            <w:shd w:fill="CCEEFF" w:val="clear"/>
            <w:vAlign w:val="bottom"/>
          </w:tcPr>
          <w:p>
            <w:pPr>
              <w:pStyle w:val="TableContents"/>
              <w:spacing w:before="0" w:after="0"/>
              <w:ind w:left="0" w:right="0" w:hanging="0"/>
              <w:rPr/>
            </w:pPr>
            <w:r>
              <w:rPr/>
              <w:t> </w:t>
            </w:r>
          </w:p>
        </w:tc>
        <w:tc>
          <w:tcPr>
            <w:tcW w:w="818"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c>
          <w:tcPr>
            <w:tcW w:w="818"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c>
          <w:tcPr>
            <w:tcW w:w="813"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63,902</w:t>
            </w:r>
          </w:p>
        </w:tc>
        <w:tc>
          <w:tcPr>
            <w:tcW w:w="115" w:type="dxa"/>
            <w:tcBorders/>
            <w:shd w:fill="CCEEFF" w:val="clear"/>
            <w:vAlign w:val="bottom"/>
          </w:tcPr>
          <w:p>
            <w:pPr>
              <w:pStyle w:val="TableContents"/>
              <w:spacing w:before="0" w:after="0"/>
              <w:ind w:left="0" w:right="0" w:hanging="0"/>
              <w:rPr/>
            </w:pPr>
            <w:r>
              <w:rPr/>
              <w:t> </w:t>
            </w:r>
          </w:p>
        </w:tc>
        <w:tc>
          <w:tcPr>
            <w:tcW w:w="814"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66,911</w:t>
            </w:r>
          </w:p>
        </w:tc>
        <w:tc>
          <w:tcPr>
            <w:tcW w:w="133" w:type="dxa"/>
            <w:tcBorders/>
            <w:shd w:fill="CCEEFF" w:val="clear"/>
            <w:vAlign w:val="bottom"/>
          </w:tcPr>
          <w:p>
            <w:pPr>
              <w:pStyle w:val="TableContents"/>
              <w:spacing w:before="0" w:after="0"/>
              <w:ind w:left="0" w:right="0" w:hanging="0"/>
              <w:rPr/>
            </w:pPr>
            <w:r>
              <w:rPr/>
              <w:t> </w:t>
            </w:r>
          </w:p>
        </w:tc>
      </w:tr>
      <w:tr>
        <w:trPr/>
        <w:tc>
          <w:tcPr>
            <w:tcW w:w="3219" w:type="dxa"/>
            <w:tcBorders/>
            <w:shd w:fill="auto" w:val="clear"/>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pPr>
            <w:r>
              <w:rPr/>
              <w:t> </w:t>
            </w:r>
          </w:p>
        </w:tc>
        <w:tc>
          <w:tcPr>
            <w:tcW w:w="1046"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81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814"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321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15" w:type="dxa"/>
            <w:tcBorders/>
            <w:shd w:fill="CCEEFF" w:val="clear"/>
            <w:vAlign w:val="bottom"/>
          </w:tcPr>
          <w:p>
            <w:pPr>
              <w:pStyle w:val="TableContents"/>
              <w:spacing w:before="0" w:after="0"/>
              <w:ind w:left="0" w:right="0" w:hanging="0"/>
              <w:rPr/>
            </w:pPr>
            <w:r>
              <w:rPr/>
              <w:t> </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3,894</w:t>
            </w:r>
          </w:p>
        </w:tc>
        <w:tc>
          <w:tcPr>
            <w:tcW w:w="115" w:type="dxa"/>
            <w:tcBorders/>
            <w:shd w:fill="CCEEFF" w:val="clear"/>
            <w:vAlign w:val="bottom"/>
          </w:tcPr>
          <w:p>
            <w:pPr>
              <w:pStyle w:val="TableContents"/>
              <w:spacing w:before="0" w:after="0"/>
              <w:ind w:left="0" w:right="0" w:hanging="0"/>
              <w:rPr/>
            </w:pPr>
            <w:r>
              <w:rPr/>
              <w:t> </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7,668</w:t>
            </w:r>
          </w:p>
        </w:tc>
        <w:tc>
          <w:tcPr>
            <w:tcW w:w="115" w:type="dxa"/>
            <w:tcBorders/>
            <w:shd w:fill="CCEEFF" w:val="clear"/>
            <w:vAlign w:val="bottom"/>
          </w:tcPr>
          <w:p>
            <w:pPr>
              <w:pStyle w:val="TableContents"/>
              <w:spacing w:before="0" w:after="0"/>
              <w:ind w:left="0" w:right="0" w:hanging="0"/>
              <w:rPr/>
            </w:pPr>
            <w:r>
              <w:rPr/>
              <w:t> </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7,668</w:t>
            </w:r>
          </w:p>
        </w:tc>
        <w:tc>
          <w:tcPr>
            <w:tcW w:w="115" w:type="dxa"/>
            <w:tcBorders/>
            <w:shd w:fill="CCEEFF" w:val="clear"/>
            <w:vAlign w:val="bottom"/>
          </w:tcPr>
          <w:p>
            <w:pPr>
              <w:pStyle w:val="TableContents"/>
              <w:spacing w:before="0" w:after="0"/>
              <w:ind w:left="0" w:right="0" w:hanging="0"/>
              <w:rPr/>
            </w:pPr>
            <w:r>
              <w:rPr/>
              <w:t> </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7,668</w:t>
            </w:r>
          </w:p>
        </w:tc>
        <w:tc>
          <w:tcPr>
            <w:tcW w:w="115" w:type="dxa"/>
            <w:tcBorders/>
            <w:shd w:fill="CCEEFF" w:val="clear"/>
            <w:vAlign w:val="bottom"/>
          </w:tcPr>
          <w:p>
            <w:pPr>
              <w:pStyle w:val="TableContents"/>
              <w:spacing w:before="0" w:after="0"/>
              <w:ind w:left="0" w:right="0" w:hanging="0"/>
              <w:rPr/>
            </w:pPr>
            <w:r>
              <w:rPr/>
              <w:t> </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1,917</w:t>
            </w:r>
          </w:p>
        </w:tc>
        <w:tc>
          <w:tcPr>
            <w:tcW w:w="115" w:type="dxa"/>
            <w:tcBorders/>
            <w:shd w:fill="CCEEFF" w:val="clear"/>
            <w:vAlign w:val="bottom"/>
          </w:tcPr>
          <w:p>
            <w:pPr>
              <w:pStyle w:val="TableContents"/>
              <w:spacing w:before="0" w:after="0"/>
              <w:ind w:left="0" w:right="0" w:hanging="0"/>
              <w:rPr/>
            </w:pPr>
            <w:r>
              <w:rPr/>
              <w:t> </w:t>
            </w:r>
          </w:p>
        </w:tc>
        <w:tc>
          <w:tcPr>
            <w:tcW w:w="814"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28,815</w:t>
            </w:r>
          </w:p>
        </w:tc>
        <w:tc>
          <w:tcPr>
            <w:tcW w:w="133" w:type="dxa"/>
            <w:tcBorders/>
            <w:shd w:fill="CCEEFF" w:val="clear"/>
            <w:vAlign w:val="bottom"/>
          </w:tcPr>
          <w:p>
            <w:pPr>
              <w:pStyle w:val="TableContents"/>
              <w:spacing w:before="0" w:after="0"/>
              <w:ind w:left="0" w:right="0" w:hanging="0"/>
              <w:rPr/>
            </w:pPr>
            <w:r>
              <w:rPr/>
              <w:t> </w:t>
            </w:r>
          </w:p>
        </w:tc>
      </w:tr>
      <w:tr>
        <w:trPr/>
        <w:tc>
          <w:tcPr>
            <w:tcW w:w="3219" w:type="dxa"/>
            <w:tcBorders/>
            <w:shd w:fill="auto" w:val="clear"/>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pPr>
            <w:r>
              <w:rPr/>
              <w:t> </w:t>
            </w:r>
          </w:p>
        </w:tc>
        <w:tc>
          <w:tcPr>
            <w:tcW w:w="1046"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81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814"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321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Operating lease obligations (a)</w:t>
            </w:r>
          </w:p>
        </w:tc>
        <w:tc>
          <w:tcPr>
            <w:tcW w:w="115" w:type="dxa"/>
            <w:tcBorders/>
            <w:shd w:fill="CCEEFF" w:val="clear"/>
            <w:vAlign w:val="bottom"/>
          </w:tcPr>
          <w:p>
            <w:pPr>
              <w:pStyle w:val="TableContents"/>
              <w:spacing w:before="0" w:after="0"/>
              <w:ind w:left="0" w:right="0" w:hanging="0"/>
              <w:rPr/>
            </w:pPr>
            <w:r>
              <w:rPr/>
              <w:t> </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10,917</w:t>
            </w:r>
          </w:p>
        </w:tc>
        <w:tc>
          <w:tcPr>
            <w:tcW w:w="115" w:type="dxa"/>
            <w:tcBorders/>
            <w:shd w:fill="CCEEFF" w:val="clear"/>
            <w:vAlign w:val="bottom"/>
          </w:tcPr>
          <w:p>
            <w:pPr>
              <w:pStyle w:val="TableContents"/>
              <w:spacing w:before="0" w:after="0"/>
              <w:ind w:left="0" w:right="0" w:hanging="0"/>
              <w:rPr/>
            </w:pPr>
            <w:r>
              <w:rPr/>
              <w:t> </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18,803</w:t>
            </w:r>
          </w:p>
        </w:tc>
        <w:tc>
          <w:tcPr>
            <w:tcW w:w="115" w:type="dxa"/>
            <w:tcBorders/>
            <w:shd w:fill="CCEEFF" w:val="clear"/>
            <w:vAlign w:val="bottom"/>
          </w:tcPr>
          <w:p>
            <w:pPr>
              <w:pStyle w:val="TableContents"/>
              <w:spacing w:before="0" w:after="0"/>
              <w:ind w:left="0" w:right="0" w:hanging="0"/>
              <w:rPr/>
            </w:pPr>
            <w:r>
              <w:rPr/>
              <w:t> </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11,957</w:t>
            </w:r>
          </w:p>
        </w:tc>
        <w:tc>
          <w:tcPr>
            <w:tcW w:w="115" w:type="dxa"/>
            <w:tcBorders/>
            <w:shd w:fill="CCEEFF" w:val="clear"/>
            <w:vAlign w:val="bottom"/>
          </w:tcPr>
          <w:p>
            <w:pPr>
              <w:pStyle w:val="TableContents"/>
              <w:spacing w:before="0" w:after="0"/>
              <w:ind w:left="0" w:right="0" w:hanging="0"/>
              <w:rPr/>
            </w:pPr>
            <w:r>
              <w:rPr/>
              <w:t> </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7,181</w:t>
            </w:r>
          </w:p>
        </w:tc>
        <w:tc>
          <w:tcPr>
            <w:tcW w:w="115" w:type="dxa"/>
            <w:tcBorders/>
            <w:shd w:fill="CCEEFF" w:val="clear"/>
            <w:vAlign w:val="bottom"/>
          </w:tcPr>
          <w:p>
            <w:pPr>
              <w:pStyle w:val="TableContents"/>
              <w:spacing w:before="0" w:after="0"/>
              <w:ind w:left="0" w:right="0" w:hanging="0"/>
              <w:rPr/>
            </w:pPr>
            <w:r>
              <w:rPr/>
              <w:t> </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4,148</w:t>
            </w:r>
          </w:p>
        </w:tc>
        <w:tc>
          <w:tcPr>
            <w:tcW w:w="115" w:type="dxa"/>
            <w:tcBorders/>
            <w:shd w:fill="CCEEFF" w:val="clear"/>
            <w:vAlign w:val="bottom"/>
          </w:tcPr>
          <w:p>
            <w:pPr>
              <w:pStyle w:val="TableContents"/>
              <w:spacing w:before="0" w:after="0"/>
              <w:ind w:left="0" w:right="0" w:hanging="0"/>
              <w:rPr/>
            </w:pPr>
            <w:r>
              <w:rPr/>
              <w:t> </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8,299</w:t>
            </w:r>
          </w:p>
        </w:tc>
        <w:tc>
          <w:tcPr>
            <w:tcW w:w="115" w:type="dxa"/>
            <w:tcBorders/>
            <w:shd w:fill="CCEEFF" w:val="clear"/>
            <w:vAlign w:val="bottom"/>
          </w:tcPr>
          <w:p>
            <w:pPr>
              <w:pStyle w:val="TableContents"/>
              <w:spacing w:before="0" w:after="0"/>
              <w:ind w:left="0" w:right="0" w:hanging="0"/>
              <w:rPr/>
            </w:pPr>
            <w:r>
              <w:rPr/>
              <w:t> </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61,305</w:t>
            </w:r>
          </w:p>
        </w:tc>
        <w:tc>
          <w:tcPr>
            <w:tcW w:w="133" w:type="dxa"/>
            <w:tcBorders/>
            <w:shd w:fill="CCEEFF" w:val="clear"/>
            <w:vAlign w:val="bottom"/>
          </w:tcPr>
          <w:p>
            <w:pPr>
              <w:pStyle w:val="TableContents"/>
              <w:spacing w:before="0" w:after="0"/>
              <w:ind w:left="0" w:right="0" w:hanging="0"/>
              <w:rPr/>
            </w:pPr>
            <w:r>
              <w:rPr/>
              <w:t> </w:t>
            </w:r>
          </w:p>
        </w:tc>
      </w:tr>
      <w:tr>
        <w:trPr/>
        <w:tc>
          <w:tcPr>
            <w:tcW w:w="3219" w:type="dxa"/>
            <w:tcBorders/>
            <w:shd w:fill="auto" w:val="clear"/>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pPr>
            <w:r>
              <w:rPr/>
              <w:t> </w:t>
            </w:r>
          </w:p>
        </w:tc>
        <w:tc>
          <w:tcPr>
            <w:tcW w:w="1046"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81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814"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321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Purchase obligations (b)</w:t>
            </w:r>
          </w:p>
        </w:tc>
        <w:tc>
          <w:tcPr>
            <w:tcW w:w="115" w:type="dxa"/>
            <w:tcBorders/>
            <w:shd w:fill="CCEEFF" w:val="clear"/>
            <w:vAlign w:val="bottom"/>
          </w:tcPr>
          <w:p>
            <w:pPr>
              <w:pStyle w:val="TableContents"/>
              <w:spacing w:before="0" w:after="0"/>
              <w:ind w:left="0" w:right="0" w:hanging="0"/>
              <w:rPr/>
            </w:pPr>
            <w:r>
              <w:rPr/>
              <w:t> </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15" w:type="dxa"/>
            <w:tcBorders/>
            <w:shd w:fill="CCEEFF" w:val="clear"/>
            <w:vAlign w:val="bottom"/>
          </w:tcPr>
          <w:p>
            <w:pPr>
              <w:pStyle w:val="TableContents"/>
              <w:spacing w:before="0" w:after="0"/>
              <w:ind w:left="0" w:right="0" w:hanging="0"/>
              <w:rPr/>
            </w:pPr>
            <w:r>
              <w:rPr/>
              <w:t> </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174</w:t>
            </w:r>
          </w:p>
        </w:tc>
        <w:tc>
          <w:tcPr>
            <w:tcW w:w="115" w:type="dxa"/>
            <w:tcBorders/>
            <w:shd w:fill="CCEEFF" w:val="clear"/>
            <w:vAlign w:val="bottom"/>
          </w:tcPr>
          <w:p>
            <w:pPr>
              <w:pStyle w:val="TableContents"/>
              <w:spacing w:before="0" w:after="0"/>
              <w:ind w:left="0" w:right="0" w:hanging="0"/>
              <w:rPr/>
            </w:pPr>
            <w:r>
              <w:rPr/>
              <w:t> </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15" w:type="dxa"/>
            <w:tcBorders/>
            <w:shd w:fill="CCEEFF" w:val="clear"/>
            <w:vAlign w:val="bottom"/>
          </w:tcPr>
          <w:p>
            <w:pPr>
              <w:pStyle w:val="TableContents"/>
              <w:spacing w:before="0" w:after="0"/>
              <w:ind w:left="0" w:right="0" w:hanging="0"/>
              <w:rPr/>
            </w:pPr>
            <w:r>
              <w:rPr/>
              <w:t> </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15" w:type="dxa"/>
            <w:tcBorders/>
            <w:shd w:fill="CCEEFF" w:val="clear"/>
            <w:vAlign w:val="bottom"/>
          </w:tcPr>
          <w:p>
            <w:pPr>
              <w:pStyle w:val="TableContents"/>
              <w:spacing w:before="0" w:after="0"/>
              <w:ind w:left="0" w:right="0" w:hanging="0"/>
              <w:rPr/>
            </w:pPr>
            <w:r>
              <w:rPr/>
              <w:t> </w:t>
            </w:r>
          </w:p>
        </w:tc>
        <w:tc>
          <w:tcPr>
            <w:tcW w:w="818"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c>
          <w:tcPr>
            <w:tcW w:w="814"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349</w:t>
            </w:r>
          </w:p>
        </w:tc>
        <w:tc>
          <w:tcPr>
            <w:tcW w:w="133" w:type="dxa"/>
            <w:tcBorders/>
            <w:shd w:fill="CCEEFF" w:val="clear"/>
            <w:vAlign w:val="bottom"/>
          </w:tcPr>
          <w:p>
            <w:pPr>
              <w:pStyle w:val="TableContents"/>
              <w:spacing w:before="0" w:after="0"/>
              <w:ind w:left="0" w:right="0" w:hanging="0"/>
              <w:rPr/>
            </w:pPr>
            <w:r>
              <w:rPr/>
              <w:t> </w:t>
            </w:r>
          </w:p>
        </w:tc>
      </w:tr>
      <w:tr>
        <w:trPr/>
        <w:tc>
          <w:tcPr>
            <w:tcW w:w="321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17"/>
        </w:rPr>
      </w:pPr>
      <w:r>
        <w:rPr>
          <w:rFonts w:ascii="Times New Roman" w:hAnsi="Times New Roman"/>
          <w:b/>
          <w:sz w:val="17"/>
        </w:rPr>
        <w:t>Payments due by fiscal year</w:t>
      </w:r>
    </w:p>
    <w:p>
      <w:pPr>
        <w:pStyle w:val="TextBody"/>
        <w:spacing w:before="0" w:after="0"/>
        <w:ind w:left="0" w:right="0" w:hanging="0"/>
        <w:jc w:val="left"/>
        <w:rPr/>
      </w:pPr>
      <w:r>
        <w:rPr/>
        <w:t> </w:t>
      </w:r>
    </w:p>
    <w:p>
      <w:pPr>
        <w:pStyle w:val="HorizontalLine"/>
        <w:pBdr>
          <w:bottom w:val="single" w:sz="6" w:space="0" w:color="000000"/>
        </w:pBdr>
        <w:spacing w:before="0" w:after="0"/>
        <w:ind w:left="0" w:right="7654" w:hanging="0"/>
        <w:jc w:val="left"/>
        <w:rPr/>
      </w:pPr>
      <w:r>
        <w:rPr/>
      </w:r>
    </w:p>
    <w:p>
      <w:pPr>
        <w:pStyle w:val="TextBody"/>
        <w:spacing w:before="0" w:after="0"/>
        <w:ind w:left="0" w:right="0" w:hanging="0"/>
        <w:rPr>
          <w:rFonts w:ascii="Times New Roman" w:hAnsi="Times New Roman"/>
          <w:color w:val="000000"/>
          <w:sz w:val="17"/>
        </w:rPr>
      </w:pPr>
      <w:r>
        <w:rPr>
          <w:rFonts w:ascii="Times New Roman" w:hAnsi="Times New Roman"/>
          <w:color w:val="000000"/>
          <w:sz w:val="17"/>
        </w:rPr>
        <w:t>(a) Our operating lease obligations represent minimum rent payments due under our various lease agreements for retail space, HMO offices and operating equipment.</w:t>
      </w:r>
    </w:p>
    <w:p>
      <w:pPr>
        <w:pStyle w:val="TextBody"/>
        <w:spacing w:before="0" w:after="0"/>
        <w:ind w:left="0" w:right="0" w:hanging="0"/>
        <w:rPr>
          <w:color w:val="000000"/>
        </w:rPr>
      </w:pPr>
      <w:r>
        <w:rPr>
          <w:color w:val="000000"/>
        </w:rPr>
        <w:t> </w:t>
      </w:r>
    </w:p>
    <w:p>
      <w:pPr>
        <w:pStyle w:val="TextBody"/>
        <w:spacing w:before="0" w:after="0"/>
        <w:ind w:left="0" w:right="0" w:hanging="0"/>
        <w:rPr>
          <w:rFonts w:ascii="Times New Roman" w:hAnsi="Times New Roman"/>
          <w:color w:val="000000"/>
          <w:sz w:val="17"/>
        </w:rPr>
      </w:pPr>
      <w:r>
        <w:rPr>
          <w:rFonts w:ascii="Times New Roman" w:hAnsi="Times New Roman"/>
          <w:color w:val="000000"/>
          <w:sz w:val="17"/>
        </w:rPr>
        <w:t>(b) Our purchase obligations represent minimum purchase requirements for local phone and certain other data services including polling and Internet capability.</w:t>
      </w:r>
    </w:p>
    <w:p>
      <w:pPr>
        <w:pStyle w:val="TextBody"/>
        <w:spacing w:before="0" w:after="0"/>
        <w:ind w:left="0" w:right="0" w:hanging="0"/>
        <w:rPr>
          <w:color w:val="000000"/>
        </w:rPr>
      </w:pPr>
      <w:r>
        <w:rPr>
          <w:color w:val="000000"/>
        </w:rPr>
        <w:t> </w:t>
      </w:r>
    </w:p>
    <w:p>
      <w:pPr>
        <w:pStyle w:val="TextBody"/>
        <w:spacing w:before="0" w:after="0"/>
        <w:ind w:left="0" w:right="0" w:hanging="0"/>
        <w:rPr>
          <w:rFonts w:ascii="Times New Roman" w:hAnsi="Times New Roman"/>
          <w:color w:val="000000"/>
          <w:sz w:val="17"/>
        </w:rPr>
      </w:pPr>
      <w:r>
        <w:rPr>
          <w:rFonts w:ascii="Times New Roman" w:hAnsi="Times New Roman"/>
          <w:color w:val="000000"/>
          <w:sz w:val="17"/>
        </w:rPr>
        <w:t>We have outstanding letters of credit in the amount of $3.8 million which expire in 2005.</w:t>
      </w:r>
    </w:p>
    <w:p>
      <w:pPr>
        <w:pStyle w:val="TextBody"/>
        <w:spacing w:before="0" w:after="0"/>
        <w:ind w:left="0" w:right="0" w:hanging="0"/>
        <w:rPr>
          <w:color w:val="000000"/>
        </w:rPr>
      </w:pPr>
      <w:r>
        <w:rPr>
          <w:color w:val="000000"/>
        </w:rPr>
        <w:t> </w:t>
      </w:r>
    </w:p>
    <w:p>
      <w:pPr>
        <w:pStyle w:val="TextBody"/>
        <w:spacing w:before="0" w:after="0"/>
        <w:ind w:left="0" w:right="0" w:hanging="0"/>
        <w:jc w:val="left"/>
        <w:rPr>
          <w:rFonts w:ascii="Times New Roman" w:hAnsi="Times New Roman"/>
          <w:b/>
          <w:sz w:val="17"/>
        </w:rPr>
      </w:pPr>
      <w:r>
        <w:rPr>
          <w:rFonts w:ascii="Times New Roman" w:hAnsi="Times New Roman"/>
          <w:b/>
          <w:sz w:val="17"/>
        </w:rPr>
        <w:t>CRITICAL ACCOUNTING POLICIES AND ESTIMATES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Our consolidated financial statements, as discussed under Managements Discussion and Analysis of Financial Condition and Results of Operations, have been prepared in accordance with accounting principles generally accepted in the United States.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24</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The preparation of these financial statements requires that we make estimates and assumptions that affect the reported amounts of assets and liabilities and the disclosure of contingent assets and liabilities at the date of the financial statements and the reported amounts of revenues and expenses during the reporting period.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On an ongoing basis, we evaluate our estimates and judgments, and incorporate any changes in such estimates and judgments into the accounting records underlying our consolidated financial statements.  We base our estimates and judgments on historical experience and on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We have identified the policies below as critical to our business operations and the understanding of our results of operations.  For a detailed discussion on the application of these and other accounting policies, see Significant Accounting Policies in the Notes to Condensed Consolidated Financial Statements.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b/>
          <w:i/>
          <w:sz w:val="17"/>
        </w:rPr>
        <w:t>Revenue Recognition.</w:t>
      </w:r>
      <w:r>
        <w:rPr>
          <w:rFonts w:ascii="Times New Roman" w:hAnsi="Times New Roman"/>
          <w:sz w:val="17"/>
        </w:rPr>
        <w:t xml:space="preserve"> We defer revenue recognition until delivery of the product by estimating the value of transactions for which final delivery to the customer has not occurred at the end of the period presented.  The amount of cash that was received at the time the customers order was placed is recorded as a deposit liability and is included in accrued liabilities.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We sell separately priced extended warranty contracts, generally with terms of twelve months.  Revenues from the sale of these contracts are deferred and amortized over the life of the contract on a straight-line basis.  The costs to service the warranty claims are expensed as incurred.  These warranty contracts currently generate a positive profit margin.  However, if the utilization rates of these warranties increased significantly, the repair and replacement expense could exceed the sales price of these warranties.  If that became the case, we would record a future liability for anticipated warranty claims at the time of sale, instead of expensing the warranty claims as incurred.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Revenue is earned from HMO memberships and services.  Revenue from membership premiums is recognized over the twelve-month life of the policy as services are rendered and revenue from related managed care services is recognized as such services are rendered.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We must make estimates of potential returns and replacements of all or part of the eyewear sold to a customer.  We analyze historical remake and warranty activity, and consider current economic trends and changes in customer demand and acceptance of our products when evaluating the adequacy of our estimate of these costs.  If we made different judgments or utilized different estimates, this would likely result in differences in the amount and timing of revenue and related costs for any period.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b/>
          <w:i/>
          <w:sz w:val="17"/>
        </w:rPr>
        <w:t xml:space="preserve">Allowance for Uncollectible Third Party Receivables. </w:t>
      </w:r>
      <w:r>
        <w:rPr>
          <w:rFonts w:ascii="Times New Roman" w:hAnsi="Times New Roman"/>
          <w:sz w:val="17"/>
        </w:rPr>
        <w:t>Third party accounts receivable are recorded net of contractual allowances and reduced by an allowance for amounts that may become uncollectible in the future.  A significant portion of our receivables are due from health care plans or third-party administrators located throughout the United States.  Approximately 14% of our net sales of optical products in the first six months of 2005 were fully or partially paid by our customers third party insurance either through private insurance plans, third party insurance administration programs or government reimbursement programs such as Medicare and Medicaid.  Any failure on our part to accurately and timely file for reimbursement with these programs can have an adverse effect on our collection results which, in turn, will have an adverse effect on liquidity and profitability.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Estimates of our allowance for uncollectible receivables are based on our historical billing and collection experience.  Changes in our billing and collection processes, changes in funding policies by insurance plans and changes in our sales mix within insurance plans may have a material effect on the amount and timing of our estimated expense requirements.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b/>
          <w:i/>
          <w:sz w:val="17"/>
        </w:rPr>
        <w:t>Inventory Valuation</w:t>
      </w:r>
      <w:r>
        <w:rPr>
          <w:rFonts w:ascii="Times New Roman" w:hAnsi="Times New Roman"/>
          <w:b/>
          <w:sz w:val="17"/>
        </w:rPr>
        <w:t>.</w:t>
      </w:r>
      <w:r>
        <w:rPr>
          <w:rFonts w:ascii="Times New Roman" w:hAnsi="Times New Roman"/>
          <w:sz w:val="17"/>
        </w:rPr>
        <w:t xml:space="preserve"> Our inventories are stated at the lower of weighted average cost or market.  Generally, the expected sales value (i.e., market value) of our inventory is higher than its cost.  However, as we strategically change our frame and lens selection from time to time, discontinued merchandise may be removed from stores and returned to the distribution center or it may be marked as promotional merchandise and sold at a lower price.  There is a high degree of judgment and complexity in determining the market value of such inventories. For inventory on hand, we estimate the future selling price of our merchandise, given its current selling price and planned promotional activities, and provide a reserve for the difference between cost and the expected selling price for all items expected to be sold below cost.  Some inventory may become unsalable due to technical obsolescence, style changes, breakage and other factors.  We also provide a reserve for such unsalable inventory based on historical experience.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25</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We account for vendor allowance transactions in accordance with Emerging Issues Task Force Issue No. 02-16, Accounting by a Customer for Certain Consideration Received from a Vendor (EITF 02-16). Under EITF 02-16, certain vendor allowances are presented as a reduction of inventory cost and subsequently as a component of cost of goods sold.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We conduct physical inventory counts for all of our store locations at least twice per year and adjust our records to reflect the actual inventory counts.  Cycle counts are performed weekly for inventory in our distribution centers and laboratory facilities, and all inventory in our distribution centers and laboratory facilities is counted near the end of the fiscal year.  As all locations are not counted as of our reporting dates, we provide a reserve for inventory shrinkage based principally on historical inventory shrinkage experience.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b/>
          <w:i/>
          <w:sz w:val="17"/>
        </w:rPr>
        <w:t>Intangible Value of Contractual Rights</w:t>
      </w:r>
      <w:r>
        <w:rPr>
          <w:rFonts w:ascii="Times New Roman" w:hAnsi="Times New Roman"/>
          <w:sz w:val="17"/>
        </w:rPr>
        <w:t>. Our most significant asset is the Intangible Value of Contractual Rights which represents the value, when we emerged from bankruptcy in May 2001, of our lease agreement with Wal-Mart and the business relationship therein created.  In connection with our emergence from bankruptcy, the Official Committee of Unsecured Creditors and we, each with the participation of our financial advisors, developed financial projections to assess the value of the reorganized company.  As a result of this process, the Intangible Value of Contractual Rights was recorded under fresh start accounting in the amount of $113.6 million representing the estimated discounted future cash flows from our vision center operations inside domestic Wal-Mart stores.  Such discounted cash flow estimates comprehended scheduled expirations of our leases in Wal-Mart as well as estimates of automatic lease extensions that occur upon conversion of Wal-Mart host stores to supercenter locations.  Such conversions were assumed to continue through 2010.</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val="false"/>
          <w:sz w:val="17"/>
        </w:rPr>
      </w:pPr>
      <w:r>
        <w:rPr>
          <w:rFonts w:ascii="Times New Roman" w:hAnsi="Times New Roman"/>
          <w:b w:val="false"/>
          <w:sz w:val="17"/>
        </w:rPr>
        <w:t>The Intangible Value of Contractual Rights is an amortizable intangible asset because it has a finite life.  However, the precise length of its life is not known principally because we cannot precisely predict supercenter conversions which continue to extend the contractual life of the asset.  Based on the May 2001 projections, our best estimate of the useful life of this asset was 15 years.  Due to the uncertainty involved in predicting the pattern of economic benefits to be realized from the Wal-Mart relationship, we amortize the asset using the straight-line method.</w:t>
      </w:r>
    </w:p>
    <w:p>
      <w:pPr>
        <w:pStyle w:val="TextBody"/>
        <w:spacing w:before="0" w:after="0"/>
        <w:ind w:left="0" w:right="0" w:hanging="0"/>
        <w:rPr/>
      </w:pPr>
      <w:r>
        <w:rPr/>
        <w:t> </w:t>
      </w:r>
    </w:p>
    <w:p>
      <w:pPr>
        <w:pStyle w:val="TextBody"/>
        <w:spacing w:before="0" w:after="0"/>
        <w:ind w:left="0" w:right="0" w:hanging="0"/>
        <w:rPr>
          <w:rFonts w:ascii="Times New Roman" w:hAnsi="Times New Roman"/>
          <w:b w:val="false"/>
          <w:sz w:val="17"/>
        </w:rPr>
      </w:pPr>
      <w:r>
        <w:rPr>
          <w:rFonts w:ascii="Times New Roman" w:hAnsi="Times New Roman"/>
          <w:b w:val="false"/>
          <w:sz w:val="17"/>
        </w:rPr>
        <w:t>At July 2, 2005, the carrying value of this intangible asset has been reduced to $82.0 million as a result of its straight-line amortization through that date.  Since May 31, 2001, actual lease expirations and supercenter conversions have not differed significantly from the assumptions in the financial projections used to establish the recorded value of the Intangible Value of Contractual Rights at that date.  Nonetheless, the precise length of the assets life is still not known principally because we cannot precisely predict supercenter conversions.  Therefore, our best estimate of the remaining useful life of this asset is its remaining amortization period of 10 years and 11 months.</w:t>
      </w:r>
    </w:p>
    <w:p>
      <w:pPr>
        <w:pStyle w:val="TextBody"/>
        <w:spacing w:before="0" w:after="0"/>
        <w:ind w:left="0" w:right="0" w:hanging="0"/>
        <w:rPr/>
      </w:pPr>
      <w:r>
        <w:rPr/>
        <w:t> </w:t>
      </w:r>
    </w:p>
    <w:p>
      <w:pPr>
        <w:pStyle w:val="TextBody"/>
        <w:spacing w:before="0" w:after="0"/>
        <w:ind w:left="0" w:right="0" w:hanging="0"/>
        <w:rPr>
          <w:rFonts w:ascii="Times New Roman" w:hAnsi="Times New Roman"/>
          <w:b w:val="false"/>
          <w:sz w:val="17"/>
        </w:rPr>
      </w:pPr>
      <w:r>
        <w:rPr>
          <w:rFonts w:ascii="Times New Roman" w:hAnsi="Times New Roman"/>
          <w:b w:val="false"/>
          <w:sz w:val="17"/>
        </w:rPr>
        <w:t>As anticipated in 2001, the business relationship that exists with Wal-Mart because of our master license agreement with them continues to have value by affording us additional growth opportunities such as: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val="false"/>
          <w:sz w:val="20"/>
        </w:rPr>
        <w:t></w:t>
      </w:r>
      <w:r>
        <w:rPr>
          <w:rFonts w:ascii="Times New Roman" w:hAnsi="Times New Roman"/>
          <w:b/>
          <w:sz w:val="17"/>
        </w:rPr>
        <w:t xml:space="preserve">                  </w:t>
      </w:r>
      <w:r>
        <w:rPr>
          <w:rFonts w:ascii="Times New Roman" w:hAnsi="Times New Roman"/>
          <w:b w:val="false"/>
          <w:sz w:val="17"/>
        </w:rPr>
        <w:t>Certain Oklahoma statutes have to date been broadly interpreted as preventing any optical chain from operating vision centers in space leased from retailers such as Wal-Mart.  If we prevail in our current legal action against the District Attorney for Oklahoma County, Oklahoma, we may be able to sublease a significant number of vision centers from Wal-Mart in Oklahoma.</w:t>
      </w:r>
    </w:p>
    <w:p>
      <w:pPr>
        <w:pStyle w:val="TextBody"/>
        <w:spacing w:before="0" w:after="0"/>
        <w:ind w:left="0" w:right="0" w:hanging="0"/>
        <w:rPr>
          <w:rFonts w:ascii="Times New Roman" w:hAnsi="Times New Roman"/>
          <w:b/>
          <w:sz w:val="17"/>
        </w:rPr>
      </w:pPr>
      <w:r>
        <w:rPr>
          <w:rFonts w:ascii="Times New Roman" w:hAnsi="Times New Roman"/>
          <w:b w:val="false"/>
          <w:sz w:val="20"/>
        </w:rPr>
        <w:t></w:t>
      </w:r>
      <w:r>
        <w:rPr>
          <w:rFonts w:ascii="Times New Roman" w:hAnsi="Times New Roman"/>
          <w:b/>
          <w:sz w:val="17"/>
        </w:rPr>
        <w:t xml:space="preserve">                  </w:t>
      </w:r>
      <w:r>
        <w:rPr>
          <w:rFonts w:ascii="Times New Roman" w:hAnsi="Times New Roman"/>
          <w:b w:val="false"/>
          <w:sz w:val="17"/>
        </w:rPr>
        <w:t>In 2005, we began expanding our HMO locations into California Wal-Mart stores in which Wal-Mart operated its own vision center.</w:t>
      </w:r>
    </w:p>
    <w:p>
      <w:pPr>
        <w:pStyle w:val="TextBody"/>
        <w:spacing w:before="0" w:after="0"/>
        <w:ind w:left="0" w:right="0" w:hanging="0"/>
        <w:rPr>
          <w:rFonts w:ascii="Times New Roman" w:hAnsi="Times New Roman"/>
          <w:b/>
          <w:sz w:val="17"/>
        </w:rPr>
      </w:pPr>
      <w:r>
        <w:rPr>
          <w:rFonts w:ascii="Times New Roman" w:hAnsi="Times New Roman"/>
          <w:b w:val="false"/>
          <w:sz w:val="20"/>
        </w:rPr>
        <w:t></w:t>
      </w:r>
      <w:r>
        <w:rPr>
          <w:rFonts w:ascii="Times New Roman" w:hAnsi="Times New Roman"/>
          <w:b/>
          <w:sz w:val="17"/>
        </w:rPr>
        <w:t xml:space="preserve">                  </w:t>
      </w:r>
      <w:r>
        <w:rPr>
          <w:rFonts w:ascii="Times New Roman" w:hAnsi="Times New Roman"/>
          <w:b w:val="false"/>
          <w:sz w:val="17"/>
        </w:rPr>
        <w:t>In 2004, Wal-Mart granted us two in-store locations to test a retail home medical concept.  Due to the poor operating results of these stores, we closed them in the second quarter of 2005.</w:t>
      </w:r>
    </w:p>
    <w:p>
      <w:pPr>
        <w:pStyle w:val="TextBody"/>
        <w:spacing w:before="0" w:after="0"/>
        <w:ind w:left="0" w:right="0" w:hanging="0"/>
        <w:rPr/>
      </w:pPr>
      <w:r>
        <w:rPr/>
        <w:t> </w:t>
      </w:r>
    </w:p>
    <w:p>
      <w:pPr>
        <w:pStyle w:val="TextBody"/>
        <w:spacing w:before="0" w:after="0"/>
        <w:ind w:left="0" w:right="0" w:hanging="0"/>
        <w:rPr>
          <w:rFonts w:ascii="Times New Roman" w:hAnsi="Times New Roman"/>
          <w:b w:val="false"/>
          <w:sz w:val="17"/>
        </w:rPr>
      </w:pPr>
      <w:r>
        <w:rPr>
          <w:rFonts w:ascii="Times New Roman" w:hAnsi="Times New Roman"/>
          <w:b w:val="false"/>
          <w:sz w:val="17"/>
        </w:rPr>
        <w:t>Therefore, we are still unable to predict with any degree of certainty the pattern of economic benefits to be realized as a result of the Wal-Mart relationship.  Accordingly, we continue to amortize the asset using the straight-line method.</w:t>
      </w:r>
    </w:p>
    <w:p>
      <w:pPr>
        <w:pStyle w:val="TextBody"/>
        <w:spacing w:before="0" w:after="0"/>
        <w:ind w:left="0" w:right="0" w:hanging="0"/>
        <w:rPr/>
      </w:pPr>
      <w:r>
        <w:rPr/>
        <w:t> </w:t>
      </w:r>
    </w:p>
    <w:p>
      <w:pPr>
        <w:pStyle w:val="TextBody"/>
        <w:spacing w:before="0" w:after="0"/>
        <w:ind w:left="0" w:right="0" w:hanging="0"/>
        <w:rPr>
          <w:rFonts w:ascii="Times New Roman" w:hAnsi="Times New Roman"/>
          <w:b w:val="false"/>
          <w:sz w:val="17"/>
        </w:rPr>
      </w:pPr>
      <w:r>
        <w:rPr>
          <w:rFonts w:ascii="Times New Roman" w:hAnsi="Times New Roman"/>
          <w:b w:val="false"/>
          <w:sz w:val="17"/>
        </w:rPr>
        <w:t>We continually review all aspects of our operations in and business relationship with Wal-Mart.  Future events and circumstances may indicate that modifications of the remaining useful life of and/or the method of amortizing this asset are warranted.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i/>
          <w:sz w:val="17"/>
        </w:rPr>
        <w:t>Impairment of Long-Lived Assets.</w:t>
      </w:r>
      <w:r>
        <w:rPr>
          <w:rFonts w:ascii="Times New Roman" w:hAnsi="Times New Roman"/>
          <w:b/>
          <w:sz w:val="17"/>
        </w:rPr>
        <w:t xml:space="preserve"> </w:t>
      </w:r>
      <w:r>
        <w:rPr>
          <w:rFonts w:ascii="Times New Roman" w:hAnsi="Times New Roman"/>
          <w:b w:val="false"/>
          <w:sz w:val="17"/>
        </w:rPr>
        <w:t>We assess impairment of long-lived assets whenever events or changes in circumstances indicate that their carrying value may not be recoverable.  Factors which could trigger an impairment review include (1) actual or anticipated operating losses at vision center locations; (2) a significant underperformance of vision center operations relative to expected historical or projected future operating results; (3) termination of individual leases prior to the expiration of their contractual term; (4) significantly fewer supercenter conversions than anticipated in May 2001; (5) significant changes in the manner or use of our assets or the strategy for our overall retail optical business; (6) significant negative industry or economic trends; or (7) a permanent adverse change in cash flows generated by an operation.  If one or more of the above indicators of impairment exists, we determine if the carrying value of the respective long-lived assets may not be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26</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val="false"/>
          <w:sz w:val="17"/>
        </w:rPr>
        <w:t>recoverable</w:t>
      </w:r>
      <w:r>
        <w:rPr>
          <w:rFonts w:ascii="Times New Roman" w:hAnsi="Times New Roman"/>
          <w:b/>
          <w:sz w:val="17"/>
        </w:rPr>
        <w:t xml:space="preserve"> </w:t>
      </w:r>
      <w:r>
        <w:rPr>
          <w:rFonts w:ascii="Times New Roman" w:hAnsi="Times New Roman"/>
          <w:b w:val="false"/>
          <w:sz w:val="17"/>
        </w:rPr>
        <w:t>based on a projected undiscounted cash flow model.  If the projected undiscounted cash flows are not in excess of the book value of the related asset, we measure impairment based on a projected discounted cash flow model.</w:t>
      </w:r>
    </w:p>
    <w:p>
      <w:pPr>
        <w:pStyle w:val="TextBody"/>
        <w:spacing w:before="0" w:after="0"/>
        <w:ind w:left="0" w:right="0" w:hanging="0"/>
        <w:rPr/>
      </w:pPr>
      <w:r>
        <w:rPr/>
        <w:t> </w:t>
      </w:r>
    </w:p>
    <w:p>
      <w:pPr>
        <w:pStyle w:val="TextBody"/>
        <w:spacing w:before="0" w:after="0"/>
        <w:ind w:left="0" w:right="0" w:hanging="0"/>
        <w:rPr>
          <w:rFonts w:ascii="Times New Roman" w:hAnsi="Times New Roman"/>
          <w:b w:val="false"/>
          <w:sz w:val="17"/>
        </w:rPr>
      </w:pPr>
      <w:r>
        <w:rPr>
          <w:rFonts w:ascii="Times New Roman" w:hAnsi="Times New Roman"/>
          <w:b w:val="false"/>
          <w:sz w:val="17"/>
        </w:rPr>
        <w:t>We continually monitor our business for events or changes in circumstances that would indicate that the carrying value of our long-lived assets may not be recoverable.  In addition, each year when the following years budgets are prepared, we review the historical and projected operating results of each of our retail locations in order to assess whether such operating results are indicative of potential impairment.</w:t>
      </w:r>
    </w:p>
    <w:p>
      <w:pPr>
        <w:pStyle w:val="TextBody"/>
        <w:spacing w:before="0" w:after="0"/>
        <w:ind w:left="0" w:right="0" w:hanging="0"/>
        <w:rPr/>
      </w:pPr>
      <w:r>
        <w:rPr/>
        <w:t> </w:t>
      </w:r>
    </w:p>
    <w:p>
      <w:pPr>
        <w:pStyle w:val="TextBody"/>
        <w:spacing w:before="0" w:after="0"/>
        <w:ind w:left="0" w:right="0" w:hanging="0"/>
        <w:rPr>
          <w:rFonts w:ascii="Times New Roman" w:hAnsi="Times New Roman"/>
          <w:b w:val="false"/>
          <w:sz w:val="17"/>
        </w:rPr>
      </w:pPr>
      <w:r>
        <w:rPr>
          <w:rFonts w:ascii="Times New Roman" w:hAnsi="Times New Roman"/>
          <w:b w:val="false"/>
          <w:sz w:val="17"/>
        </w:rPr>
        <w:t>Our tests for impairment of the Wal-Mart master license agreement involve developing new projections of the cash flows to be generated under the agreement and comparing this amount to the remaining carrying value of the Intangible Value of Contractual Rights.  We performed such a test in the third quarter of 2003 when the Company decided to close thirteen Wal-Mart vision centers prior to the expiration of their leases due to poor operating performance.  The test indicated that the sum of the undiscounted cash flows expected from our remaining Wal-Mart leases significantly exceeded the carrying value of the intangible asset.  Accordingly, no impairment loss was recorded.  Since the third quarter of 2003, we have not noted any other events or changes in circumstances pertaining to the Wal-Mart master license agreement that would warrant an impairment review.  However, in connection with our engagement of a financial advisor in mid 2004, we developed a new long-term projection model.  This financial model reconfirmed that the sum of the undiscounted cash flows expected from our remaining Wal-Mart leases significantly exceeded the carrying value of the intangible asset.</w:t>
      </w:r>
    </w:p>
    <w:p>
      <w:pPr>
        <w:pStyle w:val="TextBody"/>
        <w:spacing w:before="0" w:after="0"/>
        <w:ind w:left="0" w:right="0" w:hanging="0"/>
        <w:rPr/>
      </w:pPr>
      <w:r>
        <w:rPr/>
        <w:t> </w:t>
      </w:r>
    </w:p>
    <w:p>
      <w:pPr>
        <w:pStyle w:val="TextBody"/>
        <w:spacing w:before="0" w:after="0"/>
        <w:ind w:left="0" w:right="0" w:hanging="0"/>
        <w:rPr>
          <w:rFonts w:ascii="Times New Roman" w:hAnsi="Times New Roman"/>
          <w:b w:val="false"/>
          <w:sz w:val="17"/>
        </w:rPr>
      </w:pPr>
      <w:r>
        <w:rPr>
          <w:rFonts w:ascii="Times New Roman" w:hAnsi="Times New Roman"/>
          <w:b w:val="false"/>
          <w:sz w:val="17"/>
        </w:rPr>
        <w:t>Significant management judgment is required regarding the existence of impairment indicators as discussed above. Future events could cause us to conclude that impairment indicators exist and that long-lived assets or intangible assets are impaired.  Any resulting impairment loss could have a material adverse impact on our financial condition and results of operations.</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r>
        <w:rPr>
          <w:rFonts w:ascii="Times New Roman" w:hAnsi="Times New Roman"/>
          <w:b/>
          <w:i/>
          <w:sz w:val="17"/>
        </w:rPr>
        <w:t>Accounting for Income Taxes.</w:t>
      </w:r>
      <w:r>
        <w:rPr>
          <w:rFonts w:ascii="Times New Roman" w:hAnsi="Times New Roman"/>
          <w:sz w:val="17"/>
        </w:rPr>
        <w:t xml:space="preserve"> As part of the process of preparing our consolidated financial statements we are required to estimate our income taxes in each of the jurisdictions in which we operate.  This process involves estimating our actual current tax exposure together with assessing temporary differences resulting from differing treatment of items, such as equipment depreciation, for tax and accounting purposes.  These differences result in deferred tax assets and liabilities. Prior to 2002, we incurred significant net operating losses that resulted in tax net operating loss (NOL) carry-forwards.  These NOLs also result in a deferred tax asset to the extent they could be utilized to reduce taxes otherwise due in the future.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We must assess the likelihood that our deferred tax assets will be recovered from future taxable income.  To the extent we believe that it is more likely than not that recovery will not occur, we must establish a valuation allowance.  If we establish or increase a valuation allowance in a period, we must include an expense within the tax provision in the statement of operations.  If we reduce a valuation allowance during a period, income tax expense will be reduced by the amount of such reduction.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At January 1, 2005, we reversed the valuation allowance that had been recorded in previous years against our net deferred income tax asset because we were no longer able to conclude that it was more likely than not that the net deferred tax asset would not be realized.  This conclusion was based upon the substantial improvement we achieved in 2004 operating results, the improved prospects for future profitability and other factors.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b/>
          <w:i/>
          <w:sz w:val="17"/>
        </w:rPr>
        <w:t>Self-Insurance Accruals</w:t>
      </w:r>
      <w:r>
        <w:rPr>
          <w:rFonts w:ascii="Times New Roman" w:hAnsi="Times New Roman"/>
          <w:b/>
          <w:sz w:val="17"/>
        </w:rPr>
        <w:t>.</w:t>
      </w:r>
      <w:r>
        <w:rPr>
          <w:rFonts w:ascii="Times New Roman" w:hAnsi="Times New Roman"/>
          <w:sz w:val="17"/>
        </w:rPr>
        <w:t xml:space="preserve"> We self-insure estimated costs associated with workers compensation claims and group medical liabilities, up to certain limits.  Insurance reserves are established based on actuarial estimates of the loss that we will ultimately incur on reported claims, as well as estimates of claims that have been incurred but not yet reported.  Trends in actual experience are a significant factor in the determination of such reserves.  We believe our estimated reserves for such claims are adequate, however actual experience in claim frequency and/or severity could materially differ from our estimates and affect our results of operations.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b/>
          <w:i/>
          <w:sz w:val="17"/>
        </w:rPr>
        <w:t>Other Accounting Policies.</w:t>
      </w:r>
      <w:r>
        <w:rPr>
          <w:rFonts w:ascii="Times New Roman" w:hAnsi="Times New Roman"/>
          <w:sz w:val="17"/>
        </w:rPr>
        <w:t xml:space="preserve"> The above listing is not intended to be a comprehensive list of all of our accounting policies.  In many cases, the accounting treatment of a particular transaction is specifically dictated by generally accepted accounting principles.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17"/>
        </w:rPr>
      </w:pPr>
      <w:r>
        <w:rPr>
          <w:rFonts w:ascii="Times New Roman" w:hAnsi="Times New Roman"/>
          <w:b/>
          <w:sz w:val="17"/>
        </w:rPr>
        <w:t>RISK FACTORS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Any expectations, beliefs and other non-historical statements contained in this Form 10-Q are forward-looking statements within the meaning of the Private Securities Litigation Reform Act of 1995.  Forward-looking statements represent our expectations or belief concerning future events, including the following:  any statements regarding future sales levels, any statements regarding the continuation of historical trends, any statements regarding our liquidity and any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27</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regarding utilization of tax loss carry-forwards.  Without limiting the foregoing, the words believes, anticipates, plans, expects, and similar expressions are intended to identify forward-looking statements.  With respect to such forward-looking statements and others that may be made by, or on behalf of, the Company, the factors described as Risk Factors in our Report on Form 10-K, filed on March 25, 2005, could materially affect our actual results.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28</w:t>
      </w:r>
    </w:p>
    <w:p>
      <w:pPr>
        <w:pStyle w:val="HorizontalLine"/>
        <w:pBdr>
          <w:bottom w:val="single" w:sz="12"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bookmarkStart w:id="9" w:name="Item3_102414"/>
      <w:bookmarkEnd w:id="9"/>
      <w:r>
        <w:rPr>
          <w:rFonts w:ascii="Times New Roman" w:hAnsi="Times New Roman"/>
          <w:b/>
          <w:sz w:val="17"/>
        </w:rPr>
        <w:t>ITEM 3.</w:t>
      </w:r>
      <w:r>
        <w:rPr>
          <w:rFonts w:ascii="Times New Roman" w:hAnsi="Times New Roman"/>
          <w:sz w:val="17"/>
        </w:rPr>
        <w:t xml:space="preserve"> </w:t>
      </w:r>
      <w:r>
        <w:rPr>
          <w:rFonts w:ascii="Times New Roman" w:hAnsi="Times New Roman"/>
          <w:b/>
          <w:sz w:val="17"/>
        </w:rPr>
        <w:t>QUANTITATIVE AND QUALITATIVE DISCLOSURES ABOUT MARKET RISK</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i/>
          <w:sz w:val="17"/>
        </w:rPr>
      </w:pPr>
      <w:r>
        <w:rPr>
          <w:rFonts w:ascii="Times New Roman" w:hAnsi="Times New Roman"/>
          <w:b/>
          <w:i/>
          <w:sz w:val="17"/>
        </w:rPr>
        <w:t>MARKET RISK</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Market risk is the potential change in an instruments value caused by, for example, fluctuations in interest and currency exchange rates.  Our primary market risk exposures are interest rate risk and the risk of unfavorable movements in exchange rates between the U.S. dollar and the Mexican peso.  Monitoring and managing these risks is a continual process carried out by senior management, which reviews and approves our risk management policies.  We manage market risk on the basis of an ongoing assessment of trends in interest rates, foreign exchange rates, and economic developments, giving consideration to possible effects on both total return and reported earnings.  Our financial advisors, both internal and external, provide ongoing advice regarding trends that affect managements assessment.  Our operations are not considered to give rise to significant market risk.</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i/>
          <w:sz w:val="17"/>
        </w:rPr>
      </w:pPr>
      <w:r>
        <w:rPr>
          <w:rFonts w:ascii="Times New Roman" w:hAnsi="Times New Roman"/>
          <w:b/>
          <w:i/>
          <w:sz w:val="17"/>
        </w:rPr>
        <w:t>INTEREST RATE RISK</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We borrow under our credit facility at variable interest rates.  We therefore incur the risk of increased interest costs if interest rates rise.  At July 2, 2005, we had no outstanding borrowings under our credit facility.  Our interest cost under our Senior Notes is fixed at 12% through their maturity date of March 30, 2009.</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i/>
          <w:sz w:val="17"/>
        </w:rPr>
      </w:pPr>
      <w:r>
        <w:rPr>
          <w:rFonts w:ascii="Times New Roman" w:hAnsi="Times New Roman"/>
          <w:b/>
          <w:i/>
          <w:sz w:val="17"/>
        </w:rPr>
        <w:t>FOREIGN CURRENCY RISK</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Our division in Mexico operates in a functional currency other than the U.S. dollar.  The net assets of this division are exposed to foreign currency translation gains and losses, which are included as a component of accumulated other comprehensive loss in shareholders equity.  Such translation resulted in an unrealized gain of approximately $7,000 and an unrealized loss of approximately $50,000 for the three months ended July 2, 2005 and July 3, 2004, respectively.  For the six months ended July 2, 2005 and July 3, 2004 such translation resulted in an unrealized gain of approximately $12,000 and an unrealized loss of $27,000, respectively.  Historically, we have not attempted to hedge this equity risk.</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bookmarkStart w:id="10" w:name="Item4__102420"/>
      <w:bookmarkEnd w:id="10"/>
      <w:r>
        <w:rPr>
          <w:rFonts w:ascii="Times New Roman" w:hAnsi="Times New Roman"/>
          <w:b/>
          <w:sz w:val="17"/>
        </w:rPr>
        <w:t>ITEM 4.</w:t>
      </w:r>
      <w:r>
        <w:rPr>
          <w:rFonts w:ascii="Times New Roman" w:hAnsi="Times New Roman"/>
          <w:sz w:val="17"/>
        </w:rPr>
        <w:t xml:space="preserve"> </w:t>
      </w:r>
      <w:r>
        <w:rPr>
          <w:rFonts w:ascii="Times New Roman" w:hAnsi="Times New Roman"/>
          <w:b/>
          <w:sz w:val="17"/>
        </w:rPr>
        <w:t>CONTROLS AND PROCEDURES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As of the end of the fiscal quarter covered by this Form 10-Q, we evaluated, under the supervision and with the participation of our management, including our Chief Executive Officer and Chief Financial Officer, the effectiveness of the design and operation of our disclosure controls and procedures pursuant to Exchange Act Rule 13a-15.  Based upon that evaluation, our Chief Executive Officer and Chief Financial Officer concluded that our disclosure controls and procedures are effective as of the end of such fiscal quarter.  Disclosure controls and procedures are controls and procedures that are designed to ensure that information required to be disclosed in reports filed or submitted under the Exchange Act is recorded, processed, summarized and reported within the time periods specified in the Securities and Exchange Commissions rules and forms.  During the fiscal quarter covered by this Form 10-Q, there has not been any change in the Companys internal control over financial reporting that has materially affected, or is reasonably likely to materially affect, the Companys internal control over financial reporting.  Internal control over financial reporting is a process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29</w:t>
      </w:r>
    </w:p>
    <w:p>
      <w:pPr>
        <w:pStyle w:val="HorizontalLine"/>
        <w:pBdr>
          <w:bottom w:val="single" w:sz="12"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bookmarkStart w:id="11" w:name="Partii_102424"/>
      <w:bookmarkEnd w:id="11"/>
      <w:r>
        <w:rPr>
          <w:rFonts w:ascii="Times New Roman" w:hAnsi="Times New Roman"/>
          <w:b/>
          <w:sz w:val="17"/>
        </w:rPr>
        <w:t>PART II</w:t>
      </w:r>
    </w:p>
    <w:p>
      <w:pPr>
        <w:pStyle w:val="TextBody"/>
        <w:spacing w:before="0" w:after="0"/>
        <w:ind w:left="0" w:right="0" w:hanging="0"/>
        <w:jc w:val="center"/>
        <w:rPr>
          <w:rFonts w:ascii="Times New Roman" w:hAnsi="Times New Roman"/>
          <w:b/>
          <w:sz w:val="17"/>
        </w:rPr>
      </w:pPr>
      <w:r>
        <w:rPr>
          <w:rFonts w:ascii="Times New Roman" w:hAnsi="Times New Roman"/>
          <w:b/>
          <w:sz w:val="17"/>
        </w:rPr>
        <w:t>OTHER INFORMATION</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bookmarkStart w:id="12" w:name="Item1_LegalProceedings_102426"/>
      <w:bookmarkEnd w:id="12"/>
      <w:r>
        <w:rPr>
          <w:rFonts w:ascii="Times New Roman" w:hAnsi="Times New Roman"/>
          <w:b/>
          <w:sz w:val="17"/>
        </w:rPr>
        <w:t>ITEM 1.</w:t>
      </w:r>
      <w:r>
        <w:rPr>
          <w:rFonts w:ascii="Times New Roman" w:hAnsi="Times New Roman"/>
          <w:sz w:val="17"/>
        </w:rPr>
        <w:t xml:space="preserve"> </w:t>
      </w:r>
      <w:r>
        <w:rPr>
          <w:rFonts w:ascii="Times New Roman" w:hAnsi="Times New Roman"/>
          <w:b/>
          <w:sz w:val="17"/>
        </w:rPr>
        <w:t>LEGAL PROCEEDINGS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We are involved in certain litigation and claims arising in the normal course of business.  In the opinion of management, the resolution of these matters will not have a material adverse effect on our financial position or results of operations.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bookmarkStart w:id="13" w:name="Item6_Exhibits_102427"/>
      <w:bookmarkEnd w:id="13"/>
      <w:r>
        <w:rPr>
          <w:rFonts w:ascii="Times New Roman" w:hAnsi="Times New Roman"/>
          <w:b/>
          <w:sz w:val="17"/>
        </w:rPr>
        <w:t>ITEM 6.</w:t>
      </w:r>
      <w:r>
        <w:rPr>
          <w:rFonts w:ascii="Times New Roman" w:hAnsi="Times New Roman"/>
          <w:sz w:val="17"/>
        </w:rPr>
        <w:t xml:space="preserve"> </w:t>
      </w:r>
      <w:r>
        <w:rPr>
          <w:rFonts w:ascii="Times New Roman" w:hAnsi="Times New Roman"/>
          <w:b/>
          <w:sz w:val="17"/>
        </w:rPr>
        <w:t>EXHIBITS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(a)                Exhibits</w:t>
      </w:r>
    </w:p>
    <w:p>
      <w:pPr>
        <w:pStyle w:val="TextBody"/>
        <w:spacing w:before="0" w:after="0"/>
        <w:ind w:left="0" w:right="0" w:hanging="0"/>
        <w:jc w:val="left"/>
        <w:rPr/>
      </w:pPr>
      <w:r>
        <w:rPr/>
        <w:t> </w:t>
      </w:r>
    </w:p>
    <w:tbl>
      <w:tblPr>
        <w:tblW w:w="4500" w:type="pct"/>
        <w:jc w:val="left"/>
        <w:tblInd w:w="0" w:type="dxa"/>
        <w:tblCellMar>
          <w:top w:w="0" w:type="dxa"/>
          <w:left w:w="0" w:type="dxa"/>
          <w:bottom w:w="0" w:type="dxa"/>
          <w:right w:w="0" w:type="dxa"/>
        </w:tblCellMar>
      </w:tblPr>
      <w:tblGrid>
        <w:gridCol w:w="8350"/>
        <w:gridCol w:w="370"/>
        <w:gridCol w:w="464"/>
      </w:tblGrid>
      <w:tr>
        <w:trPr/>
        <w:tc>
          <w:tcPr>
            <w:tcW w:w="8350"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The following exhibits are filed herewith or incorporated by reference:</w:t>
            </w:r>
          </w:p>
        </w:tc>
        <w:tc>
          <w:tcPr>
            <w:tcW w:w="370" w:type="dxa"/>
            <w:tcBorders/>
            <w:shd w:fill="auto" w:val="clear"/>
            <w:vAlign w:val="bottom"/>
          </w:tcPr>
          <w:p>
            <w:pPr>
              <w:pStyle w:val="TableContents"/>
              <w:spacing w:before="0" w:after="0"/>
              <w:ind w:left="0" w:right="0" w:hanging="0"/>
              <w:jc w:val="left"/>
              <w:rPr/>
            </w:pPr>
            <w:r>
              <w:rPr/>
              <w:t> </w:t>
            </w:r>
          </w:p>
        </w:tc>
        <w:tc>
          <w:tcPr>
            <w:tcW w:w="464" w:type="dxa"/>
            <w:tcBorders/>
            <w:shd w:fill="auto" w:val="clear"/>
          </w:tcPr>
          <w:p>
            <w:pPr>
              <w:pStyle w:val="TableContents"/>
              <w:spacing w:before="0" w:after="0"/>
              <w:ind w:left="0" w:right="0" w:hanging="0"/>
              <w:jc w:val="left"/>
              <w:rPr/>
            </w:pPr>
            <w:r>
              <w:rPr/>
              <w:t> </w:t>
            </w:r>
          </w:p>
        </w:tc>
      </w:tr>
      <w:tr>
        <w:trPr/>
        <w:tc>
          <w:tcPr>
            <w:tcW w:w="8350" w:type="dxa"/>
            <w:tcBorders/>
            <w:shd w:fill="auto" w:val="clear"/>
          </w:tcPr>
          <w:p>
            <w:pPr>
              <w:pStyle w:val="TableContents"/>
              <w:spacing w:before="0" w:after="0"/>
              <w:ind w:left="0" w:right="0" w:hanging="0"/>
              <w:jc w:val="left"/>
              <w:rPr/>
            </w:pPr>
            <w:r>
              <w:rPr/>
              <w:t> </w:t>
            </w:r>
          </w:p>
        </w:tc>
        <w:tc>
          <w:tcPr>
            <w:tcW w:w="370" w:type="dxa"/>
            <w:tcBorders/>
            <w:shd w:fill="auto" w:val="clear"/>
            <w:vAlign w:val="bottom"/>
          </w:tcPr>
          <w:p>
            <w:pPr>
              <w:pStyle w:val="TableContents"/>
              <w:spacing w:before="0" w:after="0"/>
              <w:ind w:left="0" w:right="0" w:hanging="0"/>
              <w:jc w:val="left"/>
              <w:rPr/>
            </w:pPr>
            <w:r>
              <w:rPr/>
              <w:t> </w:t>
            </w:r>
          </w:p>
        </w:tc>
        <w:tc>
          <w:tcPr>
            <w:tcW w:w="464" w:type="dxa"/>
            <w:tcBorders/>
            <w:shd w:fill="auto" w:val="clear"/>
          </w:tcPr>
          <w:p>
            <w:pPr>
              <w:pStyle w:val="TableContents"/>
              <w:spacing w:before="0" w:after="0"/>
              <w:ind w:left="0" w:right="0" w:hanging="0"/>
              <w:jc w:val="left"/>
              <w:rPr/>
            </w:pPr>
            <w:r>
              <w:rPr/>
              <w:t> </w:t>
            </w:r>
          </w:p>
        </w:tc>
      </w:tr>
      <w:tr>
        <w:trPr/>
        <w:tc>
          <w:tcPr>
            <w:tcW w:w="8350"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Certification of Chief Executive Officer pursuant to Section 302 of the Sarbanes-Oxley Act of 2002.</w:t>
            </w:r>
          </w:p>
        </w:tc>
        <w:tc>
          <w:tcPr>
            <w:tcW w:w="370" w:type="dxa"/>
            <w:tcBorders/>
            <w:shd w:fill="auto" w:val="clear"/>
            <w:vAlign w:val="bottom"/>
          </w:tcPr>
          <w:p>
            <w:pPr>
              <w:pStyle w:val="TableContents"/>
              <w:spacing w:before="0" w:after="0"/>
              <w:ind w:left="0" w:right="0" w:hanging="0"/>
              <w:jc w:val="left"/>
              <w:rPr/>
            </w:pPr>
            <w:r>
              <w:rPr/>
              <w:t> </w:t>
            </w:r>
          </w:p>
        </w:tc>
        <w:tc>
          <w:tcPr>
            <w:tcW w:w="464"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31.1</w:t>
            </w:r>
          </w:p>
        </w:tc>
      </w:tr>
      <w:tr>
        <w:trPr/>
        <w:tc>
          <w:tcPr>
            <w:tcW w:w="8350" w:type="dxa"/>
            <w:tcBorders/>
            <w:shd w:fill="auto" w:val="clear"/>
          </w:tcPr>
          <w:p>
            <w:pPr>
              <w:pStyle w:val="TableContents"/>
              <w:spacing w:before="0" w:after="0"/>
              <w:ind w:left="0" w:right="0" w:hanging="0"/>
              <w:jc w:val="left"/>
              <w:rPr/>
            </w:pPr>
            <w:r>
              <w:rPr/>
              <w:t> </w:t>
            </w:r>
          </w:p>
        </w:tc>
        <w:tc>
          <w:tcPr>
            <w:tcW w:w="370" w:type="dxa"/>
            <w:tcBorders/>
            <w:shd w:fill="auto" w:val="clear"/>
            <w:vAlign w:val="bottom"/>
          </w:tcPr>
          <w:p>
            <w:pPr>
              <w:pStyle w:val="TableContents"/>
              <w:spacing w:before="0" w:after="0"/>
              <w:ind w:left="0" w:right="0" w:hanging="0"/>
              <w:jc w:val="left"/>
              <w:rPr/>
            </w:pPr>
            <w:r>
              <w:rPr/>
              <w:t> </w:t>
            </w:r>
          </w:p>
        </w:tc>
        <w:tc>
          <w:tcPr>
            <w:tcW w:w="464" w:type="dxa"/>
            <w:tcBorders/>
            <w:shd w:fill="auto" w:val="clear"/>
          </w:tcPr>
          <w:p>
            <w:pPr>
              <w:pStyle w:val="TableContents"/>
              <w:spacing w:before="0" w:after="0"/>
              <w:ind w:left="0" w:right="0" w:hanging="0"/>
              <w:jc w:val="left"/>
              <w:rPr/>
            </w:pPr>
            <w:r>
              <w:rPr/>
              <w:t> </w:t>
            </w:r>
          </w:p>
        </w:tc>
      </w:tr>
      <w:tr>
        <w:trPr/>
        <w:tc>
          <w:tcPr>
            <w:tcW w:w="8350"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Certification of Chief Financial Officer pursuant to Section 302 of the Sarbanes-Oxley Act of 2002.</w:t>
            </w:r>
          </w:p>
        </w:tc>
        <w:tc>
          <w:tcPr>
            <w:tcW w:w="370" w:type="dxa"/>
            <w:tcBorders/>
            <w:shd w:fill="auto" w:val="clear"/>
            <w:vAlign w:val="bottom"/>
          </w:tcPr>
          <w:p>
            <w:pPr>
              <w:pStyle w:val="TableContents"/>
              <w:spacing w:before="0" w:after="0"/>
              <w:ind w:left="0" w:right="0" w:hanging="0"/>
              <w:jc w:val="left"/>
              <w:rPr/>
            </w:pPr>
            <w:r>
              <w:rPr/>
              <w:t> </w:t>
            </w:r>
          </w:p>
        </w:tc>
        <w:tc>
          <w:tcPr>
            <w:tcW w:w="464"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31.2</w:t>
            </w:r>
          </w:p>
        </w:tc>
      </w:tr>
      <w:tr>
        <w:trPr/>
        <w:tc>
          <w:tcPr>
            <w:tcW w:w="8350" w:type="dxa"/>
            <w:tcBorders/>
            <w:shd w:fill="auto" w:val="clear"/>
          </w:tcPr>
          <w:p>
            <w:pPr>
              <w:pStyle w:val="TableContents"/>
              <w:spacing w:before="0" w:after="0"/>
              <w:ind w:left="0" w:right="0" w:hanging="0"/>
              <w:jc w:val="left"/>
              <w:rPr/>
            </w:pPr>
            <w:r>
              <w:rPr/>
              <w:t> </w:t>
            </w:r>
          </w:p>
        </w:tc>
        <w:tc>
          <w:tcPr>
            <w:tcW w:w="370" w:type="dxa"/>
            <w:tcBorders/>
            <w:shd w:fill="auto" w:val="clear"/>
            <w:vAlign w:val="bottom"/>
          </w:tcPr>
          <w:p>
            <w:pPr>
              <w:pStyle w:val="TableContents"/>
              <w:spacing w:before="0" w:after="0"/>
              <w:ind w:left="0" w:right="0" w:hanging="0"/>
              <w:jc w:val="left"/>
              <w:rPr/>
            </w:pPr>
            <w:r>
              <w:rPr/>
              <w:t> </w:t>
            </w:r>
          </w:p>
        </w:tc>
        <w:tc>
          <w:tcPr>
            <w:tcW w:w="464" w:type="dxa"/>
            <w:tcBorders/>
            <w:shd w:fill="auto" w:val="clear"/>
          </w:tcPr>
          <w:p>
            <w:pPr>
              <w:pStyle w:val="TableContents"/>
              <w:spacing w:before="0" w:after="0"/>
              <w:ind w:left="0" w:right="0" w:hanging="0"/>
              <w:jc w:val="left"/>
              <w:rPr/>
            </w:pPr>
            <w:r>
              <w:rPr/>
              <w:t> </w:t>
            </w:r>
          </w:p>
        </w:tc>
      </w:tr>
      <w:tr>
        <w:trPr/>
        <w:tc>
          <w:tcPr>
            <w:tcW w:w="8350"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Certification of Chief Executive Officer pursuant to Section 906 of the Sarbanes-Oxley Act of 2002.</w:t>
            </w:r>
          </w:p>
        </w:tc>
        <w:tc>
          <w:tcPr>
            <w:tcW w:w="370" w:type="dxa"/>
            <w:tcBorders/>
            <w:shd w:fill="auto" w:val="clear"/>
            <w:vAlign w:val="bottom"/>
          </w:tcPr>
          <w:p>
            <w:pPr>
              <w:pStyle w:val="TableContents"/>
              <w:spacing w:before="0" w:after="0"/>
              <w:ind w:left="0" w:right="0" w:hanging="0"/>
              <w:jc w:val="left"/>
              <w:rPr/>
            </w:pPr>
            <w:r>
              <w:rPr/>
              <w:t> </w:t>
            </w:r>
          </w:p>
        </w:tc>
        <w:tc>
          <w:tcPr>
            <w:tcW w:w="464"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32.1</w:t>
            </w:r>
          </w:p>
        </w:tc>
      </w:tr>
      <w:tr>
        <w:trPr/>
        <w:tc>
          <w:tcPr>
            <w:tcW w:w="8350" w:type="dxa"/>
            <w:tcBorders/>
            <w:shd w:fill="auto" w:val="clear"/>
          </w:tcPr>
          <w:p>
            <w:pPr>
              <w:pStyle w:val="TableContents"/>
              <w:spacing w:before="0" w:after="0"/>
              <w:ind w:left="0" w:right="0" w:hanging="0"/>
              <w:jc w:val="left"/>
              <w:rPr/>
            </w:pPr>
            <w:r>
              <w:rPr/>
              <w:t> </w:t>
            </w:r>
          </w:p>
        </w:tc>
        <w:tc>
          <w:tcPr>
            <w:tcW w:w="370" w:type="dxa"/>
            <w:tcBorders/>
            <w:shd w:fill="auto" w:val="clear"/>
            <w:vAlign w:val="bottom"/>
          </w:tcPr>
          <w:p>
            <w:pPr>
              <w:pStyle w:val="TableContents"/>
              <w:spacing w:before="0" w:after="0"/>
              <w:ind w:left="0" w:right="0" w:hanging="0"/>
              <w:jc w:val="left"/>
              <w:rPr/>
            </w:pPr>
            <w:r>
              <w:rPr/>
              <w:t> </w:t>
            </w:r>
          </w:p>
        </w:tc>
        <w:tc>
          <w:tcPr>
            <w:tcW w:w="464" w:type="dxa"/>
            <w:tcBorders/>
            <w:shd w:fill="auto" w:val="clear"/>
          </w:tcPr>
          <w:p>
            <w:pPr>
              <w:pStyle w:val="TableContents"/>
              <w:spacing w:before="0" w:after="0"/>
              <w:ind w:left="0" w:right="0" w:hanging="0"/>
              <w:jc w:val="left"/>
              <w:rPr/>
            </w:pPr>
            <w:r>
              <w:rPr/>
              <w:t> </w:t>
            </w:r>
          </w:p>
        </w:tc>
      </w:tr>
      <w:tr>
        <w:trPr/>
        <w:tc>
          <w:tcPr>
            <w:tcW w:w="8350"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Certification of Chief Financial Officer pursuant to Section 906 of the Sarbanes-Oxley Act of 2002.</w:t>
            </w:r>
          </w:p>
        </w:tc>
        <w:tc>
          <w:tcPr>
            <w:tcW w:w="370" w:type="dxa"/>
            <w:tcBorders/>
            <w:shd w:fill="auto" w:val="clear"/>
            <w:vAlign w:val="bottom"/>
          </w:tcPr>
          <w:p>
            <w:pPr>
              <w:pStyle w:val="TableContents"/>
              <w:spacing w:before="0" w:after="0"/>
              <w:ind w:left="0" w:right="0" w:hanging="0"/>
              <w:jc w:val="left"/>
              <w:rPr/>
            </w:pPr>
            <w:r>
              <w:rPr/>
              <w:t> </w:t>
            </w:r>
          </w:p>
        </w:tc>
        <w:tc>
          <w:tcPr>
            <w:tcW w:w="464"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32.2</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30</w:t>
      </w:r>
    </w:p>
    <w:p>
      <w:pPr>
        <w:pStyle w:val="HorizontalLine"/>
        <w:pBdr>
          <w:bottom w:val="single" w:sz="12"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17"/>
        </w:rPr>
      </w:pPr>
      <w:bookmarkStart w:id="14" w:name="Signatures_102432"/>
      <w:bookmarkEnd w:id="14"/>
      <w:r>
        <w:rPr>
          <w:rFonts w:ascii="Times New Roman" w:hAnsi="Times New Roman"/>
          <w:b/>
          <w:sz w:val="17"/>
        </w:rPr>
        <w:t>SIGNATURES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Pursuant to the requirements of the Securities Exchange Act of 1934, the registrant has duly caused this amended report to be signed on its behalf by the undersigned, thereunto duly authorized.</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5304"/>
        <w:gridCol w:w="529"/>
        <w:gridCol w:w="4031"/>
        <w:gridCol w:w="23"/>
        <w:gridCol w:w="318"/>
      </w:tblGrid>
      <w:tr>
        <w:trPr/>
        <w:tc>
          <w:tcPr>
            <w:tcW w:w="5304" w:type="dxa"/>
            <w:tcBorders/>
            <w:shd w:fill="auto" w:val="clear"/>
          </w:tcPr>
          <w:p>
            <w:pPr>
              <w:pStyle w:val="TableContents"/>
              <w:spacing w:before="0" w:after="0"/>
              <w:ind w:left="0" w:right="0" w:hanging="0"/>
              <w:jc w:val="left"/>
              <w:rPr/>
            </w:pPr>
            <w:r>
              <w:rPr/>
              <w:t> </w:t>
            </w:r>
          </w:p>
        </w:tc>
        <w:tc>
          <w:tcPr>
            <w:tcW w:w="4901" w:type="dxa"/>
            <w:gridSpan w:val="4"/>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NATIONAL VISION, INC.</w:t>
            </w:r>
          </w:p>
        </w:tc>
      </w:tr>
      <w:tr>
        <w:trPr/>
        <w:tc>
          <w:tcPr>
            <w:tcW w:w="5304" w:type="dxa"/>
            <w:tcBorders/>
            <w:shd w:fill="auto" w:val="clear"/>
          </w:tcPr>
          <w:p>
            <w:pPr>
              <w:pStyle w:val="TableContents"/>
              <w:spacing w:before="0" w:after="0"/>
              <w:ind w:left="0" w:right="0" w:hanging="0"/>
              <w:jc w:val="left"/>
              <w:rPr/>
            </w:pPr>
            <w:r>
              <w:rPr/>
              <w:t> </w:t>
            </w:r>
          </w:p>
        </w:tc>
        <w:tc>
          <w:tcPr>
            <w:tcW w:w="4901" w:type="dxa"/>
            <w:gridSpan w:val="4"/>
            <w:tcBorders/>
            <w:shd w:fill="auto" w:val="clear"/>
          </w:tcPr>
          <w:p>
            <w:pPr>
              <w:pStyle w:val="TableContents"/>
              <w:spacing w:before="0" w:after="0"/>
              <w:ind w:left="0" w:right="0" w:hanging="0"/>
              <w:jc w:val="left"/>
              <w:rPr/>
            </w:pPr>
            <w:r>
              <w:rPr/>
              <w:t> </w:t>
            </w:r>
          </w:p>
        </w:tc>
      </w:tr>
      <w:tr>
        <w:trPr/>
        <w:tc>
          <w:tcPr>
            <w:tcW w:w="5304" w:type="dxa"/>
            <w:tcBorders/>
            <w:shd w:fill="auto" w:val="clear"/>
          </w:tcPr>
          <w:p>
            <w:pPr>
              <w:pStyle w:val="TableContents"/>
              <w:spacing w:before="0" w:after="0"/>
              <w:ind w:left="0" w:right="0" w:hanging="0"/>
              <w:jc w:val="left"/>
              <w:rPr/>
            </w:pPr>
            <w:r>
              <w:rPr/>
              <w:t> </w:t>
            </w:r>
          </w:p>
        </w:tc>
        <w:tc>
          <w:tcPr>
            <w:tcW w:w="4901" w:type="dxa"/>
            <w:gridSpan w:val="4"/>
            <w:tcBorders/>
            <w:shd w:fill="auto" w:val="clear"/>
          </w:tcPr>
          <w:p>
            <w:pPr>
              <w:pStyle w:val="TableContents"/>
              <w:spacing w:before="0" w:after="0"/>
              <w:ind w:left="0" w:right="0" w:hanging="0"/>
              <w:jc w:val="left"/>
              <w:rPr/>
            </w:pPr>
            <w:r>
              <w:rPr/>
              <w:t> </w:t>
            </w:r>
          </w:p>
        </w:tc>
      </w:tr>
      <w:tr>
        <w:trPr/>
        <w:tc>
          <w:tcPr>
            <w:tcW w:w="5304" w:type="dxa"/>
            <w:tcBorders/>
            <w:shd w:fill="auto" w:val="clear"/>
          </w:tcPr>
          <w:p>
            <w:pPr>
              <w:pStyle w:val="TableContents"/>
              <w:spacing w:before="0" w:after="0"/>
              <w:ind w:left="0" w:right="0" w:hanging="0"/>
              <w:jc w:val="left"/>
              <w:rPr/>
            </w:pPr>
            <w:r>
              <w:rPr/>
              <w:t> </w:t>
            </w:r>
          </w:p>
        </w:tc>
        <w:tc>
          <w:tcPr>
            <w:tcW w:w="5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By:</w:t>
            </w:r>
          </w:p>
        </w:tc>
        <w:tc>
          <w:tcPr>
            <w:tcW w:w="4031"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/s/ Paul A. Criscillis, Jr.</w:t>
            </w:r>
          </w:p>
        </w:tc>
        <w:tc>
          <w:tcPr>
            <w:tcW w:w="341" w:type="dxa"/>
            <w:gridSpan w:val="2"/>
            <w:tcBorders/>
            <w:shd w:fill="auto" w:val="clear"/>
          </w:tcPr>
          <w:p>
            <w:pPr>
              <w:pStyle w:val="TableContents"/>
              <w:spacing w:before="0" w:after="0"/>
              <w:ind w:left="0" w:right="0" w:hanging="0"/>
              <w:jc w:val="left"/>
              <w:rPr/>
            </w:pPr>
            <w:r>
              <w:rPr/>
              <w:t> </w:t>
            </w:r>
          </w:p>
        </w:tc>
      </w:tr>
      <w:tr>
        <w:trPr/>
        <w:tc>
          <w:tcPr>
            <w:tcW w:w="5304" w:type="dxa"/>
            <w:tcBorders/>
            <w:shd w:fill="auto" w:val="clear"/>
          </w:tcPr>
          <w:p>
            <w:pPr>
              <w:pStyle w:val="TableContents"/>
              <w:spacing w:before="0" w:after="0"/>
              <w:ind w:left="0" w:right="0" w:hanging="0"/>
              <w:jc w:val="left"/>
              <w:rPr/>
            </w:pPr>
            <w:r>
              <w:rPr/>
              <w:t> </w:t>
            </w:r>
          </w:p>
        </w:tc>
        <w:tc>
          <w:tcPr>
            <w:tcW w:w="529" w:type="dxa"/>
            <w:tcBorders/>
            <w:shd w:fill="auto" w:val="clear"/>
          </w:tcPr>
          <w:p>
            <w:pPr>
              <w:pStyle w:val="TableContents"/>
              <w:spacing w:before="0" w:after="0"/>
              <w:ind w:left="0" w:right="0" w:hanging="0"/>
              <w:jc w:val="left"/>
              <w:rPr/>
            </w:pPr>
            <w:r>
              <w:rPr/>
              <w:t> </w:t>
            </w:r>
          </w:p>
        </w:tc>
        <w:tc>
          <w:tcPr>
            <w:tcW w:w="4372"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Paul A. Criscillis, Jr.</w:t>
            </w:r>
          </w:p>
        </w:tc>
      </w:tr>
      <w:tr>
        <w:trPr/>
        <w:tc>
          <w:tcPr>
            <w:tcW w:w="5304" w:type="dxa"/>
            <w:tcBorders/>
            <w:shd w:fill="auto" w:val="clear"/>
          </w:tcPr>
          <w:p>
            <w:pPr>
              <w:pStyle w:val="TableContents"/>
              <w:spacing w:before="0" w:after="0"/>
              <w:ind w:left="0" w:right="0" w:hanging="0"/>
              <w:jc w:val="left"/>
              <w:rPr/>
            </w:pPr>
            <w:r>
              <w:rPr/>
              <w:t> </w:t>
            </w:r>
          </w:p>
        </w:tc>
        <w:tc>
          <w:tcPr>
            <w:tcW w:w="529" w:type="dxa"/>
            <w:tcBorders/>
            <w:shd w:fill="auto" w:val="clear"/>
          </w:tcPr>
          <w:p>
            <w:pPr>
              <w:pStyle w:val="TableContents"/>
              <w:spacing w:before="0" w:after="0"/>
              <w:ind w:left="0" w:right="0" w:hanging="0"/>
              <w:jc w:val="left"/>
              <w:rPr/>
            </w:pPr>
            <w:r>
              <w:rPr/>
              <w:t> </w:t>
            </w:r>
          </w:p>
        </w:tc>
        <w:tc>
          <w:tcPr>
            <w:tcW w:w="4372"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Senior Vice President</w:t>
            </w:r>
          </w:p>
        </w:tc>
      </w:tr>
      <w:tr>
        <w:trPr/>
        <w:tc>
          <w:tcPr>
            <w:tcW w:w="5304" w:type="dxa"/>
            <w:tcBorders/>
            <w:shd w:fill="auto" w:val="clear"/>
          </w:tcPr>
          <w:p>
            <w:pPr>
              <w:pStyle w:val="TableContents"/>
              <w:spacing w:before="0" w:after="0"/>
              <w:ind w:left="0" w:right="0" w:hanging="0"/>
              <w:jc w:val="left"/>
              <w:rPr/>
            </w:pPr>
            <w:r>
              <w:rPr/>
              <w:t> </w:t>
            </w:r>
          </w:p>
        </w:tc>
        <w:tc>
          <w:tcPr>
            <w:tcW w:w="529" w:type="dxa"/>
            <w:tcBorders/>
            <w:shd w:fill="auto" w:val="clear"/>
          </w:tcPr>
          <w:p>
            <w:pPr>
              <w:pStyle w:val="TableContents"/>
              <w:spacing w:before="0" w:after="0"/>
              <w:ind w:left="0" w:right="0" w:hanging="0"/>
              <w:jc w:val="left"/>
              <w:rPr/>
            </w:pPr>
            <w:r>
              <w:rPr/>
              <w:t> </w:t>
            </w:r>
          </w:p>
        </w:tc>
        <w:tc>
          <w:tcPr>
            <w:tcW w:w="4372"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Chief Financial Officer</w:t>
            </w:r>
          </w:p>
        </w:tc>
      </w:tr>
      <w:tr>
        <w:trPr/>
        <w:tc>
          <w:tcPr>
            <w:tcW w:w="5304" w:type="dxa"/>
            <w:tcBorders/>
            <w:shd w:fill="auto" w:val="clear"/>
          </w:tcPr>
          <w:p>
            <w:pPr>
              <w:pStyle w:val="TableContents"/>
              <w:spacing w:before="0" w:after="0"/>
              <w:ind w:left="0" w:right="0" w:hanging="0"/>
              <w:jc w:val="left"/>
              <w:rPr/>
            </w:pPr>
            <w:r>
              <w:rPr/>
              <w:t> </w:t>
            </w:r>
          </w:p>
        </w:tc>
        <w:tc>
          <w:tcPr>
            <w:tcW w:w="529" w:type="dxa"/>
            <w:tcBorders/>
            <w:shd w:fill="auto" w:val="clear"/>
          </w:tcPr>
          <w:p>
            <w:pPr>
              <w:pStyle w:val="TableContents"/>
              <w:spacing w:before="0" w:after="0"/>
              <w:ind w:left="0" w:right="0" w:hanging="0"/>
              <w:jc w:val="left"/>
              <w:rPr/>
            </w:pPr>
            <w:r>
              <w:rPr/>
              <w:t> </w:t>
            </w:r>
          </w:p>
        </w:tc>
        <w:tc>
          <w:tcPr>
            <w:tcW w:w="4372" w:type="dxa"/>
            <w:gridSpan w:val="3"/>
            <w:tcBorders/>
            <w:shd w:fill="auto" w:val="clear"/>
          </w:tcPr>
          <w:p>
            <w:pPr>
              <w:pStyle w:val="TableContents"/>
              <w:spacing w:before="0" w:after="0"/>
              <w:ind w:left="0" w:right="0" w:hanging="0"/>
              <w:jc w:val="left"/>
              <w:rPr/>
            </w:pPr>
            <w:r>
              <w:rPr/>
              <w:t> </w:t>
            </w:r>
          </w:p>
        </w:tc>
      </w:tr>
      <w:tr>
        <w:trPr/>
        <w:tc>
          <w:tcPr>
            <w:tcW w:w="5304" w:type="dxa"/>
            <w:tcBorders/>
            <w:shd w:fill="auto" w:val="clear"/>
          </w:tcPr>
          <w:p>
            <w:pPr>
              <w:pStyle w:val="TableContents"/>
              <w:spacing w:before="0" w:after="0"/>
              <w:ind w:left="0" w:right="0" w:hanging="0"/>
              <w:jc w:val="left"/>
              <w:rPr/>
            </w:pPr>
            <w:r>
              <w:rPr/>
              <w:t> </w:t>
            </w:r>
          </w:p>
        </w:tc>
        <w:tc>
          <w:tcPr>
            <w:tcW w:w="529" w:type="dxa"/>
            <w:tcBorders/>
            <w:shd w:fill="auto" w:val="clear"/>
          </w:tcPr>
          <w:p>
            <w:pPr>
              <w:pStyle w:val="TableContents"/>
              <w:spacing w:before="0" w:after="0"/>
              <w:ind w:left="0" w:right="0" w:hanging="0"/>
              <w:jc w:val="left"/>
              <w:rPr/>
            </w:pPr>
            <w:r>
              <w:rPr/>
              <w:t> </w:t>
            </w:r>
          </w:p>
        </w:tc>
        <w:tc>
          <w:tcPr>
            <w:tcW w:w="4372" w:type="dxa"/>
            <w:gridSpan w:val="3"/>
            <w:tcBorders/>
            <w:shd w:fill="auto" w:val="clear"/>
          </w:tcPr>
          <w:p>
            <w:pPr>
              <w:pStyle w:val="TableContents"/>
              <w:spacing w:before="0" w:after="0"/>
              <w:ind w:left="0" w:right="0" w:hanging="0"/>
              <w:jc w:val="left"/>
              <w:rPr/>
            </w:pPr>
            <w:r>
              <w:rPr/>
              <w:t> </w:t>
            </w:r>
          </w:p>
        </w:tc>
      </w:tr>
      <w:tr>
        <w:trPr/>
        <w:tc>
          <w:tcPr>
            <w:tcW w:w="5304" w:type="dxa"/>
            <w:tcBorders/>
            <w:shd w:fill="auto" w:val="clear"/>
          </w:tcPr>
          <w:p>
            <w:pPr>
              <w:pStyle w:val="TableContents"/>
              <w:spacing w:before="0" w:after="0"/>
              <w:ind w:left="0" w:right="0" w:hanging="0"/>
              <w:jc w:val="left"/>
              <w:rPr/>
            </w:pPr>
            <w:r>
              <w:rPr/>
              <w:t> </w:t>
            </w:r>
          </w:p>
        </w:tc>
        <w:tc>
          <w:tcPr>
            <w:tcW w:w="52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By:</w:t>
            </w:r>
          </w:p>
        </w:tc>
        <w:tc>
          <w:tcPr>
            <w:tcW w:w="4054" w:type="dxa"/>
            <w:gridSpan w:val="2"/>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/s/ Robert E. Schnelle</w:t>
            </w:r>
          </w:p>
        </w:tc>
        <w:tc>
          <w:tcPr>
            <w:tcW w:w="318" w:type="dxa"/>
            <w:tcBorders/>
            <w:shd w:fill="auto" w:val="clear"/>
          </w:tcPr>
          <w:p>
            <w:pPr>
              <w:pStyle w:val="TableContents"/>
              <w:spacing w:before="0" w:after="0"/>
              <w:ind w:left="0" w:right="0" w:hanging="0"/>
              <w:jc w:val="left"/>
              <w:rPr/>
            </w:pPr>
            <w:r>
              <w:rPr/>
              <w:t> </w:t>
            </w:r>
          </w:p>
        </w:tc>
      </w:tr>
      <w:tr>
        <w:trPr/>
        <w:tc>
          <w:tcPr>
            <w:tcW w:w="5304" w:type="dxa"/>
            <w:tcBorders/>
            <w:shd w:fill="auto" w:val="clear"/>
          </w:tcPr>
          <w:p>
            <w:pPr>
              <w:pStyle w:val="TableContents"/>
              <w:spacing w:before="0" w:after="0"/>
              <w:ind w:left="0" w:right="0" w:hanging="0"/>
              <w:jc w:val="left"/>
              <w:rPr/>
            </w:pPr>
            <w:r>
              <w:rPr/>
              <w:t> </w:t>
            </w:r>
          </w:p>
        </w:tc>
        <w:tc>
          <w:tcPr>
            <w:tcW w:w="529" w:type="dxa"/>
            <w:tcBorders/>
            <w:shd w:fill="auto" w:val="clear"/>
          </w:tcPr>
          <w:p>
            <w:pPr>
              <w:pStyle w:val="TableContents"/>
              <w:spacing w:before="0" w:after="0"/>
              <w:ind w:left="0" w:right="0" w:hanging="0"/>
              <w:jc w:val="left"/>
              <w:rPr/>
            </w:pPr>
            <w:r>
              <w:rPr/>
              <w:t> </w:t>
            </w:r>
          </w:p>
        </w:tc>
        <w:tc>
          <w:tcPr>
            <w:tcW w:w="4372"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Robert E. Schnelle</w:t>
            </w:r>
          </w:p>
        </w:tc>
      </w:tr>
      <w:tr>
        <w:trPr/>
        <w:tc>
          <w:tcPr>
            <w:tcW w:w="5304" w:type="dxa"/>
            <w:tcBorders/>
            <w:shd w:fill="auto" w:val="clear"/>
          </w:tcPr>
          <w:p>
            <w:pPr>
              <w:pStyle w:val="TableContents"/>
              <w:spacing w:before="0" w:after="0"/>
              <w:ind w:left="0" w:right="0" w:hanging="0"/>
              <w:jc w:val="left"/>
              <w:rPr/>
            </w:pPr>
            <w:r>
              <w:rPr/>
              <w:t> </w:t>
            </w:r>
          </w:p>
        </w:tc>
        <w:tc>
          <w:tcPr>
            <w:tcW w:w="529" w:type="dxa"/>
            <w:tcBorders/>
            <w:shd w:fill="auto" w:val="clear"/>
          </w:tcPr>
          <w:p>
            <w:pPr>
              <w:pStyle w:val="TableContents"/>
              <w:spacing w:before="0" w:after="0"/>
              <w:ind w:left="0" w:right="0" w:hanging="0"/>
              <w:jc w:val="left"/>
              <w:rPr/>
            </w:pPr>
            <w:r>
              <w:rPr/>
              <w:t> </w:t>
            </w:r>
          </w:p>
        </w:tc>
        <w:tc>
          <w:tcPr>
            <w:tcW w:w="4372"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Vice President</w:t>
            </w:r>
          </w:p>
        </w:tc>
      </w:tr>
      <w:tr>
        <w:trPr/>
        <w:tc>
          <w:tcPr>
            <w:tcW w:w="5304" w:type="dxa"/>
            <w:tcBorders/>
            <w:shd w:fill="auto" w:val="clear"/>
          </w:tcPr>
          <w:p>
            <w:pPr>
              <w:pStyle w:val="TableContents"/>
              <w:spacing w:before="0" w:after="0"/>
              <w:ind w:left="0" w:right="0" w:hanging="0"/>
              <w:jc w:val="left"/>
              <w:rPr/>
            </w:pPr>
            <w:r>
              <w:rPr/>
              <w:t> </w:t>
            </w:r>
          </w:p>
        </w:tc>
        <w:tc>
          <w:tcPr>
            <w:tcW w:w="529" w:type="dxa"/>
            <w:tcBorders/>
            <w:shd w:fill="auto" w:val="clear"/>
          </w:tcPr>
          <w:p>
            <w:pPr>
              <w:pStyle w:val="TableContents"/>
              <w:spacing w:before="0" w:after="0"/>
              <w:ind w:left="0" w:right="0" w:hanging="0"/>
              <w:jc w:val="left"/>
              <w:rPr/>
            </w:pPr>
            <w:r>
              <w:rPr/>
              <w:t> </w:t>
            </w:r>
          </w:p>
        </w:tc>
        <w:tc>
          <w:tcPr>
            <w:tcW w:w="4372"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Chief Accounting Officer</w:t>
            </w:r>
          </w:p>
        </w:tc>
      </w:tr>
      <w:tr>
        <w:trPr/>
        <w:tc>
          <w:tcPr>
            <w:tcW w:w="5304" w:type="dxa"/>
            <w:tcBorders/>
            <w:shd w:fill="auto" w:val="clear"/>
          </w:tcPr>
          <w:p>
            <w:pPr>
              <w:pStyle w:val="TableContents"/>
              <w:spacing w:before="0" w:after="0"/>
              <w:ind w:left="0" w:right="0" w:hanging="0"/>
              <w:jc w:val="left"/>
              <w:rPr/>
            </w:pPr>
            <w:r>
              <w:rPr/>
              <w:t> </w:t>
            </w:r>
          </w:p>
        </w:tc>
        <w:tc>
          <w:tcPr>
            <w:tcW w:w="529" w:type="dxa"/>
            <w:tcBorders/>
            <w:shd w:fill="auto" w:val="clear"/>
          </w:tcPr>
          <w:p>
            <w:pPr>
              <w:pStyle w:val="TableContents"/>
              <w:spacing w:before="0" w:after="0"/>
              <w:ind w:left="0" w:right="0" w:hanging="0"/>
              <w:jc w:val="left"/>
              <w:rPr/>
            </w:pPr>
            <w:r>
              <w:rPr/>
              <w:t> </w:t>
            </w:r>
          </w:p>
        </w:tc>
        <w:tc>
          <w:tcPr>
            <w:tcW w:w="4372" w:type="dxa"/>
            <w:gridSpan w:val="3"/>
            <w:tcBorders/>
            <w:shd w:fill="auto" w:val="clear"/>
          </w:tcPr>
          <w:p>
            <w:pPr>
              <w:pStyle w:val="TableContents"/>
              <w:spacing w:before="0" w:after="0"/>
              <w:ind w:left="0" w:right="0" w:hanging="0"/>
              <w:jc w:val="left"/>
              <w:rPr/>
            </w:pPr>
            <w:r>
              <w:rPr/>
              <w:t> </w:t>
            </w:r>
          </w:p>
        </w:tc>
      </w:tr>
      <w:tr>
        <w:trPr/>
        <w:tc>
          <w:tcPr>
            <w:tcW w:w="5304" w:type="dxa"/>
            <w:tcBorders/>
            <w:shd w:fill="auto" w:val="clear"/>
          </w:tcPr>
          <w:p>
            <w:pPr>
              <w:pStyle w:val="TableContents"/>
              <w:spacing w:before="0" w:after="0"/>
              <w:ind w:left="0" w:right="0" w:hanging="0"/>
              <w:jc w:val="left"/>
              <w:rPr/>
            </w:pPr>
            <w:r>
              <w:rPr/>
              <w:t> </w:t>
            </w:r>
          </w:p>
        </w:tc>
        <w:tc>
          <w:tcPr>
            <w:tcW w:w="529" w:type="dxa"/>
            <w:tcBorders/>
            <w:shd w:fill="auto" w:val="clear"/>
          </w:tcPr>
          <w:p>
            <w:pPr>
              <w:pStyle w:val="TableContents"/>
              <w:spacing w:before="0" w:after="0"/>
              <w:ind w:left="0" w:right="0" w:hanging="0"/>
              <w:jc w:val="left"/>
              <w:rPr/>
            </w:pPr>
            <w:r>
              <w:rPr/>
              <w:t> </w:t>
            </w:r>
          </w:p>
        </w:tc>
        <w:tc>
          <w:tcPr>
            <w:tcW w:w="4372" w:type="dxa"/>
            <w:gridSpan w:val="3"/>
            <w:tcBorders/>
            <w:shd w:fill="auto" w:val="clear"/>
          </w:tcPr>
          <w:p>
            <w:pPr>
              <w:pStyle w:val="TableContents"/>
              <w:spacing w:before="0" w:after="0"/>
              <w:ind w:left="0" w:right="0" w:hanging="0"/>
              <w:jc w:val="left"/>
              <w:rPr/>
            </w:pPr>
            <w:r>
              <w:rPr/>
              <w:t> </w:t>
            </w:r>
          </w:p>
        </w:tc>
      </w:tr>
      <w:tr>
        <w:trPr/>
        <w:tc>
          <w:tcPr>
            <w:tcW w:w="5304"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August 15, 2005</w:t>
            </w:r>
          </w:p>
        </w:tc>
        <w:tc>
          <w:tcPr>
            <w:tcW w:w="529" w:type="dxa"/>
            <w:tcBorders/>
            <w:shd w:fill="auto" w:val="clear"/>
          </w:tcPr>
          <w:p>
            <w:pPr>
              <w:pStyle w:val="TableContents"/>
              <w:spacing w:before="0" w:after="0"/>
              <w:ind w:left="0" w:right="0" w:hanging="0"/>
              <w:jc w:val="left"/>
              <w:rPr/>
            </w:pPr>
            <w:r>
              <w:rPr/>
              <w:t> </w:t>
            </w:r>
          </w:p>
        </w:tc>
        <w:tc>
          <w:tcPr>
            <w:tcW w:w="4372" w:type="dxa"/>
            <w:gridSpan w:val="3"/>
            <w:tcBorders/>
            <w:shd w:fill="auto" w:val="clear"/>
          </w:tcPr>
          <w:p>
            <w:pPr>
              <w:pStyle w:val="TableContents"/>
              <w:spacing w:before="0" w:after="0"/>
              <w:ind w:left="0" w:right="0" w:hanging="0"/>
              <w:jc w:val="left"/>
              <w:rPr/>
            </w:pPr>
            <w:r>
              <w:rPr/>
              <w:t> </w:t>
            </w:r>
          </w:p>
        </w:tc>
      </w:tr>
      <w:tr>
        <w:trPr/>
        <w:tc>
          <w:tcPr>
            <w:tcW w:w="5304"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4031"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31</w:t>
      </w:r>
    </w:p>
    <w:p>
      <w:pPr>
        <w:pStyle w:val="HorizontalLine"/>
        <w:pBdr>
          <w:bottom w:val="single" w:sz="12" w:space="0" w:color="808080"/>
        </w:pBdr>
        <w:spacing w:before="0" w:after="0"/>
        <w:rPr/>
      </w:pPr>
      <w:r>
        <w:rPr/>
      </w:r>
      <w:r>
        <w:br w:type="page"/>
      </w:r>
    </w:p>
    <w:p>
      <w:pPr>
        <w:pStyle w:val="TextBody"/>
        <w:spacing w:before="0" w:after="0"/>
        <w:ind w:left="0" w:right="0" w:hanging="0"/>
        <w:jc w:val="right"/>
        <w:rPr>
          <w:rFonts w:ascii="Times New Roman" w:hAnsi="Times New Roman"/>
          <w:b/>
          <w:sz w:val="17"/>
        </w:rPr>
      </w:pPr>
      <w:bookmarkStart w:id="15" w:name="a05-13121_1ex31d1.htm"/>
      <w:bookmarkStart w:id="16" w:name="ksa0513121_1ex31d1"/>
      <w:bookmarkEnd w:id="15"/>
      <w:bookmarkEnd w:id="16"/>
      <w:r>
        <w:rPr>
          <w:rFonts w:ascii="Times New Roman" w:hAnsi="Times New Roman"/>
          <w:b/>
          <w:sz w:val="17"/>
        </w:rPr>
        <w:t>Exhibit 31.1</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i/>
          <w:sz w:val="17"/>
        </w:rPr>
      </w:pPr>
      <w:r>
        <w:rPr>
          <w:rFonts w:ascii="Times New Roman" w:hAnsi="Times New Roman"/>
          <w:b/>
          <w:i/>
          <w:sz w:val="17"/>
        </w:rPr>
        <w:t>C E R T I F I C A T I O N</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I, Reade Fahs, certify that: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1.               I have reviewed the quarterly report on Form 10-Q of National Vision, Inc.</w:t>
      </w:r>
    </w:p>
    <w:p>
      <w:pPr>
        <w:pStyle w:val="TextBody"/>
        <w:spacing w:before="0" w:after="0"/>
        <w:ind w:left="0" w:right="0" w:hanging="0"/>
        <w:jc w:val="left"/>
        <w:rPr>
          <w:rFonts w:ascii="Times New Roman" w:hAnsi="Times New Roman"/>
          <w:sz w:val="17"/>
        </w:rPr>
      </w:pPr>
      <w:r>
        <w:rPr>
          <w:rFonts w:ascii="Times New Roman" w:hAnsi="Times New Roman"/>
          <w:sz w:val="17"/>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jc w:val="left"/>
        <w:rPr>
          <w:rFonts w:ascii="Times New Roman" w:hAnsi="Times New Roman"/>
          <w:sz w:val="17"/>
        </w:rPr>
      </w:pPr>
      <w:r>
        <w:rPr>
          <w:rFonts w:ascii="Times New Roman" w:hAnsi="Times New Roman"/>
          <w:sz w:val="17"/>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jc w:val="left"/>
        <w:rPr>
          <w:rFonts w:ascii="Times New Roman" w:hAnsi="Times New Roman"/>
          <w:sz w:val="17"/>
        </w:rPr>
      </w:pPr>
      <w:r>
        <w:rPr>
          <w:rFonts w:ascii="Times New Roman" w:hAnsi="Times New Roman"/>
          <w:sz w:val="17"/>
        </w:rPr>
        <w:t>4.               The registrants other certifying officer and I are responsible for establishing and maintaining disclosure controls and procedures (as defined in Exchange Act Rules 13a-15(e) and 15d-15(e)) for the registrant and have:</w:t>
      </w:r>
    </w:p>
    <w:p>
      <w:pPr>
        <w:pStyle w:val="TextBody"/>
        <w:spacing w:before="0" w:after="0"/>
        <w:ind w:left="0" w:right="0" w:hanging="0"/>
        <w:jc w:val="left"/>
        <w:rPr>
          <w:rFonts w:ascii="Times New Roman" w:hAnsi="Times New Roman"/>
          <w:sz w:val="17"/>
        </w:rPr>
      </w:pPr>
      <w:r>
        <w:rPr>
          <w:rFonts w:ascii="Times New Roman" w:hAnsi="Times New Roman"/>
          <w:sz w:val="17"/>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jc w:val="left"/>
        <w:rPr>
          <w:rFonts w:ascii="Times New Roman" w:hAnsi="Times New Roman"/>
          <w:sz w:val="17"/>
        </w:rPr>
      </w:pPr>
      <w:r>
        <w:rPr>
          <w:rFonts w:ascii="Times New Roman" w:hAnsi="Times New Roman"/>
          <w:sz w:val="17"/>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jc w:val="left"/>
        <w:rPr>
          <w:rFonts w:ascii="Times New Roman" w:hAnsi="Times New Roman"/>
          <w:sz w:val="17"/>
        </w:rPr>
      </w:pPr>
      <w:r>
        <w:rPr>
          <w:rFonts w:ascii="Times New Roman" w:hAnsi="Times New Roman"/>
          <w:sz w:val="17"/>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jc w:val="left"/>
        <w:rPr>
          <w:rFonts w:ascii="Times New Roman" w:hAnsi="Times New Roman"/>
          <w:sz w:val="17"/>
        </w:rPr>
      </w:pPr>
      <w:r>
        <w:rPr>
          <w:rFonts w:ascii="Times New Roman" w:hAnsi="Times New Roman"/>
          <w:sz w:val="17"/>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jc w:val="left"/>
        <w:rPr>
          <w:rFonts w:ascii="Times New Roman" w:hAnsi="Times New Roman"/>
          <w:sz w:val="17"/>
        </w:rPr>
      </w:pPr>
      <w:r>
        <w:rPr>
          <w:rFonts w:ascii="Times New Roman" w:hAnsi="Times New Roman"/>
          <w:sz w:val="17"/>
        </w:rPr>
        <w:t>a)                                      All significant deficiencies and material weakness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jc w:val="left"/>
        <w:rPr>
          <w:rFonts w:ascii="Times New Roman" w:hAnsi="Times New Roman"/>
          <w:sz w:val="17"/>
        </w:rPr>
      </w:pPr>
      <w:r>
        <w:rPr>
          <w:rFonts w:ascii="Times New Roman" w:hAnsi="Times New Roman"/>
          <w:sz w:val="17"/>
        </w:rPr>
        <w:t>b)                                     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894"/>
        <w:gridCol w:w="5002"/>
        <w:gridCol w:w="309"/>
      </w:tblGrid>
      <w:tr>
        <w:trPr/>
        <w:tc>
          <w:tcPr>
            <w:tcW w:w="4894" w:type="dxa"/>
            <w:tcBorders/>
            <w:shd w:fill="auto" w:val="clear"/>
          </w:tcPr>
          <w:p>
            <w:pPr>
              <w:pStyle w:val="TableContents"/>
              <w:spacing w:before="0" w:after="0"/>
              <w:ind w:left="0" w:right="0" w:hanging="0"/>
              <w:jc w:val="left"/>
              <w:rPr/>
            </w:pPr>
            <w:r>
              <w:rPr/>
              <w:t> </w:t>
            </w:r>
          </w:p>
        </w:tc>
        <w:tc>
          <w:tcPr>
            <w:tcW w:w="5002"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/s/ Reade Fahs</w:t>
            </w:r>
          </w:p>
        </w:tc>
        <w:tc>
          <w:tcPr>
            <w:tcW w:w="309" w:type="dxa"/>
            <w:tcBorders/>
            <w:shd w:fill="auto" w:val="clear"/>
          </w:tcPr>
          <w:p>
            <w:pPr>
              <w:pStyle w:val="TableContents"/>
              <w:spacing w:before="0" w:after="0"/>
              <w:ind w:left="0" w:right="0" w:hanging="0"/>
              <w:jc w:val="left"/>
              <w:rPr/>
            </w:pPr>
            <w:r>
              <w:rPr/>
              <w:t> </w:t>
            </w:r>
          </w:p>
        </w:tc>
      </w:tr>
      <w:tr>
        <w:trPr/>
        <w:tc>
          <w:tcPr>
            <w:tcW w:w="4894" w:type="dxa"/>
            <w:tcBorders/>
            <w:shd w:fill="auto" w:val="clear"/>
          </w:tcPr>
          <w:p>
            <w:pPr>
              <w:pStyle w:val="TableContents"/>
              <w:spacing w:before="0" w:after="0"/>
              <w:ind w:left="0" w:right="0" w:hanging="0"/>
              <w:jc w:val="left"/>
              <w:rPr/>
            </w:pPr>
            <w:r>
              <w:rPr/>
              <w:t> </w:t>
            </w:r>
          </w:p>
        </w:tc>
        <w:tc>
          <w:tcPr>
            <w:tcW w:w="500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Reade Fahs</w:t>
            </w:r>
          </w:p>
        </w:tc>
        <w:tc>
          <w:tcPr>
            <w:tcW w:w="309" w:type="dxa"/>
            <w:tcBorders/>
            <w:shd w:fill="auto" w:val="clear"/>
          </w:tcPr>
          <w:p>
            <w:pPr>
              <w:pStyle w:val="TableContents"/>
              <w:spacing w:before="0" w:after="0"/>
              <w:ind w:left="0" w:right="0" w:hanging="0"/>
              <w:jc w:val="left"/>
              <w:rPr/>
            </w:pPr>
            <w:r>
              <w:rPr/>
              <w:t> </w:t>
            </w:r>
          </w:p>
        </w:tc>
      </w:tr>
      <w:tr>
        <w:trPr/>
        <w:tc>
          <w:tcPr>
            <w:tcW w:w="4894" w:type="dxa"/>
            <w:tcBorders/>
            <w:shd w:fill="auto" w:val="clear"/>
          </w:tcPr>
          <w:p>
            <w:pPr>
              <w:pStyle w:val="TableContents"/>
              <w:spacing w:before="0" w:after="0"/>
              <w:ind w:left="0" w:right="0" w:hanging="0"/>
              <w:jc w:val="left"/>
              <w:rPr/>
            </w:pPr>
            <w:r>
              <w:rPr/>
              <w:t> </w:t>
            </w:r>
          </w:p>
        </w:tc>
        <w:tc>
          <w:tcPr>
            <w:tcW w:w="500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Chief Executive Officer and President</w:t>
            </w:r>
          </w:p>
        </w:tc>
        <w:tc>
          <w:tcPr>
            <w:tcW w:w="309" w:type="dxa"/>
            <w:tcBorders/>
            <w:shd w:fill="auto" w:val="clear"/>
          </w:tcPr>
          <w:p>
            <w:pPr>
              <w:pStyle w:val="TableContents"/>
              <w:spacing w:before="0" w:after="0"/>
              <w:ind w:left="0" w:right="0" w:hanging="0"/>
              <w:jc w:val="left"/>
              <w:rPr/>
            </w:pPr>
            <w:r>
              <w:rPr/>
              <w:t> </w:t>
            </w:r>
          </w:p>
        </w:tc>
      </w:tr>
      <w:tr>
        <w:trPr/>
        <w:tc>
          <w:tcPr>
            <w:tcW w:w="4894" w:type="dxa"/>
            <w:tcBorders/>
            <w:shd w:fill="auto" w:val="clear"/>
          </w:tcPr>
          <w:p>
            <w:pPr>
              <w:pStyle w:val="TableContents"/>
              <w:spacing w:before="0" w:after="0"/>
              <w:ind w:left="0" w:right="0" w:hanging="0"/>
              <w:jc w:val="left"/>
              <w:rPr/>
            </w:pPr>
            <w:r>
              <w:rPr/>
              <w:t> </w:t>
            </w:r>
          </w:p>
        </w:tc>
        <w:tc>
          <w:tcPr>
            <w:tcW w:w="5002" w:type="dxa"/>
            <w:tcBorders/>
            <w:shd w:fill="auto" w:val="clear"/>
          </w:tcPr>
          <w:p>
            <w:pPr>
              <w:pStyle w:val="TableContents"/>
              <w:spacing w:before="0" w:after="0"/>
              <w:ind w:left="0" w:right="0" w:hanging="0"/>
              <w:jc w:val="left"/>
              <w:rPr/>
            </w:pPr>
            <w:r>
              <w:rPr/>
              <w:t> </w:t>
            </w:r>
          </w:p>
        </w:tc>
        <w:tc>
          <w:tcPr>
            <w:tcW w:w="309" w:type="dxa"/>
            <w:tcBorders/>
            <w:shd w:fill="auto" w:val="clear"/>
          </w:tcPr>
          <w:p>
            <w:pPr>
              <w:pStyle w:val="TableContents"/>
              <w:spacing w:before="0" w:after="0"/>
              <w:ind w:left="0" w:right="0" w:hanging="0"/>
              <w:jc w:val="left"/>
              <w:rPr/>
            </w:pPr>
            <w:r>
              <w:rPr/>
              <w:t> </w:t>
            </w:r>
          </w:p>
        </w:tc>
      </w:tr>
      <w:tr>
        <w:trPr/>
        <w:tc>
          <w:tcPr>
            <w:tcW w:w="4894" w:type="dxa"/>
            <w:tcBorders/>
            <w:shd w:fill="auto" w:val="clear"/>
          </w:tcPr>
          <w:p>
            <w:pPr>
              <w:pStyle w:val="TableContents"/>
              <w:spacing w:before="0" w:after="0"/>
              <w:ind w:left="0" w:right="0" w:hanging="0"/>
              <w:jc w:val="left"/>
              <w:rPr/>
            </w:pPr>
            <w:r>
              <w:rPr/>
              <w:t> </w:t>
            </w:r>
          </w:p>
        </w:tc>
        <w:tc>
          <w:tcPr>
            <w:tcW w:w="5002" w:type="dxa"/>
            <w:tcBorders/>
            <w:shd w:fill="auto" w:val="clear"/>
          </w:tcPr>
          <w:p>
            <w:pPr>
              <w:pStyle w:val="TableContents"/>
              <w:spacing w:before="0" w:after="0"/>
              <w:ind w:left="0" w:right="0" w:hanging="0"/>
              <w:jc w:val="left"/>
              <w:rPr/>
            </w:pPr>
            <w:r>
              <w:rPr/>
              <w:t> </w:t>
            </w:r>
          </w:p>
        </w:tc>
        <w:tc>
          <w:tcPr>
            <w:tcW w:w="309" w:type="dxa"/>
            <w:tcBorders/>
            <w:shd w:fill="auto" w:val="clear"/>
          </w:tcPr>
          <w:p>
            <w:pPr>
              <w:pStyle w:val="TableContents"/>
              <w:spacing w:before="0" w:after="0"/>
              <w:ind w:left="0" w:right="0" w:hanging="0"/>
              <w:jc w:val="left"/>
              <w:rPr/>
            </w:pPr>
            <w:r>
              <w:rPr/>
              <w:t> </w:t>
            </w:r>
          </w:p>
        </w:tc>
      </w:tr>
      <w:tr>
        <w:trPr/>
        <w:tc>
          <w:tcPr>
            <w:tcW w:w="4894"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Date:  August 15, 2005</w:t>
            </w:r>
          </w:p>
        </w:tc>
        <w:tc>
          <w:tcPr>
            <w:tcW w:w="5002" w:type="dxa"/>
            <w:tcBorders/>
            <w:shd w:fill="auto" w:val="clear"/>
          </w:tcPr>
          <w:p>
            <w:pPr>
              <w:pStyle w:val="TableContents"/>
              <w:spacing w:before="0" w:after="0"/>
              <w:ind w:left="0" w:right="0" w:hanging="0"/>
              <w:jc w:val="left"/>
              <w:rPr/>
            </w:pPr>
            <w:r>
              <w:rPr/>
              <w:t> </w:t>
            </w:r>
          </w:p>
        </w:tc>
        <w:tc>
          <w:tcPr>
            <w:tcW w:w="309" w:type="dxa"/>
            <w:tcBorders/>
            <w:shd w:fill="auto" w:val="clear"/>
          </w:tcPr>
          <w:p>
            <w:pPr>
              <w:pStyle w:val="TableContents"/>
              <w:spacing w:before="0" w:after="0"/>
              <w:ind w:left="0" w:right="0" w:hanging="0"/>
              <w:jc w:val="lef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p>
    <w:p>
      <w:pPr>
        <w:pStyle w:val="HorizontalLine"/>
        <w:pBdr>
          <w:bottom w:val="single" w:sz="12" w:space="0" w:color="808080"/>
        </w:pBdr>
        <w:spacing w:before="0" w:after="0"/>
        <w:jc w:val="left"/>
        <w:rPr/>
      </w:pPr>
      <w:r>
        <w:rPr/>
      </w:r>
      <w:r>
        <w:br w:type="page"/>
      </w:r>
    </w:p>
    <w:p>
      <w:pPr>
        <w:pStyle w:val="TextBody"/>
        <w:spacing w:before="0" w:after="0"/>
        <w:ind w:left="0" w:right="0" w:hanging="0"/>
        <w:jc w:val="right"/>
        <w:rPr>
          <w:rFonts w:ascii="Times New Roman" w:hAnsi="Times New Roman"/>
          <w:b/>
          <w:sz w:val="17"/>
        </w:rPr>
      </w:pPr>
      <w:bookmarkStart w:id="17" w:name="a05-13121_1ex31d2.htm"/>
      <w:bookmarkStart w:id="18" w:name="ksa0513121_1ex31d2"/>
      <w:bookmarkEnd w:id="17"/>
      <w:bookmarkEnd w:id="18"/>
      <w:r>
        <w:rPr>
          <w:rFonts w:ascii="Times New Roman" w:hAnsi="Times New Roman"/>
          <w:b/>
          <w:sz w:val="17"/>
        </w:rPr>
        <w:t>Exhibit 31.2</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i/>
          <w:sz w:val="17"/>
        </w:rPr>
      </w:pPr>
      <w:r>
        <w:rPr>
          <w:rFonts w:ascii="Times New Roman" w:hAnsi="Times New Roman"/>
          <w:b/>
          <w:i/>
          <w:sz w:val="17"/>
        </w:rPr>
        <w:t>C E R T I F I C A T I O N</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I, Paul A. Criscillis, Jr., certify that: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1.               I have reviewed the quarterly report on Form 10-Q of National Vision, Inc.</w:t>
      </w:r>
    </w:p>
    <w:p>
      <w:pPr>
        <w:pStyle w:val="TextBody"/>
        <w:spacing w:before="0" w:after="0"/>
        <w:ind w:left="0" w:right="0" w:hanging="0"/>
        <w:jc w:val="left"/>
        <w:rPr>
          <w:rFonts w:ascii="Times New Roman" w:hAnsi="Times New Roman"/>
          <w:sz w:val="17"/>
        </w:rPr>
      </w:pPr>
      <w:r>
        <w:rPr>
          <w:rFonts w:ascii="Times New Roman" w:hAnsi="Times New Roman"/>
          <w:sz w:val="17"/>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jc w:val="left"/>
        <w:rPr>
          <w:rFonts w:ascii="Times New Roman" w:hAnsi="Times New Roman"/>
          <w:sz w:val="17"/>
        </w:rPr>
      </w:pPr>
      <w:r>
        <w:rPr>
          <w:rFonts w:ascii="Times New Roman" w:hAnsi="Times New Roman"/>
          <w:sz w:val="17"/>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jc w:val="left"/>
        <w:rPr>
          <w:rFonts w:ascii="Times New Roman" w:hAnsi="Times New Roman"/>
          <w:sz w:val="17"/>
        </w:rPr>
      </w:pPr>
      <w:r>
        <w:rPr>
          <w:rFonts w:ascii="Times New Roman" w:hAnsi="Times New Roman"/>
          <w:sz w:val="17"/>
        </w:rPr>
        <w:t>4.               The registrants other certifying officer and I are responsible for establishing and maintaining disclosure controls and procedures (as defined in Exchange Act Rules 13a-15(e) and 15d-15(e)) for the registrant and have:</w:t>
      </w:r>
    </w:p>
    <w:p>
      <w:pPr>
        <w:pStyle w:val="TextBody"/>
        <w:spacing w:before="0" w:after="0"/>
        <w:ind w:left="0" w:right="0" w:hanging="0"/>
        <w:jc w:val="left"/>
        <w:rPr>
          <w:rFonts w:ascii="Times New Roman" w:hAnsi="Times New Roman"/>
          <w:sz w:val="17"/>
        </w:rPr>
      </w:pPr>
      <w:r>
        <w:rPr>
          <w:rFonts w:ascii="Times New Roman" w:hAnsi="Times New Roman"/>
          <w:sz w:val="17"/>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jc w:val="left"/>
        <w:rPr>
          <w:rFonts w:ascii="Times New Roman" w:hAnsi="Times New Roman"/>
          <w:sz w:val="17"/>
        </w:rPr>
      </w:pPr>
      <w:r>
        <w:rPr>
          <w:rFonts w:ascii="Times New Roman" w:hAnsi="Times New Roman"/>
          <w:sz w:val="17"/>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jc w:val="left"/>
        <w:rPr>
          <w:rFonts w:ascii="Times New Roman" w:hAnsi="Times New Roman"/>
          <w:sz w:val="17"/>
        </w:rPr>
      </w:pPr>
      <w:r>
        <w:rPr>
          <w:rFonts w:ascii="Times New Roman" w:hAnsi="Times New Roman"/>
          <w:sz w:val="17"/>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jc w:val="left"/>
        <w:rPr>
          <w:rFonts w:ascii="Times New Roman" w:hAnsi="Times New Roman"/>
          <w:sz w:val="17"/>
        </w:rPr>
      </w:pPr>
      <w:r>
        <w:rPr>
          <w:rFonts w:ascii="Times New Roman" w:hAnsi="Times New Roman"/>
          <w:sz w:val="17"/>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jc w:val="left"/>
        <w:rPr>
          <w:rFonts w:ascii="Times New Roman" w:hAnsi="Times New Roman"/>
          <w:sz w:val="17"/>
        </w:rPr>
      </w:pPr>
      <w:r>
        <w:rPr>
          <w:rFonts w:ascii="Times New Roman" w:hAnsi="Times New Roman"/>
          <w:sz w:val="17"/>
        </w:rPr>
        <w:t>a)                                      All significant deficiencies and material weakness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jc w:val="left"/>
        <w:rPr>
          <w:rFonts w:ascii="Times New Roman" w:hAnsi="Times New Roman"/>
          <w:sz w:val="17"/>
        </w:rPr>
      </w:pPr>
      <w:r>
        <w:rPr>
          <w:rFonts w:ascii="Times New Roman" w:hAnsi="Times New Roman"/>
          <w:sz w:val="17"/>
        </w:rPr>
        <w:t>b)                                     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 </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5259"/>
        <w:gridCol w:w="4946"/>
      </w:tblGrid>
      <w:tr>
        <w:trPr/>
        <w:tc>
          <w:tcPr>
            <w:tcW w:w="5259" w:type="dxa"/>
            <w:tcBorders/>
            <w:shd w:fill="auto" w:val="clear"/>
          </w:tcPr>
          <w:p>
            <w:pPr>
              <w:pStyle w:val="TableContents"/>
              <w:spacing w:before="0" w:after="0"/>
              <w:ind w:left="0" w:right="0" w:hanging="0"/>
              <w:jc w:val="left"/>
              <w:rPr/>
            </w:pPr>
            <w:r>
              <w:rPr/>
              <w:t> </w:t>
            </w:r>
          </w:p>
        </w:tc>
        <w:tc>
          <w:tcPr>
            <w:tcW w:w="4946"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/s/ Paul A. Criscillis, Jr.</w:t>
            </w:r>
          </w:p>
        </w:tc>
      </w:tr>
      <w:tr>
        <w:trPr/>
        <w:tc>
          <w:tcPr>
            <w:tcW w:w="5259" w:type="dxa"/>
            <w:tcBorders/>
            <w:shd w:fill="auto" w:val="clear"/>
          </w:tcPr>
          <w:p>
            <w:pPr>
              <w:pStyle w:val="TableContents"/>
              <w:spacing w:before="0" w:after="0"/>
              <w:ind w:left="0" w:right="0" w:hanging="0"/>
              <w:jc w:val="left"/>
              <w:rPr/>
            </w:pPr>
            <w:r>
              <w:rPr/>
              <w:t> </w:t>
            </w:r>
          </w:p>
        </w:tc>
        <w:tc>
          <w:tcPr>
            <w:tcW w:w="49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Paul A. Criscillis, Jr.</w:t>
            </w:r>
          </w:p>
        </w:tc>
      </w:tr>
      <w:tr>
        <w:trPr/>
        <w:tc>
          <w:tcPr>
            <w:tcW w:w="5259" w:type="dxa"/>
            <w:tcBorders/>
            <w:shd w:fill="auto" w:val="clear"/>
          </w:tcPr>
          <w:p>
            <w:pPr>
              <w:pStyle w:val="TableContents"/>
              <w:spacing w:before="0" w:after="0"/>
              <w:ind w:left="0" w:right="0" w:hanging="0"/>
              <w:jc w:val="left"/>
              <w:rPr/>
            </w:pPr>
            <w:r>
              <w:rPr/>
              <w:t> </w:t>
            </w:r>
          </w:p>
        </w:tc>
        <w:tc>
          <w:tcPr>
            <w:tcW w:w="49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Senior Vice President</w:t>
            </w:r>
          </w:p>
        </w:tc>
      </w:tr>
      <w:tr>
        <w:trPr/>
        <w:tc>
          <w:tcPr>
            <w:tcW w:w="5259" w:type="dxa"/>
            <w:tcBorders/>
            <w:shd w:fill="auto" w:val="clear"/>
          </w:tcPr>
          <w:p>
            <w:pPr>
              <w:pStyle w:val="TableContents"/>
              <w:spacing w:before="0" w:after="0"/>
              <w:ind w:left="0" w:right="0" w:hanging="0"/>
              <w:jc w:val="left"/>
              <w:rPr/>
            </w:pPr>
            <w:r>
              <w:rPr/>
              <w:t> </w:t>
            </w:r>
          </w:p>
        </w:tc>
        <w:tc>
          <w:tcPr>
            <w:tcW w:w="49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Chief Financial Officer</w:t>
            </w:r>
          </w:p>
        </w:tc>
      </w:tr>
      <w:tr>
        <w:trPr/>
        <w:tc>
          <w:tcPr>
            <w:tcW w:w="5259" w:type="dxa"/>
            <w:tcBorders/>
            <w:shd w:fill="auto" w:val="clear"/>
          </w:tcPr>
          <w:p>
            <w:pPr>
              <w:pStyle w:val="TableContents"/>
              <w:spacing w:before="0" w:after="0"/>
              <w:ind w:left="0" w:right="0" w:hanging="0"/>
              <w:jc w:val="left"/>
              <w:rPr/>
            </w:pPr>
            <w:r>
              <w:rPr/>
              <w:t> </w:t>
            </w:r>
          </w:p>
        </w:tc>
        <w:tc>
          <w:tcPr>
            <w:tcW w:w="4946" w:type="dxa"/>
            <w:tcBorders/>
            <w:shd w:fill="auto" w:val="clear"/>
          </w:tcPr>
          <w:p>
            <w:pPr>
              <w:pStyle w:val="TableContents"/>
              <w:spacing w:before="0" w:after="0"/>
              <w:ind w:left="0" w:right="0" w:hanging="0"/>
              <w:jc w:val="left"/>
              <w:rPr/>
            </w:pPr>
            <w:r>
              <w:rPr/>
              <w:t> </w:t>
            </w:r>
          </w:p>
        </w:tc>
      </w:tr>
      <w:tr>
        <w:trPr/>
        <w:tc>
          <w:tcPr>
            <w:tcW w:w="525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Date:  August 15, 2005</w:t>
            </w:r>
          </w:p>
        </w:tc>
        <w:tc>
          <w:tcPr>
            <w:tcW w:w="4946" w:type="dxa"/>
            <w:tcBorders/>
            <w:shd w:fill="auto" w:val="clear"/>
          </w:tcPr>
          <w:p>
            <w:pPr>
              <w:pStyle w:val="TableContents"/>
              <w:spacing w:before="0" w:after="0"/>
              <w:ind w:left="0" w:right="0" w:hanging="0"/>
              <w:jc w:val="lef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p>
    <w:p>
      <w:pPr>
        <w:pStyle w:val="HorizontalLine"/>
        <w:pBdr>
          <w:bottom w:val="single" w:sz="12" w:space="0" w:color="808080"/>
        </w:pBdr>
        <w:spacing w:before="0" w:after="0"/>
        <w:rPr/>
      </w:pPr>
      <w:r>
        <w:rPr/>
      </w:r>
      <w:r>
        <w:br w:type="page"/>
      </w:r>
    </w:p>
    <w:p>
      <w:pPr>
        <w:pStyle w:val="TextBody"/>
        <w:spacing w:before="0" w:after="0"/>
        <w:ind w:left="0" w:right="0" w:hanging="0"/>
        <w:jc w:val="right"/>
        <w:rPr>
          <w:rFonts w:ascii="Times New Roman" w:hAnsi="Times New Roman"/>
          <w:b/>
          <w:sz w:val="17"/>
        </w:rPr>
      </w:pPr>
      <w:bookmarkStart w:id="19" w:name="a05-13121_1ex32d1.htm"/>
      <w:bookmarkStart w:id="20" w:name="ksa0513121_1ex32d1"/>
      <w:bookmarkEnd w:id="19"/>
      <w:bookmarkEnd w:id="20"/>
      <w:r>
        <w:rPr>
          <w:rFonts w:ascii="Times New Roman" w:hAnsi="Times New Roman"/>
          <w:b/>
          <w:sz w:val="17"/>
        </w:rPr>
        <w:t>Exhibit 32.1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i/>
          <w:sz w:val="17"/>
          <w:u w:val="single"/>
        </w:rPr>
      </w:pPr>
      <w:r>
        <w:rPr>
          <w:rFonts w:ascii="Times New Roman" w:hAnsi="Times New Roman"/>
          <w:b/>
          <w:i/>
          <w:sz w:val="17"/>
          <w:u w:val="single"/>
        </w:rPr>
        <w:t>Certificate of Chief Executive Officer</w:t>
      </w:r>
    </w:p>
    <w:p>
      <w:pPr>
        <w:pStyle w:val="TextBody"/>
        <w:spacing w:before="0" w:after="0"/>
        <w:ind w:left="0" w:right="0" w:hanging="0"/>
        <w:jc w:val="center"/>
        <w:rPr>
          <w:rFonts w:ascii="Times New Roman" w:hAnsi="Times New Roman"/>
          <w:b/>
          <w:i/>
          <w:sz w:val="17"/>
          <w:u w:val="single"/>
        </w:rPr>
      </w:pPr>
      <w:r>
        <w:rPr>
          <w:rFonts w:ascii="Times New Roman" w:hAnsi="Times New Roman"/>
          <w:b/>
          <w:i/>
          <w:sz w:val="17"/>
          <w:u w:val="single"/>
        </w:rPr>
        <w:t>Pursuant to Section 906 of the Sarbanes-Oxley Act of 2002</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In connection with the quarterly report of National Vision, Inc. (the Company) on Form 10-Q for the quarter ended July 2, 2005, as filed with the Securities and Exchange Commission on the date hereof (the Report), I, Reade Fahs, the Chief Executive Officer of the Company, certify, pursuant to 18 U.S.C. Section 1350, as adopted pursuant to Section 906 of the Sarbanes-Oxley Act of 2002, that: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1.               The Report fully complies with the requirements of Section 13 (a) or 15 (d) of the Securities Exchange Act of 1934; and</w:t>
      </w:r>
    </w:p>
    <w:p>
      <w:pPr>
        <w:pStyle w:val="TextBody"/>
        <w:spacing w:before="0" w:after="0"/>
        <w:ind w:left="0" w:right="0" w:hanging="0"/>
        <w:jc w:val="left"/>
        <w:rPr>
          <w:rFonts w:ascii="Times New Roman" w:hAnsi="Times New Roman"/>
          <w:sz w:val="17"/>
        </w:rPr>
      </w:pPr>
      <w:r>
        <w:rPr>
          <w:rFonts w:ascii="Times New Roman" w:hAnsi="Times New Roman"/>
          <w:sz w:val="17"/>
        </w:rPr>
        <w:t>2.               The information contained in this Report fairly presents, in all material respects, the financial conditions and results of operations of the Company.</w:t>
      </w:r>
    </w:p>
    <w:p>
      <w:pPr>
        <w:pStyle w:val="TextBody"/>
        <w:spacing w:before="0" w:after="0"/>
        <w:ind w:left="0" w:right="0" w:hanging="0"/>
        <w:rPr/>
      </w:pPr>
      <w:r>
        <w:rPr/>
        <w:t> </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5152"/>
        <w:gridCol w:w="5053"/>
      </w:tblGrid>
      <w:tr>
        <w:trPr/>
        <w:tc>
          <w:tcPr>
            <w:tcW w:w="5152" w:type="dxa"/>
            <w:tcBorders/>
            <w:shd w:fill="auto" w:val="clear"/>
          </w:tcPr>
          <w:p>
            <w:pPr>
              <w:pStyle w:val="TableContents"/>
              <w:spacing w:before="0" w:after="0"/>
              <w:ind w:left="0" w:right="0" w:hanging="0"/>
              <w:jc w:val="left"/>
              <w:rPr/>
            </w:pPr>
            <w:r>
              <w:rPr/>
              <w:t> </w:t>
            </w:r>
          </w:p>
        </w:tc>
        <w:tc>
          <w:tcPr>
            <w:tcW w:w="5053"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/s/ Reade Fahs</w:t>
            </w:r>
          </w:p>
        </w:tc>
      </w:tr>
      <w:tr>
        <w:trPr/>
        <w:tc>
          <w:tcPr>
            <w:tcW w:w="5152" w:type="dxa"/>
            <w:tcBorders/>
            <w:shd w:fill="auto" w:val="clear"/>
          </w:tcPr>
          <w:p>
            <w:pPr>
              <w:pStyle w:val="TableContents"/>
              <w:spacing w:before="0" w:after="0"/>
              <w:ind w:left="0" w:right="0" w:hanging="0"/>
              <w:jc w:val="left"/>
              <w:rPr/>
            </w:pPr>
            <w:r>
              <w:rPr/>
              <w:t> </w:t>
            </w:r>
          </w:p>
        </w:tc>
        <w:tc>
          <w:tcPr>
            <w:tcW w:w="5053"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Reade Fahs</w:t>
            </w:r>
          </w:p>
        </w:tc>
      </w:tr>
      <w:tr>
        <w:trPr/>
        <w:tc>
          <w:tcPr>
            <w:tcW w:w="5152" w:type="dxa"/>
            <w:tcBorders/>
            <w:shd w:fill="auto" w:val="clear"/>
          </w:tcPr>
          <w:p>
            <w:pPr>
              <w:pStyle w:val="TableContents"/>
              <w:spacing w:before="0" w:after="0"/>
              <w:ind w:left="0" w:right="0" w:hanging="0"/>
              <w:jc w:val="left"/>
              <w:rPr/>
            </w:pPr>
            <w:r>
              <w:rPr/>
              <w:t> </w:t>
            </w:r>
          </w:p>
        </w:tc>
        <w:tc>
          <w:tcPr>
            <w:tcW w:w="5053"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Chief Executive Officer and President</w:t>
            </w:r>
          </w:p>
        </w:tc>
      </w:tr>
      <w:tr>
        <w:trPr/>
        <w:tc>
          <w:tcPr>
            <w:tcW w:w="5152" w:type="dxa"/>
            <w:tcBorders/>
            <w:shd w:fill="auto" w:val="clear"/>
          </w:tcPr>
          <w:p>
            <w:pPr>
              <w:pStyle w:val="TableContents"/>
              <w:spacing w:before="0" w:after="0"/>
              <w:ind w:left="0" w:right="0" w:hanging="0"/>
              <w:jc w:val="left"/>
              <w:rPr/>
            </w:pPr>
            <w:r>
              <w:rPr/>
              <w:t> </w:t>
            </w:r>
          </w:p>
        </w:tc>
        <w:tc>
          <w:tcPr>
            <w:tcW w:w="5053" w:type="dxa"/>
            <w:tcBorders/>
            <w:shd w:fill="auto" w:val="clear"/>
          </w:tcPr>
          <w:p>
            <w:pPr>
              <w:pStyle w:val="TableContents"/>
              <w:spacing w:before="0" w:after="0"/>
              <w:ind w:left="0" w:right="0" w:hanging="0"/>
              <w:jc w:val="left"/>
              <w:rPr/>
            </w:pPr>
            <w:r>
              <w:rPr/>
              <w:t> </w:t>
            </w:r>
          </w:p>
        </w:tc>
      </w:tr>
      <w:tr>
        <w:trPr/>
        <w:tc>
          <w:tcPr>
            <w:tcW w:w="5152" w:type="dxa"/>
            <w:tcBorders/>
            <w:shd w:fill="auto" w:val="clear"/>
          </w:tcPr>
          <w:p>
            <w:pPr>
              <w:pStyle w:val="TableContents"/>
              <w:spacing w:before="0" w:after="0"/>
              <w:ind w:left="0" w:right="0" w:hanging="0"/>
              <w:jc w:val="left"/>
              <w:rPr/>
            </w:pPr>
            <w:r>
              <w:rPr/>
              <w:t> </w:t>
            </w:r>
          </w:p>
        </w:tc>
        <w:tc>
          <w:tcPr>
            <w:tcW w:w="5053" w:type="dxa"/>
            <w:tcBorders/>
            <w:shd w:fill="auto" w:val="clear"/>
          </w:tcPr>
          <w:p>
            <w:pPr>
              <w:pStyle w:val="TableContents"/>
              <w:spacing w:before="0" w:after="0"/>
              <w:ind w:left="0" w:right="0" w:hanging="0"/>
              <w:jc w:val="left"/>
              <w:rPr/>
            </w:pPr>
            <w:r>
              <w:rPr/>
              <w:t> </w:t>
            </w:r>
          </w:p>
        </w:tc>
      </w:tr>
      <w:tr>
        <w:trPr/>
        <w:tc>
          <w:tcPr>
            <w:tcW w:w="5152"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Date:  August 15, 2005</w:t>
            </w:r>
          </w:p>
        </w:tc>
        <w:tc>
          <w:tcPr>
            <w:tcW w:w="5053" w:type="dxa"/>
            <w:tcBorders/>
            <w:shd w:fill="auto" w:val="clear"/>
          </w:tcPr>
          <w:p>
            <w:pPr>
              <w:pStyle w:val="TableContents"/>
              <w:spacing w:before="0" w:after="0"/>
              <w:ind w:left="0" w:right="0" w:hanging="0"/>
              <w:jc w:val="lef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p>
    <w:p>
      <w:pPr>
        <w:pStyle w:val="HorizontalLine"/>
        <w:pBdr>
          <w:bottom w:val="single" w:sz="12" w:space="0" w:color="808080"/>
        </w:pBdr>
        <w:spacing w:before="0" w:after="0"/>
        <w:jc w:val="left"/>
        <w:rPr/>
      </w:pPr>
      <w:r>
        <w:rPr/>
      </w:r>
      <w:r>
        <w:br w:type="page"/>
      </w:r>
    </w:p>
    <w:p>
      <w:pPr>
        <w:pStyle w:val="TextBody"/>
        <w:spacing w:before="0" w:after="0"/>
        <w:ind w:left="0" w:right="0" w:hanging="0"/>
        <w:jc w:val="right"/>
        <w:rPr>
          <w:rFonts w:ascii="Times New Roman" w:hAnsi="Times New Roman"/>
          <w:b/>
          <w:sz w:val="17"/>
        </w:rPr>
      </w:pPr>
      <w:bookmarkStart w:id="21" w:name="a05-13121_1ex32d2.htm"/>
      <w:bookmarkStart w:id="22" w:name="ksa0513121_1ex32d2"/>
      <w:bookmarkEnd w:id="21"/>
      <w:bookmarkEnd w:id="22"/>
      <w:r>
        <w:rPr>
          <w:rFonts w:ascii="Times New Roman" w:hAnsi="Times New Roman"/>
          <w:b/>
          <w:sz w:val="17"/>
        </w:rPr>
        <w:t>Exhibit 32.2</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i/>
          <w:sz w:val="17"/>
          <w:u w:val="single"/>
        </w:rPr>
      </w:pPr>
      <w:r>
        <w:rPr>
          <w:rFonts w:ascii="Times New Roman" w:hAnsi="Times New Roman"/>
          <w:b/>
          <w:i/>
          <w:sz w:val="17"/>
          <w:u w:val="single"/>
        </w:rPr>
        <w:t>Certificate of Chief Financial Officer</w:t>
      </w:r>
    </w:p>
    <w:p>
      <w:pPr>
        <w:pStyle w:val="TextBody"/>
        <w:spacing w:before="0" w:after="0"/>
        <w:ind w:left="0" w:right="0" w:hanging="0"/>
        <w:jc w:val="center"/>
        <w:rPr>
          <w:rFonts w:ascii="Times New Roman" w:hAnsi="Times New Roman"/>
          <w:b/>
          <w:i/>
          <w:sz w:val="17"/>
          <w:u w:val="single"/>
        </w:rPr>
      </w:pPr>
      <w:r>
        <w:rPr>
          <w:rFonts w:ascii="Times New Roman" w:hAnsi="Times New Roman"/>
          <w:b/>
          <w:i/>
          <w:sz w:val="17"/>
          <w:u w:val="single"/>
        </w:rPr>
        <w:t>Pursuant to Section 906 of the Sarbanes-Oxley Act of 2002</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In connection with the quarterly report of National Vision, Inc. (the Company) on Form 10-Q for the quarter ended July 2, 2005, as filed with the Securities and Exchange Commission on the date hereof (the Report), I, Paul A. Criscillis, Jr., the Chief Financial Officer of the Company, certify, pursuant to 18 U.S.C. Section 1350, as adopted pursuant to Section 906 of the Sarbanes-Oxley Act of 2002, that: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1.               The Report fully complies with the requirements of Section 13 (a) or 15 (d) of the Securities Exchange Act of 1934; and</w:t>
      </w:r>
    </w:p>
    <w:p>
      <w:pPr>
        <w:pStyle w:val="TextBody"/>
        <w:spacing w:before="0" w:after="0"/>
        <w:ind w:left="0" w:right="0" w:hanging="0"/>
        <w:jc w:val="left"/>
        <w:rPr>
          <w:rFonts w:ascii="Times New Roman" w:hAnsi="Times New Roman"/>
          <w:sz w:val="17"/>
        </w:rPr>
      </w:pPr>
      <w:r>
        <w:rPr>
          <w:rFonts w:ascii="Times New Roman" w:hAnsi="Times New Roman"/>
          <w:sz w:val="17"/>
        </w:rPr>
        <w:t>2.               The information contained in this Report fairly presents, in all material respects, the financial conditions and results of operations of the Company.</w:t>
      </w:r>
    </w:p>
    <w:p>
      <w:pPr>
        <w:pStyle w:val="TextBody"/>
        <w:spacing w:before="0" w:after="0"/>
        <w:ind w:left="0" w:right="0" w:hanging="0"/>
        <w:rPr/>
      </w:pPr>
      <w:r>
        <w:rPr/>
        <w:t> </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5259"/>
        <w:gridCol w:w="4946"/>
      </w:tblGrid>
      <w:tr>
        <w:trPr/>
        <w:tc>
          <w:tcPr>
            <w:tcW w:w="5259" w:type="dxa"/>
            <w:tcBorders/>
            <w:shd w:fill="auto" w:val="clear"/>
          </w:tcPr>
          <w:p>
            <w:pPr>
              <w:pStyle w:val="TableContents"/>
              <w:spacing w:before="0" w:after="0"/>
              <w:ind w:left="0" w:right="0" w:hanging="0"/>
              <w:jc w:val="left"/>
              <w:rPr/>
            </w:pPr>
            <w:r>
              <w:rPr/>
              <w:t> </w:t>
            </w:r>
          </w:p>
        </w:tc>
        <w:tc>
          <w:tcPr>
            <w:tcW w:w="4946"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/s/ Paul A. Criscillis, Jr.</w:t>
            </w:r>
          </w:p>
        </w:tc>
      </w:tr>
      <w:tr>
        <w:trPr/>
        <w:tc>
          <w:tcPr>
            <w:tcW w:w="5259" w:type="dxa"/>
            <w:tcBorders/>
            <w:shd w:fill="auto" w:val="clear"/>
          </w:tcPr>
          <w:p>
            <w:pPr>
              <w:pStyle w:val="TableContents"/>
              <w:spacing w:before="0" w:after="0"/>
              <w:ind w:left="0" w:right="0" w:hanging="0"/>
              <w:jc w:val="left"/>
              <w:rPr/>
            </w:pPr>
            <w:r>
              <w:rPr/>
              <w:t> </w:t>
            </w:r>
          </w:p>
        </w:tc>
        <w:tc>
          <w:tcPr>
            <w:tcW w:w="49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Paul A. Criscillis, Jr.</w:t>
            </w:r>
          </w:p>
        </w:tc>
      </w:tr>
      <w:tr>
        <w:trPr/>
        <w:tc>
          <w:tcPr>
            <w:tcW w:w="5259" w:type="dxa"/>
            <w:tcBorders/>
            <w:shd w:fill="auto" w:val="clear"/>
          </w:tcPr>
          <w:p>
            <w:pPr>
              <w:pStyle w:val="TableContents"/>
              <w:spacing w:before="0" w:after="0"/>
              <w:ind w:left="0" w:right="0" w:hanging="0"/>
              <w:jc w:val="left"/>
              <w:rPr/>
            </w:pPr>
            <w:r>
              <w:rPr/>
              <w:t> </w:t>
            </w:r>
          </w:p>
        </w:tc>
        <w:tc>
          <w:tcPr>
            <w:tcW w:w="49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Senior Vice President</w:t>
            </w:r>
          </w:p>
        </w:tc>
      </w:tr>
      <w:tr>
        <w:trPr/>
        <w:tc>
          <w:tcPr>
            <w:tcW w:w="5259" w:type="dxa"/>
            <w:tcBorders/>
            <w:shd w:fill="auto" w:val="clear"/>
          </w:tcPr>
          <w:p>
            <w:pPr>
              <w:pStyle w:val="TableContents"/>
              <w:spacing w:before="0" w:after="0"/>
              <w:ind w:left="0" w:right="0" w:hanging="0"/>
              <w:jc w:val="left"/>
              <w:rPr/>
            </w:pPr>
            <w:r>
              <w:rPr/>
              <w:t> </w:t>
            </w:r>
          </w:p>
        </w:tc>
        <w:tc>
          <w:tcPr>
            <w:tcW w:w="49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Chief Financial Officer</w:t>
            </w:r>
          </w:p>
        </w:tc>
      </w:tr>
      <w:tr>
        <w:trPr/>
        <w:tc>
          <w:tcPr>
            <w:tcW w:w="5259" w:type="dxa"/>
            <w:tcBorders/>
            <w:shd w:fill="auto" w:val="clear"/>
          </w:tcPr>
          <w:p>
            <w:pPr>
              <w:pStyle w:val="TableContents"/>
              <w:spacing w:before="0" w:after="0"/>
              <w:ind w:left="0" w:right="0" w:hanging="0"/>
              <w:jc w:val="left"/>
              <w:rPr/>
            </w:pPr>
            <w:r>
              <w:rPr/>
              <w:t> </w:t>
            </w:r>
          </w:p>
        </w:tc>
        <w:tc>
          <w:tcPr>
            <w:tcW w:w="4946" w:type="dxa"/>
            <w:tcBorders/>
            <w:shd w:fill="auto" w:val="clear"/>
          </w:tcPr>
          <w:p>
            <w:pPr>
              <w:pStyle w:val="TableContents"/>
              <w:spacing w:before="0" w:after="0"/>
              <w:ind w:left="0" w:right="0" w:hanging="0"/>
              <w:jc w:val="left"/>
              <w:rPr/>
            </w:pPr>
            <w:r>
              <w:rPr/>
              <w:t> </w:t>
            </w:r>
          </w:p>
        </w:tc>
      </w:tr>
      <w:tr>
        <w:trPr/>
        <w:tc>
          <w:tcPr>
            <w:tcW w:w="5259" w:type="dxa"/>
            <w:tcBorders/>
            <w:shd w:fill="auto" w:val="clear"/>
          </w:tcPr>
          <w:p>
            <w:pPr>
              <w:pStyle w:val="TableContents"/>
              <w:spacing w:before="0" w:after="0"/>
              <w:ind w:left="0" w:right="0" w:hanging="0"/>
              <w:jc w:val="left"/>
              <w:rPr/>
            </w:pPr>
            <w:r>
              <w:rPr/>
              <w:t> </w:t>
            </w:r>
          </w:p>
        </w:tc>
        <w:tc>
          <w:tcPr>
            <w:tcW w:w="4946" w:type="dxa"/>
            <w:tcBorders/>
            <w:shd w:fill="auto" w:val="clear"/>
          </w:tcPr>
          <w:p>
            <w:pPr>
              <w:pStyle w:val="TableContents"/>
              <w:spacing w:before="0" w:after="0"/>
              <w:ind w:left="0" w:right="0" w:hanging="0"/>
              <w:jc w:val="left"/>
              <w:rPr/>
            </w:pPr>
            <w:r>
              <w:rPr/>
              <w:t> </w:t>
            </w:r>
          </w:p>
        </w:tc>
      </w:tr>
      <w:tr>
        <w:trPr/>
        <w:tc>
          <w:tcPr>
            <w:tcW w:w="5259"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Date:  August 15, 2005</w:t>
            </w:r>
          </w:p>
        </w:tc>
        <w:tc>
          <w:tcPr>
            <w:tcW w:w="4946" w:type="dxa"/>
            <w:tcBorders/>
            <w:shd w:fill="auto" w:val="clear"/>
          </w:tcPr>
          <w:p>
            <w:pPr>
              <w:pStyle w:val="TableContents"/>
              <w:spacing w:before="0" w:after="0"/>
              <w:ind w:left="0" w:right="0" w:hanging="0"/>
              <w:jc w:val="lef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p>
    <w:p>
      <w:pPr>
        <w:pStyle w:val="HorizontalLine"/>
        <w:pBdr>
          <w:bottom w:val="single" w:sz="12" w:space="0" w:color="808080"/>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DejaVu Sans" w:cs="DejaVu Sans"/>
      <w:b/>
      <w:bCs/>
      <w:sz w:val="28"/>
      <w:szCs w:val="28"/>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DejaVu Sans"/>
      <w:b/>
      <w:bCs/>
      <w:sz w:val="24"/>
      <w:szCs w:val="2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35</Pages>
  <Words>16331</Words>
  <CharactersWithSpaces>103035</CharactersWithSpaces>
  <Paragraphs>4610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