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8" w:lineRule="exact"/>
        <w:rPr>
          <w:sz w:val="24"/>
          <w:szCs w:val="24"/>
          <w:color w:val="auto"/>
        </w:rPr>
      </w:pPr>
    </w:p>
    <w:p>
      <w:pPr>
        <w:ind w:left="36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-238760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9"/>
        </w:trPr>
        <w:tc>
          <w:tcPr>
            <w:tcW w:w="628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5255260</wp:posOffset>
            </wp:positionH>
            <wp:positionV relativeFrom="paragraph">
              <wp:posOffset>-619760</wp:posOffset>
            </wp:positionV>
            <wp:extent cx="57785" cy="6330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3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-619760</wp:posOffset>
            </wp:positionV>
            <wp:extent cx="57785" cy="6330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3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-1649095</wp:posOffset>
            </wp:positionH>
            <wp:positionV relativeFrom="paragraph">
              <wp:posOffset>22225</wp:posOffset>
            </wp:positionV>
            <wp:extent cx="6995160" cy="62496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6249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16" w:right="359" w:bottom="1440" w:gutter="0" w:footer="0" w:header="0"/>
        </w:sectPr>
      </w:pP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Brandman Jared</w:t>
        </w:r>
      </w:hyperlink>
    </w:p>
    <w:p>
      <w:pPr>
        <w:spacing w:after="0" w:line="29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NATIONAL VISION HOLDINGS, INC.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2435 COMMERCE AVENUE, BLDG. 2200</w:t>
      </w:r>
    </w:p>
    <w:p>
      <w:pPr>
        <w:spacing w:after="0" w:line="27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DULUTH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GA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30096-4980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3840" w:type="dxa"/>
            <w:vAlign w:val="bottom"/>
            <w:gridSpan w:val="4"/>
          </w:tcPr>
          <w:p>
            <w:pPr>
              <w:ind w:left="60"/>
              <w:spacing w:after="0" w:line="140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National Vision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EYE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03/01/2024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SVP, GC and Secretary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26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Rule 10b5-1(c) Transaction Indication</w:t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20" w:right="360"/>
        <w:spacing w:after="0" w:line="28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7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360" w:space="4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03/02/2024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2,078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29,404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03/02/2024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 w:line="3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w w:val="95"/>
                <w:vertAlign w:val="subscript"/>
              </w:rPr>
              <w:t>731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5"/>
              </w:rPr>
              <w:t>(2)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23.54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28,673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03/03/2024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6,350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35,023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03/03/2024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1,997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(2)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23.54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33,026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right"/>
              <w:ind w:righ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 and 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10,621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2"/>
              </w:rPr>
              <w:t>17,610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2"/>
                <w:vertAlign w:val="superscript"/>
              </w:rPr>
              <w:t>(4)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03/01/2024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10,621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2,078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03/02/2024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2,078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center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6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15,532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6,350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03/03/2024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6,350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center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6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9,182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-2524125</wp:posOffset>
            </wp:positionV>
            <wp:extent cx="29210" cy="25298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529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Restricted stock units convert into common stock on a one-for-one basis.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2. Reflects payment of tax liability by withholding securities incident to vesting of restricted stock units.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3. One-third of these restricted stock units will vest on each anniversary of the grant date, March 1, 2024.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4. Total holdings have been adjusted to reflect an inadvertent error in prior Form 4s.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5. On March 2, 2022, the reporting person was granted 6,234 restricted stock units, which vest in three equal installments on each anniversary of the grant date.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6. On March 3, 2023, the reporting person was granted 19,050 restricted stock units, which vest in three equal installments on each anniversary of the grant date.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8"/>
        </w:trPr>
        <w:tc>
          <w:tcPr>
            <w:tcW w:w="8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7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Jared Brandman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03/05/2024</w:t>
            </w:r>
          </w:p>
        </w:tc>
      </w:tr>
      <w:tr>
        <w:trPr>
          <w:trHeight w:val="20"/>
        </w:trPr>
        <w:tc>
          <w:tcPr>
            <w:tcW w:w="6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  <w:tr>
        <w:trPr>
          <w:trHeight w:val="191"/>
        </w:trPr>
        <w:tc>
          <w:tcPr>
            <w:tcW w:w="8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1"/>
        </w:trPr>
        <w:tc>
          <w:tcPr>
            <w:tcW w:w="8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both"/>
        <w:ind w:left="40" w:right="3680"/>
        <w:spacing w:after="0" w:line="332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67639" TargetMode="External"/><Relationship Id="rId13" Type="http://schemas.openxmlformats.org/officeDocument/2006/relationships/hyperlink" Target="http://www.sec.gov/cgi-bin/browse-edgar?action=getcompany&amp;CIK=00017101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2024-03-05T15:22:14Z</dcterms:created>
  <dcterms:modified xsi:type="dcterms:W3CDTF">2024-03-05T15:22:14Z</dcterms:modified>
</cp:coreProperties>
</file>