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-629920</wp:posOffset>
            </wp:positionV>
            <wp:extent cx="58420" cy="643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4088130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549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54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SOCHA PETER T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296 GRAYSON HIGHWAY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NATIONAL VISION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Amex/NVI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0" w:right="740" w:hanging="10"/>
        <w:spacing w:after="0" w:line="239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3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50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0"/>
            <w:col w:w="3470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4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LAWRENCEVILLE GA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30045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0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9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Nonemployee/Dir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Stk Option--Right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0.76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08/21/2003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08/21/2013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to Buy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 vests 50% on second anniversary of grant date and 25% on each of third and fourth anniversaries of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an option grant that has no purchase or sales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Mitchell Goodman for Peter 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3175</wp:posOffset>
            </wp:positionV>
            <wp:extent cx="13220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Socha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-15240</wp:posOffset>
            </wp:positionV>
            <wp:extent cx="2616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3175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2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1455" TargetMode="External"/><Relationship Id="rId13" Type="http://schemas.openxmlformats.org/officeDocument/2006/relationships/hyperlink" Target="http://www.sec.gov/cgi-bin/browse-edgar?action=getcompany&amp;CIK=0000868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2020-02-17T03:48:05Z</dcterms:created>
  <dcterms:modified xsi:type="dcterms:W3CDTF">2020-02-17T03:48:05Z</dcterms:modified>
</cp:coreProperties>
</file>