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54"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88"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13, 2026</w:t>
      </w:r>
    </w:p>
    <w:p>
      <w:pPr>
        <w:spacing w:after="0" w:line="96"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1"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001-38257</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140" w:lineRule="exact"/>
        <w:rPr>
          <w:sz w:val="24"/>
          <w:szCs w:val="24"/>
          <w:color w:val="auto"/>
        </w:rPr>
      </w:pPr>
    </w:p>
    <w:tbl>
      <w:tblPr>
        <w:tblLayout w:type="fixed"/>
        <w:tblInd w:w="2160" w:type="dxa"/>
        <w:tblCellMar>
          <w:top w:w="0" w:type="dxa"/>
          <w:left w:w="0" w:type="dxa"/>
          <w:bottom w:w="0" w:type="dxa"/>
          <w:right w:w="0" w:type="dxa"/>
        </w:tblCellMar>
      </w:tblPr>
      <w:tr>
        <w:trPr>
          <w:trHeight w:val="223"/>
        </w:trPr>
        <w:tc>
          <w:tcPr>
            <w:tcW w:w="3660" w:type="dxa"/>
            <w:vAlign w:val="bottom"/>
          </w:tcPr>
          <w:p>
            <w:pPr>
              <w:jc w:val="center"/>
              <w:ind w:right="1559"/>
              <w:spacing w:after="0"/>
              <w:rPr>
                <w:sz w:val="20"/>
                <w:szCs w:val="20"/>
                <w:color w:val="auto"/>
              </w:rPr>
            </w:pPr>
            <w:r>
              <w:rPr>
                <w:rFonts w:ascii="Arial" w:cs="Arial" w:eastAsia="Arial" w:hAnsi="Arial"/>
                <w:sz w:val="16"/>
                <w:szCs w:val="16"/>
                <w:b w:val="1"/>
                <w:bCs w:val="1"/>
                <w:color w:val="auto"/>
                <w:w w:val="99"/>
              </w:rPr>
              <w:t>Delaware</w:t>
            </w:r>
          </w:p>
        </w:tc>
        <w:tc>
          <w:tcPr>
            <w:tcW w:w="288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197"/>
        </w:trPr>
        <w:tc>
          <w:tcPr>
            <w:tcW w:w="3660" w:type="dxa"/>
            <w:vAlign w:val="bottom"/>
          </w:tcPr>
          <w:p>
            <w:pPr>
              <w:jc w:val="center"/>
              <w:ind w:right="1559"/>
              <w:spacing w:after="0"/>
              <w:rPr>
                <w:sz w:val="20"/>
                <w:szCs w:val="20"/>
                <w:color w:val="auto"/>
              </w:rPr>
            </w:pPr>
            <w:r>
              <w:rPr>
                <w:rFonts w:ascii="Arial" w:cs="Arial" w:eastAsia="Arial" w:hAnsi="Arial"/>
                <w:sz w:val="16"/>
                <w:szCs w:val="16"/>
                <w:color w:val="auto"/>
              </w:rPr>
              <w:t>(State or other jurisdiction of</w:t>
            </w:r>
          </w:p>
        </w:tc>
        <w:tc>
          <w:tcPr>
            <w:tcW w:w="2880" w:type="dxa"/>
            <w:vAlign w:val="bottom"/>
          </w:tcPr>
          <w:p>
            <w:pPr>
              <w:jc w:val="center"/>
              <w:ind w:left="1539"/>
              <w:spacing w:after="0"/>
              <w:rPr>
                <w:sz w:val="20"/>
                <w:szCs w:val="20"/>
                <w:color w:val="auto"/>
              </w:rPr>
            </w:pPr>
            <w:r>
              <w:rPr>
                <w:rFonts w:ascii="Arial" w:cs="Arial" w:eastAsia="Arial" w:hAnsi="Arial"/>
                <w:sz w:val="16"/>
                <w:szCs w:val="16"/>
                <w:color w:val="auto"/>
              </w:rPr>
              <w:t>(I.R.S. Employer</w:t>
            </w:r>
          </w:p>
        </w:tc>
      </w:tr>
      <w:tr>
        <w:trPr>
          <w:trHeight w:val="215"/>
        </w:trPr>
        <w:tc>
          <w:tcPr>
            <w:tcW w:w="3660" w:type="dxa"/>
            <w:vAlign w:val="bottom"/>
          </w:tcPr>
          <w:p>
            <w:pPr>
              <w:jc w:val="center"/>
              <w:ind w:right="1559"/>
              <w:spacing w:after="0"/>
              <w:rPr>
                <w:sz w:val="20"/>
                <w:szCs w:val="20"/>
                <w:color w:val="auto"/>
              </w:rPr>
            </w:pPr>
            <w:r>
              <w:rPr>
                <w:rFonts w:ascii="Arial" w:cs="Arial" w:eastAsia="Arial" w:hAnsi="Arial"/>
                <w:sz w:val="16"/>
                <w:szCs w:val="16"/>
                <w:color w:val="auto"/>
              </w:rPr>
              <w:t>incorporation)</w:t>
            </w:r>
          </w:p>
        </w:tc>
        <w:tc>
          <w:tcPr>
            <w:tcW w:w="2880" w:type="dxa"/>
            <w:vAlign w:val="bottom"/>
          </w:tcPr>
          <w:p>
            <w:pPr>
              <w:jc w:val="center"/>
              <w:ind w:left="1539"/>
              <w:spacing w:after="0"/>
              <w:rPr>
                <w:sz w:val="20"/>
                <w:szCs w:val="20"/>
                <w:color w:val="auto"/>
              </w:rPr>
            </w:pPr>
            <w:r>
              <w:rPr>
                <w:rFonts w:ascii="Arial" w:cs="Arial" w:eastAsia="Arial" w:hAnsi="Arial"/>
                <w:sz w:val="16"/>
                <w:szCs w:val="16"/>
                <w:color w:val="auto"/>
              </w:rPr>
              <w:t>Identification No.)</w:t>
            </w:r>
          </w:p>
        </w:tc>
      </w:tr>
      <w:tr>
        <w:trPr>
          <w:trHeight w:val="271"/>
        </w:trPr>
        <w:tc>
          <w:tcPr>
            <w:tcW w:w="3660" w:type="dxa"/>
            <w:vAlign w:val="bottom"/>
          </w:tcPr>
          <w:p>
            <w:pPr>
              <w:jc w:val="center"/>
              <w:ind w:right="1559"/>
              <w:spacing w:after="0"/>
              <w:rPr>
                <w:sz w:val="20"/>
                <w:szCs w:val="20"/>
                <w:color w:val="auto"/>
              </w:rPr>
            </w:pPr>
            <w:r>
              <w:rPr>
                <w:rFonts w:ascii="Arial" w:cs="Arial" w:eastAsia="Arial" w:hAnsi="Arial"/>
                <w:sz w:val="16"/>
                <w:szCs w:val="16"/>
                <w:b w:val="1"/>
                <w:bCs w:val="1"/>
                <w:color w:val="auto"/>
              </w:rPr>
              <w:t>2435 Commerce Ave.</w:t>
            </w:r>
          </w:p>
        </w:tc>
        <w:tc>
          <w:tcPr>
            <w:tcW w:w="2880" w:type="dxa"/>
            <w:vAlign w:val="bottom"/>
          </w:tcPr>
          <w:p>
            <w:pPr>
              <w:spacing w:after="0"/>
              <w:rPr>
                <w:sz w:val="23"/>
                <w:szCs w:val="23"/>
                <w:color w:val="auto"/>
              </w:rPr>
            </w:pPr>
          </w:p>
        </w:tc>
      </w:tr>
      <w:tr>
        <w:trPr>
          <w:trHeight w:val="216"/>
        </w:trPr>
        <w:tc>
          <w:tcPr>
            <w:tcW w:w="3660" w:type="dxa"/>
            <w:vAlign w:val="bottom"/>
          </w:tcPr>
          <w:p>
            <w:pPr>
              <w:jc w:val="center"/>
              <w:ind w:right="1559"/>
              <w:spacing w:after="0"/>
              <w:rPr>
                <w:sz w:val="20"/>
                <w:szCs w:val="20"/>
                <w:color w:val="auto"/>
              </w:rPr>
            </w:pPr>
            <w:r>
              <w:rPr>
                <w:rFonts w:ascii="Arial" w:cs="Arial" w:eastAsia="Arial" w:hAnsi="Arial"/>
                <w:sz w:val="16"/>
                <w:szCs w:val="16"/>
                <w:b w:val="1"/>
                <w:bCs w:val="1"/>
                <w:color w:val="auto"/>
              </w:rPr>
              <w:t>Building 2200</w:t>
            </w:r>
          </w:p>
        </w:tc>
        <w:tc>
          <w:tcPr>
            <w:tcW w:w="288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23"/>
        </w:trPr>
        <w:tc>
          <w:tcPr>
            <w:tcW w:w="3660" w:type="dxa"/>
            <w:vAlign w:val="bottom"/>
          </w:tcPr>
          <w:p>
            <w:pPr>
              <w:jc w:val="center"/>
              <w:ind w:right="1559"/>
              <w:spacing w:after="0"/>
              <w:rPr>
                <w:sz w:val="20"/>
                <w:szCs w:val="20"/>
                <w:color w:val="auto"/>
              </w:rPr>
            </w:pPr>
            <w:r>
              <w:rPr>
                <w:rFonts w:ascii="Arial" w:cs="Arial" w:eastAsia="Arial" w:hAnsi="Arial"/>
                <w:sz w:val="16"/>
                <w:szCs w:val="16"/>
                <w:b w:val="1"/>
                <w:bCs w:val="1"/>
                <w:color w:val="auto"/>
              </w:rPr>
              <w:t>Duluth, Georgia</w:t>
            </w:r>
          </w:p>
        </w:tc>
        <w:tc>
          <w:tcPr>
            <w:tcW w:w="2880" w:type="dxa"/>
            <w:vAlign w:val="bottom"/>
          </w:tcPr>
          <w:p>
            <w:pPr>
              <w:jc w:val="center"/>
              <w:ind w:left="1539"/>
              <w:spacing w:after="0"/>
              <w:rPr>
                <w:sz w:val="20"/>
                <w:szCs w:val="20"/>
                <w:color w:val="auto"/>
              </w:rPr>
            </w:pPr>
            <w:r>
              <w:rPr>
                <w:rFonts w:ascii="Arial" w:cs="Arial" w:eastAsia="Arial" w:hAnsi="Arial"/>
                <w:sz w:val="16"/>
                <w:szCs w:val="16"/>
                <w:color w:val="auto"/>
              </w:rPr>
              <w:t>(Zip Code)</w:t>
            </w:r>
          </w:p>
        </w:tc>
      </w:tr>
    </w:tbl>
    <w:p>
      <w:pPr>
        <w:ind w:left="1780"/>
        <w:spacing w:after="0"/>
        <w:rPr>
          <w:sz w:val="20"/>
          <w:szCs w:val="20"/>
          <w:color w:val="auto"/>
        </w:rPr>
      </w:pPr>
      <w:r>
        <w:rPr>
          <w:rFonts w:ascii="Arial" w:cs="Arial" w:eastAsia="Arial" w:hAnsi="Arial"/>
          <w:sz w:val="16"/>
          <w:szCs w:val="16"/>
          <w:color w:val="auto"/>
        </w:rPr>
        <w:t>(Address of principal executive offices)</w:t>
      </w:r>
    </w:p>
    <w:p>
      <w:pPr>
        <w:spacing w:after="0" w:line="7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color w:val="auto"/>
          <w:strike w:val="1"/>
        </w:rPr>
        <w:t>‑</w:t>
      </w:r>
      <w:r>
        <w:rPr>
          <w:rFonts w:ascii="Arial" w:cs="Arial" w:eastAsia="Arial" w:hAnsi="Arial"/>
          <w:sz w:val="16"/>
          <w:szCs w:val="16"/>
          <w:b w:val="1"/>
          <w:bCs w:val="1"/>
          <w:color w:val="auto"/>
        </w:rPr>
        <w:t>3600</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11"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97" w:lineRule="exact"/>
        <w:rPr>
          <w:sz w:val="24"/>
          <w:szCs w:val="24"/>
          <w:color w:val="auto"/>
        </w:rPr>
      </w:pPr>
    </w:p>
    <w:p>
      <w:pPr>
        <w:ind w:right="80"/>
        <w:spacing w:after="0" w:line="27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w:t>
      </w:r>
    </w:p>
    <w:p>
      <w:pPr>
        <w:spacing w:after="0" w:line="6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5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360"/>
        </w:trPr>
        <w:tc>
          <w:tcPr>
            <w:tcW w:w="4560" w:type="dxa"/>
            <w:vAlign w:val="bottom"/>
            <w:gridSpan w:val="3"/>
          </w:tcPr>
          <w:p>
            <w:pPr>
              <w:jc w:val="center"/>
              <w:ind w:right="640"/>
              <w:spacing w:after="0"/>
              <w:rPr>
                <w:sz w:val="20"/>
                <w:szCs w:val="20"/>
                <w:color w:val="auto"/>
              </w:rPr>
            </w:pPr>
            <w:r>
              <w:rPr>
                <w:rFonts w:ascii="Arial" w:cs="Arial" w:eastAsia="Arial" w:hAnsi="Arial"/>
                <w:sz w:val="18"/>
                <w:szCs w:val="18"/>
                <w:color w:val="auto"/>
                <w:w w:val="99"/>
              </w:rPr>
              <w:t>Title of each class</w:t>
            </w:r>
          </w:p>
        </w:tc>
        <w:tc>
          <w:tcPr>
            <w:tcW w:w="214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Trading Symbol(s)</w:t>
            </w:r>
          </w:p>
        </w:tc>
        <w:tc>
          <w:tcPr>
            <w:tcW w:w="392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32"/>
        </w:trPr>
        <w:tc>
          <w:tcPr>
            <w:tcW w:w="3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center"/>
              <w:ind w:right="450"/>
              <w:spacing w:after="0"/>
              <w:rPr>
                <w:sz w:val="20"/>
                <w:szCs w:val="20"/>
                <w:color w:val="auto"/>
              </w:rPr>
            </w:pPr>
            <w:r>
              <w:rPr>
                <w:rFonts w:ascii="Arial" w:cs="Arial" w:eastAsia="Arial" w:hAnsi="Arial"/>
                <w:sz w:val="18"/>
                <w:szCs w:val="18"/>
                <w:color w:val="auto"/>
                <w:w w:val="99"/>
              </w:rPr>
              <w:t>EYE</w:t>
            </w:r>
          </w:p>
        </w:tc>
        <w:tc>
          <w:tcPr>
            <w:tcW w:w="1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w:t>
            </w:r>
          </w:p>
        </w:tc>
      </w:tr>
    </w:tbl>
    <w:p>
      <w:pPr>
        <w:spacing w:after="0" w:line="174"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On May 13, 2026, National Vision Holdings, Inc. (“National Vision”) issued a press release announcing financial results for the quarter ended April 4, 2026.</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release is furnished herewith as Exhibit 99.1 and incorporated by reference herein.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9"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880" w:type="dxa"/>
            <w:vAlign w:val="bottom"/>
            <w:gridSpan w:val="3"/>
          </w:tcPr>
          <w:p>
            <w:pPr>
              <w:spacing w:after="0"/>
              <w:rPr>
                <w:sz w:val="20"/>
                <w:szCs w:val="20"/>
                <w:color w:val="auto"/>
              </w:rPr>
            </w:pPr>
            <w:r>
              <w:rPr>
                <w:rFonts w:ascii="Arial" w:cs="Arial" w:eastAsia="Arial" w:hAnsi="Arial"/>
                <w:sz w:val="18"/>
                <w:szCs w:val="18"/>
                <w:color w:val="auto"/>
              </w:rPr>
              <w:t>Exhibit No.</w:t>
            </w:r>
          </w:p>
        </w:tc>
        <w:tc>
          <w:tcPr>
            <w:tcW w:w="93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210"/>
        </w:trPr>
        <w:tc>
          <w:tcPr>
            <w:tcW w:w="900" w:type="dxa"/>
            <w:vAlign w:val="bottom"/>
            <w:gridSpan w:val="3"/>
          </w:tcPr>
          <w:p>
            <w:pPr>
              <w:ind w:left="40"/>
              <w:spacing w:after="0"/>
              <w:rPr>
                <w:sz w:val="20"/>
                <w:szCs w:val="20"/>
                <w:color w:val="auto"/>
              </w:rPr>
            </w:pPr>
            <w:r>
              <w:rPr>
                <w:rFonts w:ascii="Arial" w:cs="Arial" w:eastAsia="Arial" w:hAnsi="Arial"/>
                <w:sz w:val="18"/>
                <w:szCs w:val="18"/>
                <w:color w:val="0000FF"/>
              </w:rPr>
              <w:t>99.</w:t>
            </w:r>
            <w:r>
              <w:rPr>
                <w:rFonts w:ascii="Arial" w:cs="Arial" w:eastAsia="Arial" w:hAnsi="Arial"/>
                <w:sz w:val="18"/>
                <w:szCs w:val="18"/>
                <w:u w:val="single" w:color="auto"/>
                <w:color w:val="0000FF"/>
              </w:rPr>
              <w:t>1</w:t>
            </w:r>
          </w:p>
        </w:tc>
        <w:tc>
          <w:tcPr>
            <w:tcW w:w="1020" w:type="dxa"/>
            <w:vAlign w:val="bottom"/>
          </w:tcPr>
          <w:p>
            <w:pPr>
              <w:spacing w:after="0"/>
              <w:rPr>
                <w:sz w:val="18"/>
                <w:szCs w:val="18"/>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National Vision Holdings, Inc. Press Release dated May 13, 2026.</w:t>
            </w:r>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320" w:type="dxa"/>
            <w:vAlign w:val="bottom"/>
            <w:gridSpan w:val="2"/>
          </w:tcPr>
          <w:p>
            <w:pPr>
              <w:spacing w:after="0" w:line="20" w:lineRule="exact"/>
              <w:rPr>
                <w:sz w:val="1"/>
                <w:szCs w:val="1"/>
                <w:color w:val="auto"/>
              </w:rPr>
            </w:pPr>
          </w:p>
        </w:tc>
      </w:tr>
      <w:tr>
        <w:trPr>
          <w:trHeight w:val="254"/>
        </w:trPr>
        <w:tc>
          <w:tcPr>
            <w:tcW w:w="38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18"/>
        </w:trPr>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239"/>
        </w:trPr>
        <w:tc>
          <w:tcPr>
            <w:tcW w:w="28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387"/>
        </w:trPr>
        <w:tc>
          <w:tcPr>
            <w:tcW w:w="2840" w:type="dxa"/>
            <w:vAlign w:val="bottom"/>
          </w:tcPr>
          <w:p>
            <w:pPr>
              <w:spacing w:after="0"/>
              <w:rPr>
                <w:sz w:val="20"/>
                <w:szCs w:val="20"/>
                <w:color w:val="auto"/>
              </w:rPr>
            </w:pPr>
            <w:r>
              <w:rPr>
                <w:rFonts w:ascii="Arial" w:cs="Arial" w:eastAsia="Arial" w:hAnsi="Arial"/>
                <w:sz w:val="18"/>
                <w:szCs w:val="18"/>
                <w:color w:val="auto"/>
              </w:rPr>
              <w:t>Date: May 13, 2026</w:t>
            </w:r>
          </w:p>
        </w:tc>
        <w:tc>
          <w:tcPr>
            <w:tcW w:w="2620" w:type="dxa"/>
            <w:vAlign w:val="bottom"/>
          </w:tcPr>
          <w:p>
            <w:pPr>
              <w:ind w:left="128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Jared Brandman</w:t>
            </w:r>
          </w:p>
        </w:tc>
      </w:tr>
      <w:tr>
        <w:trPr>
          <w:trHeight w:val="218"/>
        </w:trPr>
        <w:tc>
          <w:tcPr>
            <w:tcW w:w="2840" w:type="dxa"/>
            <w:vAlign w:val="bottom"/>
          </w:tcPr>
          <w:p>
            <w:pPr>
              <w:spacing w:after="0"/>
              <w:rPr>
                <w:sz w:val="18"/>
                <w:szCs w:val="18"/>
                <w:color w:val="auto"/>
              </w:rPr>
            </w:pPr>
          </w:p>
        </w:tc>
        <w:tc>
          <w:tcPr>
            <w:tcW w:w="2620" w:type="dxa"/>
            <w:vAlign w:val="bottom"/>
          </w:tcPr>
          <w:p>
            <w:pPr>
              <w:ind w:left="1280"/>
              <w:spacing w:after="0"/>
              <w:rPr>
                <w:sz w:val="20"/>
                <w:szCs w:val="20"/>
                <w:color w:val="auto"/>
              </w:rPr>
            </w:pPr>
            <w:r>
              <w:rPr>
                <w:rFonts w:ascii="Arial" w:cs="Arial" w:eastAsia="Arial" w:hAnsi="Arial"/>
                <w:sz w:val="18"/>
                <w:szCs w:val="18"/>
                <w:color w:val="auto"/>
              </w:rPr>
              <w:t>Name:</w:t>
            </w:r>
          </w:p>
        </w:tc>
        <w:tc>
          <w:tcPr>
            <w:tcW w:w="518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39"/>
        </w:trPr>
        <w:tc>
          <w:tcPr>
            <w:tcW w:w="2840" w:type="dxa"/>
            <w:vAlign w:val="bottom"/>
          </w:tcPr>
          <w:p>
            <w:pPr>
              <w:spacing w:after="0"/>
              <w:rPr>
                <w:sz w:val="20"/>
                <w:szCs w:val="20"/>
                <w:color w:val="auto"/>
              </w:rPr>
            </w:pPr>
          </w:p>
        </w:tc>
        <w:tc>
          <w:tcPr>
            <w:tcW w:w="2620" w:type="dxa"/>
            <w:vAlign w:val="bottom"/>
          </w:tcPr>
          <w:p>
            <w:pPr>
              <w:ind w:left="1280"/>
              <w:spacing w:after="0"/>
              <w:rPr>
                <w:sz w:val="20"/>
                <w:szCs w:val="20"/>
                <w:color w:val="auto"/>
              </w:rPr>
            </w:pPr>
            <w:r>
              <w:rPr>
                <w:rFonts w:ascii="Arial" w:cs="Arial" w:eastAsia="Arial" w:hAnsi="Arial"/>
                <w:sz w:val="18"/>
                <w:szCs w:val="18"/>
                <w:color w:val="auto"/>
              </w:rPr>
              <w:t>Title:</w:t>
            </w:r>
          </w:p>
        </w:tc>
        <w:tc>
          <w:tcPr>
            <w:tcW w:w="5180" w:type="dxa"/>
            <w:vAlign w:val="bottom"/>
          </w:tcPr>
          <w:p>
            <w:pPr>
              <w:ind w:left="20"/>
              <w:spacing w:after="0"/>
              <w:rPr>
                <w:sz w:val="20"/>
                <w:szCs w:val="20"/>
                <w:color w:val="auto"/>
              </w:rPr>
            </w:pPr>
            <w:r>
              <w:rPr>
                <w:rFonts w:ascii="Arial" w:cs="Arial" w:eastAsia="Arial" w:hAnsi="Arial"/>
                <w:sz w:val="18"/>
                <w:szCs w:val="18"/>
                <w:color w:val="auto"/>
              </w:rPr>
              <w:t>Chief Legal &amp; Strategy Officer, Corporate Secretary</w:t>
            </w:r>
          </w:p>
        </w:tc>
      </w:tr>
    </w:tbl>
    <w:p>
      <w:pPr>
        <w:sectPr>
          <w:pgSz w:w="11900" w:h="16838" w:orient="portrait"/>
          <w:cols w:equalWidth="0" w:num="1">
            <w:col w:w="11120"/>
          </w:cols>
          <w:pgMar w:left="320" w:top="89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468880" cy="754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888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National Vision Holdings, Inc. Reports First Quarter 2026 Financial Results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Transformation Continues to Deliver Stronger Profitability and Earnings Growth</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Reiterates 2026 Guidance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2026 highlights compared to first quarter 2025:</w:t>
      </w:r>
    </w:p>
    <w:p>
      <w:pPr>
        <w:spacing w:after="0" w:line="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of $543.9 million, increased 6.6%</w:t>
      </w:r>
    </w:p>
    <w:p>
      <w:pPr>
        <w:spacing w:after="0" w:line="4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Comparable store sales growth of 4.4% and Adjusted Comparable Store Sales Growth of 4.5%</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Net income of $31.2 million, Diluted EPS of $0.38, with Net income margin improving to 5.7% from 2.8%</w:t>
      </w:r>
    </w:p>
    <w:p>
      <w:pPr>
        <w:spacing w:after="0" w:line="33" w:lineRule="exact"/>
        <w:rPr>
          <w:rFonts w:ascii="Arial" w:cs="Arial" w:eastAsia="Arial" w:hAnsi="Arial"/>
          <w:sz w:val="18"/>
          <w:szCs w:val="18"/>
          <w:color w:val="auto"/>
        </w:rPr>
      </w:pPr>
    </w:p>
    <w:p>
      <w:pPr>
        <w:ind w:left="660" w:hanging="328"/>
        <w:spacing w:after="0" w:line="253"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Operating Income increased to $55.5 million from $41.3 million, with Adjusted Operating Margin expanding 210 basis points to 10.2% from 8.1%</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Diluted EPS increased to $0.45 from $0.34</w:t>
      </w:r>
    </w:p>
    <w:p>
      <w:pPr>
        <w:spacing w:after="0" w:line="200" w:lineRule="exact"/>
        <w:rPr>
          <w:sz w:val="20"/>
          <w:szCs w:val="20"/>
          <w:color w:val="auto"/>
        </w:rPr>
      </w:pPr>
    </w:p>
    <w:p>
      <w:pPr>
        <w:spacing w:after="0" w:line="293"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w:t>
      </w:r>
      <w:r>
        <w:rPr>
          <w:rFonts w:ascii="Arial" w:cs="Arial" w:eastAsia="Arial" w:hAnsi="Arial"/>
          <w:sz w:val="18"/>
          <w:szCs w:val="18"/>
          <w:b w:val="1"/>
          <w:bCs w:val="1"/>
          <w:color w:val="auto"/>
        </w:rPr>
        <w:t xml:space="preserve"> May 13, 2026 </w:t>
      </w:r>
      <w:r>
        <w:rPr>
          <w:rFonts w:ascii="Arial" w:cs="Arial" w:eastAsia="Arial" w:hAnsi="Arial"/>
          <w:sz w:val="18"/>
          <w:szCs w:val="18"/>
          <w:color w:val="auto"/>
        </w:rPr>
        <w:t>-- National Vision Holdings, Inc. (NASDAQ: EYE) (“National Vision,” “we,” “our,” “us” or the “Company”) today</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its financial results for the first quarter ended April 4, 2026.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Alex Wilkes, National Vision’s CEO, said, “We delivered a solid first quarter, reinforcing that the transformation we laid out at Investor Day is</w:t>
      </w:r>
    </w:p>
    <w:p>
      <w:pPr>
        <w:spacing w:after="0" w:line="9" w:lineRule="exact"/>
        <w:rPr>
          <w:sz w:val="20"/>
          <w:szCs w:val="20"/>
          <w:color w:val="auto"/>
        </w:rPr>
      </w:pPr>
    </w:p>
    <w:p>
      <w:pPr>
        <w:ind w:right="120"/>
        <w:spacing w:after="0" w:line="198" w:lineRule="exact"/>
        <w:rPr>
          <w:sz w:val="20"/>
          <w:szCs w:val="20"/>
          <w:color w:val="auto"/>
        </w:rPr>
      </w:pPr>
      <w:r>
        <w:rPr>
          <w:rFonts w:ascii="Arial" w:cs="Arial" w:eastAsia="Arial" w:hAnsi="Arial"/>
          <w:sz w:val="18"/>
          <w:szCs w:val="18"/>
          <w:color w:val="auto"/>
        </w:rPr>
        <w:t>translating into higher</w:t>
      </w:r>
      <w:r>
        <w:rPr>
          <w:rFonts w:ascii="MS PGothic" w:cs="MS PGothic" w:eastAsia="MS PGothic" w:hAnsi="MS PGothic"/>
          <w:sz w:val="18"/>
          <w:szCs w:val="18"/>
          <w:color w:val="auto"/>
        </w:rPr>
        <w:t>‑</w:t>
      </w:r>
      <w:r>
        <w:rPr>
          <w:rFonts w:ascii="Arial" w:cs="Arial" w:eastAsia="Arial" w:hAnsi="Arial"/>
          <w:sz w:val="18"/>
          <w:szCs w:val="18"/>
          <w:color w:val="auto"/>
        </w:rPr>
        <w:t>quality growth and improved profitability. Customers continued to opt into better products, we expanded our managed care business, and we meaningfully grew operating margins through disciplined expense management. We believe our advancements</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across merchandising and store experience are strengthening our position as the destination for value in the optical category – delivering great branded products and leading eye exams without compromise, for every customer.”</w:t>
      </w:r>
    </w:p>
    <w:p>
      <w:pPr>
        <w:spacing w:after="0" w:line="18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Mr. Wilkes continued, “We have the right team and the right strategy in place to continue driving our transformation. Building on our first-quarter achievements, we are confidently moving forward with activating our store segmentation initiative and executing our premium lens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strategy. Importantly, we are leveraging data and consumer insights more than ever before, enabling us to be a more agile and customer-</w:t>
      </w:r>
    </w:p>
    <w:p>
      <w:pPr>
        <w:spacing w:after="0" w:line="32"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centric organization. As we move through 2026, we remain focused on executing with discipline and delivering sustainable value for our customers and shareholders.”</w:t>
      </w:r>
    </w:p>
    <w:p>
      <w:pPr>
        <w:spacing w:after="0" w:line="200" w:lineRule="exact"/>
        <w:rPr>
          <w:sz w:val="20"/>
          <w:szCs w:val="20"/>
          <w:color w:val="auto"/>
        </w:rPr>
      </w:pPr>
    </w:p>
    <w:p>
      <w:pPr>
        <w:spacing w:after="0" w:line="24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i w:val="1"/>
          <w:iCs w:val="1"/>
          <w:color w:val="auto"/>
        </w:rPr>
        <w:t>This release includes certain Non-GAAP Financial Measures that are not recognized under generally accepted accounting principles (“GAAP”), including Adjusted Comparable Store Sales Growth, Adjusted Operating Income, Adjusted Operating Margin and Adjusted Diluted EPS. Please see “Non-GAAP Financial Measures” and “Reconciliation of Non-GAAP to GAAP Financial Measures” below for more information.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2026 Summary</w:t>
      </w:r>
    </w:p>
    <w:p>
      <w:pPr>
        <w:spacing w:after="0" w:line="50" w:lineRule="exact"/>
        <w:rPr>
          <w:sz w:val="20"/>
          <w:szCs w:val="20"/>
          <w:color w:val="auto"/>
        </w:rPr>
      </w:pPr>
    </w:p>
    <w:p>
      <w:pPr>
        <w:ind w:left="260" w:right="280" w:hanging="252"/>
        <w:spacing w:after="0" w:line="27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 increased 6.6% to $543.9 million driven by Adjusted Comparable Store Sales Growth and a positive 2.0% impact from the timing of unearned revenue.</w:t>
      </w:r>
    </w:p>
    <w:p>
      <w:pPr>
        <w:spacing w:after="0" w:line="45" w:lineRule="exact"/>
        <w:rPr>
          <w:rFonts w:ascii="Arial" w:cs="Arial" w:eastAsia="Arial" w:hAnsi="Arial"/>
          <w:sz w:val="18"/>
          <w:szCs w:val="18"/>
          <w:color w:val="auto"/>
        </w:rPr>
      </w:pPr>
    </w:p>
    <w:p>
      <w:pPr>
        <w:ind w:left="260" w:right="60" w:hanging="252"/>
        <w:spacing w:after="0" w:line="256"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Comparable store sales growth was 4.4% and Adjusted Comparable Store Sales Growth was 4.5%, primarily due to higher average ticket and continued strength in the managed care cohort, partially offset by lower self-pay customer traffic.</w:t>
      </w:r>
    </w:p>
    <w:p>
      <w:pPr>
        <w:spacing w:after="0" w:line="57" w:lineRule="exact"/>
        <w:rPr>
          <w:rFonts w:ascii="Arial" w:cs="Arial" w:eastAsia="Arial" w:hAnsi="Arial"/>
          <w:sz w:val="18"/>
          <w:szCs w:val="18"/>
          <w:color w:val="auto"/>
        </w:rPr>
      </w:pPr>
    </w:p>
    <w:p>
      <w:pPr>
        <w:ind w:left="260" w:right="60" w:hanging="252"/>
        <w:spacing w:after="0" w:line="253"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opened eight new America’s Best stores, and closed three America’s Best stores and one Military store. Additionally, at the end of the quarter, the Company expanded its presence in the military channel by adding 20 new Military stores. Total store count at the end of the period was 1,274 stores, and overall, store count grew 3.0%.</w:t>
      </w:r>
    </w:p>
    <w:p>
      <w:pPr>
        <w:spacing w:after="0" w:line="47" w:lineRule="exact"/>
        <w:rPr>
          <w:rFonts w:ascii="Arial" w:cs="Arial" w:eastAsia="Arial" w:hAnsi="Arial"/>
          <w:sz w:val="18"/>
          <w:szCs w:val="18"/>
          <w:color w:val="auto"/>
        </w:rPr>
      </w:pPr>
    </w:p>
    <w:p>
      <w:pPr>
        <w:jc w:val="both"/>
        <w:ind w:left="260" w:right="120" w:hanging="252"/>
        <w:spacing w:after="0" w:line="301"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Costs applicable to revenue increased 6.8% to $219.1 million. As a percentage of net revenue, costs applicable to revenue increased 10 basis points to 40.3%, mainly due to product mix, partially offset by successful pricing initiatives and leveraging optometrist-related costs.</w:t>
      </w:r>
    </w:p>
    <w:p>
      <w:pPr>
        <w:sectPr>
          <w:pgSz w:w="11900" w:h="16838" w:orient="portrait"/>
          <w:cols w:equalWidth="0" w:num="1">
            <w:col w:w="11240"/>
          </w:cols>
          <w:pgMar w:left="320" w:top="122"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22" w:right="339" w:bottom="1440" w:gutter="0" w:footer="0" w:header="0"/>
          <w:type w:val="continuous"/>
        </w:sectPr>
      </w:pPr>
    </w:p>
    <w:bookmarkStart w:id="4" w:name="page5"/>
    <w:bookmarkEnd w:id="4"/>
    <w:p>
      <w:pPr>
        <w:ind w:left="260" w:right="200" w:hanging="252"/>
        <w:spacing w:after="0" w:line="268"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Selling, general and administrative expenses (SG&amp;A) increased 0.2% to $256.1 million. As a percentage of net revenue, SG&amp;A decreased 300 basis points to 47.1% primarily driven by lower payroll and advertising. Adjusted SG&amp;A increased 2.1% to $246.0 million and decreased 200 basis points to 45.2% of net revenue.</w:t>
      </w:r>
    </w:p>
    <w:p>
      <w:pPr>
        <w:spacing w:after="0" w:line="49" w:lineRule="exact"/>
        <w:rPr>
          <w:rFonts w:ascii="Arial" w:cs="Arial" w:eastAsia="Arial" w:hAnsi="Arial"/>
          <w:sz w:val="18"/>
          <w:szCs w:val="18"/>
          <w:color w:val="auto"/>
        </w:rPr>
      </w:pPr>
    </w:p>
    <w:p>
      <w:pPr>
        <w:ind w:left="240" w:hanging="232"/>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increased to $31.2 million compared to $14.2 million. Net income margin increased to 5.7% compared to 2.8%.</w:t>
      </w:r>
    </w:p>
    <w:p>
      <w:pPr>
        <w:spacing w:after="0" w:line="103" w:lineRule="exact"/>
        <w:rPr>
          <w:rFonts w:ascii="Arial" w:cs="Arial" w:eastAsia="Arial" w:hAnsi="Arial"/>
          <w:sz w:val="18"/>
          <w:szCs w:val="18"/>
          <w:color w:val="auto"/>
        </w:rPr>
      </w:pPr>
    </w:p>
    <w:p>
      <w:pPr>
        <w:ind w:left="260" w:right="500" w:hanging="252"/>
        <w:spacing w:after="0" w:line="256" w:lineRule="auto"/>
        <w:tabs>
          <w:tab w:leader="none" w:pos="255"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Diluted EPS increased to $0.38 compared to $0.18. Adjusted Diluted EPS increased to $0.45 compared to $0.34. The net change in margin on unearned revenue benefited both Diluted EPS and Adjusted Diluted EPS by $0.07.</w:t>
      </w:r>
    </w:p>
    <w:p>
      <w:pPr>
        <w:spacing w:after="0" w:line="57" w:lineRule="exact"/>
        <w:rPr>
          <w:rFonts w:ascii="Arial" w:cs="Arial" w:eastAsia="Arial" w:hAnsi="Arial"/>
          <w:sz w:val="18"/>
          <w:szCs w:val="18"/>
          <w:i w:val="1"/>
          <w:iCs w:val="1"/>
          <w:color w:val="auto"/>
        </w:rPr>
      </w:pPr>
    </w:p>
    <w:p>
      <w:pPr>
        <w:ind w:left="260" w:right="120" w:hanging="252"/>
        <w:spacing w:after="0" w:line="27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Operating Income increased 34.4% to $55.5 million. Adjusted Operating Margin increased to 10.2% compared to 8.1%. The net change in margin on unearned revenue benefited net income by $5.3 million and Adjusted Operating Income by $7.1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 Highlights as of April 4, 2026</w:t>
      </w:r>
    </w:p>
    <w:p>
      <w:pPr>
        <w:spacing w:after="0" w:line="50" w:lineRule="exact"/>
        <w:rPr>
          <w:sz w:val="20"/>
          <w:szCs w:val="20"/>
          <w:color w:val="auto"/>
        </w:rPr>
      </w:pPr>
    </w:p>
    <w:p>
      <w:pPr>
        <w:ind w:left="260" w:right="300" w:hanging="252"/>
        <w:spacing w:after="0" w:line="271"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National Vision’s cash balance was $67.9 million as of April 4, 2026. The Company had no borrowings under its $300.0 million first lien revolving credit facility, exclusive of letters of credit of $6.7 million.</w:t>
      </w:r>
    </w:p>
    <w:p>
      <w:pPr>
        <w:spacing w:after="0" w:line="32" w:lineRule="exact"/>
        <w:rPr>
          <w:rFonts w:ascii="Arial" w:cs="Arial" w:eastAsia="Arial" w:hAnsi="Arial"/>
          <w:sz w:val="18"/>
          <w:szCs w:val="18"/>
          <w:color w:val="auto"/>
        </w:rPr>
      </w:pPr>
    </w:p>
    <w:p>
      <w:pPr>
        <w:ind w:left="260" w:right="640" w:hanging="252"/>
        <w:spacing w:after="0" w:line="271"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debt was $241.8 million as of April 4, 2026, consisting of outstanding first lien term loans and finance lease obligations, net of unamortized discounts.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Expands Relationship with Army and Air Force Exchange Service (AAFES)</w:t>
      </w:r>
    </w:p>
    <w:p>
      <w:pPr>
        <w:ind w:right="60"/>
        <w:spacing w:after="0" w:line="234" w:lineRule="auto"/>
        <w:rPr>
          <w:sz w:val="20"/>
          <w:szCs w:val="20"/>
          <w:color w:val="auto"/>
        </w:rPr>
      </w:pPr>
      <w:r>
        <w:rPr>
          <w:rFonts w:ascii="Arial" w:cs="Arial" w:eastAsia="Arial" w:hAnsi="Arial"/>
          <w:sz w:val="18"/>
          <w:szCs w:val="18"/>
          <w:color w:val="auto"/>
        </w:rPr>
        <w:t>The Company announced an expanded relationship with the Army and Air Force Exchange Service (AAFES), designating National Vision as the sole optical retail partner on AAFES bases in the U.S. The agreement, effective April 1, 2026, adds 20 Military stores and expands the</w:t>
      </w:r>
    </w:p>
    <w:p>
      <w:pPr>
        <w:spacing w:after="0" w:line="1" w:lineRule="exact"/>
        <w:rPr>
          <w:sz w:val="20"/>
          <w:szCs w:val="20"/>
          <w:color w:val="auto"/>
        </w:rPr>
      </w:pPr>
    </w:p>
    <w:p>
      <w:pPr>
        <w:ind w:right="520"/>
        <w:spacing w:after="0" w:line="237" w:lineRule="auto"/>
        <w:rPr>
          <w:sz w:val="20"/>
          <w:szCs w:val="20"/>
          <w:color w:val="auto"/>
        </w:rPr>
      </w:pPr>
      <w:r>
        <w:rPr>
          <w:rFonts w:ascii="Arial" w:cs="Arial" w:eastAsia="Arial" w:hAnsi="Arial"/>
          <w:sz w:val="18"/>
          <w:szCs w:val="18"/>
          <w:color w:val="auto"/>
        </w:rPr>
        <w:t>Company’s presence into two additional states, and represents an important step in broadening its reach through the Emerging Brands portfolio.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2026 Outlook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reiterating its fiscal 2026 outlook for the 52 weeks ending January 2, 2027, as set forth below.</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5400" w:type="dxa"/>
            <w:vAlign w:val="bottom"/>
            <w:tcBorders>
              <w:top w:val="single" w:sz="8" w:color="BFBFBF"/>
              <w:left w:val="single" w:sz="8" w:color="BFBFBF"/>
              <w:right w:val="single" w:sz="8" w:color="BFBFBF"/>
            </w:tcBorders>
          </w:tcPr>
          <w:p>
            <w:pPr>
              <w:spacing w:after="0"/>
              <w:rPr>
                <w:sz w:val="18"/>
                <w:szCs w:val="18"/>
                <w:color w:val="auto"/>
              </w:rPr>
            </w:pPr>
          </w:p>
        </w:tc>
        <w:tc>
          <w:tcPr>
            <w:tcW w:w="5420" w:type="dxa"/>
            <w:vAlign w:val="bottom"/>
            <w:tcBorders>
              <w:top w:val="single" w:sz="8" w:color="BFBFBF"/>
              <w:right w:val="single" w:sz="8" w:color="BFBFBF"/>
            </w:tcBorders>
            <w:gridSpan w:val="2"/>
          </w:tcPr>
          <w:p>
            <w:pPr>
              <w:jc w:val="center"/>
              <w:spacing w:after="0"/>
              <w:rPr>
                <w:sz w:val="20"/>
                <w:szCs w:val="20"/>
                <w:color w:val="auto"/>
              </w:rPr>
            </w:pPr>
            <w:r>
              <w:rPr>
                <w:rFonts w:ascii="Arial" w:cs="Arial" w:eastAsia="Arial" w:hAnsi="Arial"/>
                <w:sz w:val="18"/>
                <w:szCs w:val="18"/>
                <w:b w:val="1"/>
                <w:bCs w:val="1"/>
                <w:color w:val="auto"/>
              </w:rPr>
              <w:t>Fiscal 2026 Outlook</w:t>
            </w:r>
          </w:p>
        </w:tc>
      </w:tr>
      <w:tr>
        <w:trPr>
          <w:trHeight w:val="237"/>
        </w:trPr>
        <w:tc>
          <w:tcPr>
            <w:tcW w:w="5400" w:type="dxa"/>
            <w:vAlign w:val="bottom"/>
            <w:tcBorders>
              <w:left w:val="single" w:sz="8" w:color="BFBFBF"/>
              <w:right w:val="single" w:sz="8" w:color="BFBFBF"/>
            </w:tcBorders>
          </w:tcPr>
          <w:p>
            <w:pPr>
              <w:spacing w:after="0"/>
              <w:rPr>
                <w:sz w:val="20"/>
                <w:szCs w:val="20"/>
                <w:color w:val="auto"/>
              </w:rPr>
            </w:pPr>
          </w:p>
        </w:tc>
        <w:tc>
          <w:tcPr>
            <w:tcW w:w="5420" w:type="dxa"/>
            <w:vAlign w:val="bottom"/>
            <w:tcBorders>
              <w:right w:val="single" w:sz="8" w:color="BFBFBF"/>
            </w:tcBorders>
            <w:gridSpan w:val="2"/>
          </w:tcPr>
          <w:p>
            <w:pPr>
              <w:jc w:val="center"/>
              <w:spacing w:after="0"/>
              <w:rPr>
                <w:sz w:val="20"/>
                <w:szCs w:val="20"/>
                <w:color w:val="auto"/>
              </w:rPr>
            </w:pPr>
            <w:r>
              <w:rPr>
                <w:rFonts w:ascii="Arial" w:cs="Arial" w:eastAsia="Arial" w:hAnsi="Arial"/>
                <w:sz w:val="18"/>
                <w:szCs w:val="18"/>
                <w:i w:val="1"/>
                <w:iCs w:val="1"/>
                <w:color w:val="auto"/>
                <w:w w:val="99"/>
              </w:rPr>
              <w:t>(As of May 13, 2026)</w:t>
            </w:r>
          </w:p>
        </w:tc>
      </w:tr>
      <w:tr>
        <w:trPr>
          <w:trHeight w:val="23"/>
        </w:trPr>
        <w:tc>
          <w:tcPr>
            <w:tcW w:w="5400" w:type="dxa"/>
            <w:vAlign w:val="bottom"/>
            <w:tcBorders>
              <w:left w:val="single" w:sz="8" w:color="BFBFBF"/>
              <w:bottom w:val="single" w:sz="8" w:color="BFBFBF"/>
              <w:right w:val="single" w:sz="8" w:color="BFBFBF"/>
            </w:tcBorders>
          </w:tcPr>
          <w:p>
            <w:pPr>
              <w:spacing w:after="0"/>
              <w:rPr>
                <w:sz w:val="2"/>
                <w:szCs w:val="2"/>
                <w:color w:val="auto"/>
              </w:rPr>
            </w:pPr>
          </w:p>
        </w:tc>
        <w:tc>
          <w:tcPr>
            <w:tcW w:w="5420" w:type="dxa"/>
            <w:vAlign w:val="bottom"/>
            <w:tcBorders>
              <w:bottom w:val="single" w:sz="8" w:color="BFBFBF"/>
              <w:right w:val="single" w:sz="8" w:color="BFBFBF"/>
            </w:tcBorders>
            <w:gridSpan w:val="2"/>
          </w:tcPr>
          <w:p>
            <w:pPr>
              <w:spacing w:after="0"/>
              <w:rPr>
                <w:sz w:val="2"/>
                <w:szCs w:val="2"/>
                <w:color w:val="auto"/>
              </w:rPr>
            </w:pPr>
          </w:p>
        </w:tc>
      </w:tr>
      <w:tr>
        <w:trPr>
          <w:trHeight w:val="250"/>
        </w:trPr>
        <w:tc>
          <w:tcPr>
            <w:tcW w:w="5400" w:type="dxa"/>
            <w:vAlign w:val="bottom"/>
            <w:tcBorders>
              <w:left w:val="single" w:sz="8" w:color="BFBFBF"/>
              <w:bottom w:val="single" w:sz="8" w:color="BFBFBF"/>
              <w:right w:val="single" w:sz="8" w:color="BFBFBF"/>
            </w:tcBorders>
            <w:shd w:val="clear" w:color="auto" w:fill="CCEEFF"/>
          </w:tcPr>
          <w:p>
            <w:pPr>
              <w:ind w:left="40"/>
              <w:spacing w:after="0" w:line="250" w:lineRule="exact"/>
              <w:rPr>
                <w:sz w:val="20"/>
                <w:szCs w:val="20"/>
                <w:color w:val="auto"/>
              </w:rPr>
            </w:pPr>
            <w:r>
              <w:rPr>
                <w:rFonts w:ascii="Arial" w:cs="Arial" w:eastAsia="Arial" w:hAnsi="Arial"/>
                <w:sz w:val="18"/>
                <w:szCs w:val="18"/>
                <w:color w:val="auto"/>
              </w:rPr>
              <w:t>New Stores</w:t>
            </w:r>
            <w:r>
              <w:rPr>
                <w:rFonts w:ascii="Arial" w:cs="Arial" w:eastAsia="Arial" w:hAnsi="Arial"/>
                <w:sz w:val="23"/>
                <w:szCs w:val="23"/>
                <w:color w:val="auto"/>
                <w:vertAlign w:val="superscript"/>
              </w:rPr>
              <w:t>(1)</w:t>
            </w:r>
          </w:p>
        </w:tc>
        <w:tc>
          <w:tcPr>
            <w:tcW w:w="5420" w:type="dxa"/>
            <w:vAlign w:val="bottom"/>
            <w:tcBorders>
              <w:bottom w:val="single" w:sz="8" w:color="BFBFBF"/>
              <w:right w:val="single" w:sz="8" w:color="BFBFBF"/>
            </w:tcBorders>
            <w:gridSpan w:val="2"/>
            <w:shd w:val="clear" w:color="auto" w:fill="CCEEFF"/>
          </w:tcPr>
          <w:p>
            <w:pPr>
              <w:jc w:val="right"/>
              <w:ind w:right="2410"/>
              <w:spacing w:after="0"/>
              <w:rPr>
                <w:sz w:val="20"/>
                <w:szCs w:val="20"/>
                <w:color w:val="auto"/>
              </w:rPr>
            </w:pPr>
            <w:r>
              <w:rPr>
                <w:rFonts w:ascii="Arial" w:cs="Arial" w:eastAsia="Arial" w:hAnsi="Arial"/>
                <w:sz w:val="18"/>
                <w:szCs w:val="18"/>
                <w:color w:val="auto"/>
              </w:rPr>
              <w:t>30-35</w:t>
            </w:r>
          </w:p>
        </w:tc>
      </w:tr>
      <w:tr>
        <w:trPr>
          <w:trHeight w:val="250"/>
        </w:trPr>
        <w:tc>
          <w:tcPr>
            <w:tcW w:w="5400" w:type="dxa"/>
            <w:vAlign w:val="bottom"/>
            <w:tcBorders>
              <w:left w:val="single" w:sz="8" w:color="BFBFBF"/>
              <w:bottom w:val="single" w:sz="8" w:color="BFBFBF"/>
              <w:right w:val="single" w:sz="8" w:color="BFBFBF"/>
            </w:tcBorders>
          </w:tcPr>
          <w:p>
            <w:pPr>
              <w:ind w:left="40"/>
              <w:spacing w:after="0" w:line="250" w:lineRule="exact"/>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3"/>
                <w:szCs w:val="23"/>
                <w:color w:val="auto"/>
                <w:vertAlign w:val="superscript"/>
              </w:rPr>
              <w:t>(2)</w:t>
            </w:r>
          </w:p>
        </w:tc>
        <w:tc>
          <w:tcPr>
            <w:tcW w:w="2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3.0%</w:t>
            </w:r>
          </w:p>
        </w:tc>
        <w:tc>
          <w:tcPr>
            <w:tcW w:w="27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- 6.0%</w:t>
            </w:r>
          </w:p>
        </w:tc>
      </w:tr>
      <w:tr>
        <w:trPr>
          <w:trHeight w:val="243"/>
        </w:trPr>
        <w:tc>
          <w:tcPr>
            <w:tcW w:w="540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2640" w:type="dxa"/>
            <w:vAlign w:val="bottom"/>
            <w:tcBorders>
              <w:bottom w:val="single" w:sz="8" w:color="BFBFBF"/>
            </w:tcBorders>
            <w:shd w:val="clear" w:color="auto" w:fill="CCEEFF"/>
          </w:tcPr>
          <w:p>
            <w:pPr>
              <w:jc w:val="right"/>
              <w:spacing w:after="0"/>
              <w:rPr>
                <w:sz w:val="20"/>
                <w:szCs w:val="20"/>
                <w:color w:val="auto"/>
              </w:rPr>
            </w:pPr>
            <w:r>
              <w:rPr>
                <w:rFonts w:ascii="Arial" w:cs="Arial" w:eastAsia="Arial" w:hAnsi="Arial"/>
                <w:sz w:val="18"/>
                <w:szCs w:val="18"/>
                <w:color w:val="auto"/>
              </w:rPr>
              <w:t>$2.033 billion</w:t>
            </w:r>
          </w:p>
        </w:tc>
        <w:tc>
          <w:tcPr>
            <w:tcW w:w="27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 $2.091 billion</w:t>
            </w:r>
          </w:p>
        </w:tc>
      </w:tr>
      <w:tr>
        <w:trPr>
          <w:trHeight w:val="257"/>
        </w:trPr>
        <w:tc>
          <w:tcPr>
            <w:tcW w:w="5400" w:type="dxa"/>
            <w:vAlign w:val="bottom"/>
            <w:tcBorders>
              <w:left w:val="single" w:sz="8" w:color="BFBFBF"/>
              <w:bottom w:val="single" w:sz="8" w:color="BFBFBF"/>
              <w:right w:val="single" w:sz="8" w:color="BFBFBF"/>
            </w:tcBorders>
          </w:tcPr>
          <w:p>
            <w:pPr>
              <w:ind w:left="40"/>
              <w:spacing w:after="0" w:line="256" w:lineRule="exact"/>
              <w:rPr>
                <w:sz w:val="20"/>
                <w:szCs w:val="20"/>
                <w:color w:val="auto"/>
              </w:rPr>
            </w:pPr>
            <w:r>
              <w:rPr>
                <w:rFonts w:ascii="Arial" w:cs="Arial" w:eastAsia="Arial" w:hAnsi="Arial"/>
                <w:sz w:val="18"/>
                <w:szCs w:val="18"/>
                <w:color w:val="auto"/>
              </w:rPr>
              <w:t>Adjusted Operating Income</w:t>
            </w:r>
            <w:r>
              <w:rPr>
                <w:rFonts w:ascii="Arial" w:cs="Arial" w:eastAsia="Arial" w:hAnsi="Arial"/>
                <w:sz w:val="23"/>
                <w:szCs w:val="23"/>
                <w:color w:val="auto"/>
                <w:vertAlign w:val="superscript"/>
              </w:rPr>
              <w:t>(2)</w:t>
            </w:r>
          </w:p>
        </w:tc>
        <w:tc>
          <w:tcPr>
            <w:tcW w:w="2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$107 million</w:t>
            </w:r>
          </w:p>
        </w:tc>
        <w:tc>
          <w:tcPr>
            <w:tcW w:w="27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 $133 million</w:t>
            </w:r>
          </w:p>
        </w:tc>
      </w:tr>
      <w:tr>
        <w:trPr>
          <w:trHeight w:val="250"/>
        </w:trPr>
        <w:tc>
          <w:tcPr>
            <w:tcW w:w="5400" w:type="dxa"/>
            <w:vAlign w:val="bottom"/>
            <w:tcBorders>
              <w:left w:val="single" w:sz="8" w:color="BFBFBF"/>
              <w:bottom w:val="single" w:sz="8" w:color="BFBFBF"/>
              <w:right w:val="single" w:sz="8" w:color="BFBFBF"/>
            </w:tcBorders>
            <w:shd w:val="clear" w:color="auto" w:fill="CCEEFF"/>
          </w:tcPr>
          <w:p>
            <w:pPr>
              <w:ind w:left="40"/>
              <w:spacing w:after="0" w:line="250" w:lineRule="exact"/>
              <w:rPr>
                <w:sz w:val="20"/>
                <w:szCs w:val="20"/>
                <w:color w:val="auto"/>
              </w:rPr>
            </w:pPr>
            <w:r>
              <w:rPr>
                <w:rFonts w:ascii="Arial" w:cs="Arial" w:eastAsia="Arial" w:hAnsi="Arial"/>
                <w:sz w:val="18"/>
                <w:szCs w:val="18"/>
                <w:color w:val="auto"/>
              </w:rPr>
              <w:t>Adjusted Diluted EPS</w:t>
            </w:r>
            <w:r>
              <w:rPr>
                <w:rFonts w:ascii="Arial" w:cs="Arial" w:eastAsia="Arial" w:hAnsi="Arial"/>
                <w:sz w:val="23"/>
                <w:szCs w:val="23"/>
                <w:color w:val="auto"/>
                <w:vertAlign w:val="superscript"/>
              </w:rPr>
              <w:t>(2)(3)</w:t>
            </w:r>
          </w:p>
        </w:tc>
        <w:tc>
          <w:tcPr>
            <w:tcW w:w="2640" w:type="dxa"/>
            <w:vAlign w:val="bottom"/>
            <w:tcBorders>
              <w:bottom w:val="single" w:sz="8" w:color="BFBFBF"/>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780" w:type="dxa"/>
            <w:vAlign w:val="bottom"/>
            <w:tcBorders>
              <w:bottom w:val="single" w:sz="8" w:color="BFBFBF"/>
              <w:right w:val="single" w:sz="8" w:color="BFBFBF"/>
            </w:tcBorders>
            <w:shd w:val="clear" w:color="auto" w:fill="CCEEFF"/>
          </w:tcPr>
          <w:p>
            <w:pPr>
              <w:ind w:left="20"/>
              <w:spacing w:after="0"/>
              <w:rPr>
                <w:sz w:val="20"/>
                <w:szCs w:val="20"/>
                <w:color w:val="auto"/>
              </w:rPr>
            </w:pPr>
            <w:r>
              <w:rPr>
                <w:rFonts w:ascii="Arial" w:cs="Arial" w:eastAsia="Arial" w:hAnsi="Arial"/>
                <w:sz w:val="18"/>
                <w:szCs w:val="18"/>
                <w:color w:val="auto"/>
              </w:rPr>
              <w:t>- $1.09</w:t>
            </w:r>
          </w:p>
        </w:tc>
      </w:tr>
      <w:tr>
        <w:trPr>
          <w:trHeight w:val="250"/>
        </w:trPr>
        <w:tc>
          <w:tcPr>
            <w:tcW w:w="5400" w:type="dxa"/>
            <w:vAlign w:val="bottom"/>
            <w:tcBorders>
              <w:left w:val="single" w:sz="8" w:color="BFBFBF"/>
              <w:bottom w:val="single" w:sz="8" w:color="BFBFBF"/>
              <w:right w:val="single" w:sz="8" w:color="BFBFBF"/>
            </w:tcBorders>
          </w:tcPr>
          <w:p>
            <w:pPr>
              <w:ind w:left="40"/>
              <w:spacing w:after="0" w:line="25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3"/>
                <w:szCs w:val="23"/>
                <w:color w:val="auto"/>
                <w:vertAlign w:val="superscript"/>
              </w:rPr>
              <w:t>(4)</w:t>
            </w:r>
          </w:p>
        </w:tc>
        <w:tc>
          <w:tcPr>
            <w:tcW w:w="2640" w:type="dxa"/>
            <w:vAlign w:val="bottom"/>
            <w:tcBorders>
              <w:bottom w:val="single" w:sz="8" w:color="BFBFBF"/>
            </w:tcBorders>
          </w:tcPr>
          <w:p>
            <w:pPr>
              <w:jc w:val="right"/>
              <w:spacing w:after="0"/>
              <w:rPr>
                <w:sz w:val="20"/>
                <w:szCs w:val="20"/>
                <w:color w:val="auto"/>
              </w:rPr>
            </w:pPr>
            <w:r>
              <w:rPr>
                <w:rFonts w:ascii="Arial" w:cs="Arial" w:eastAsia="Arial" w:hAnsi="Arial"/>
                <w:sz w:val="18"/>
                <w:szCs w:val="18"/>
                <w:color w:val="auto"/>
              </w:rPr>
              <w:t>$88 million</w:t>
            </w:r>
          </w:p>
        </w:tc>
        <w:tc>
          <w:tcPr>
            <w:tcW w:w="2780" w:type="dxa"/>
            <w:vAlign w:val="bottom"/>
            <w:tcBorders>
              <w:bottom w:val="single" w:sz="8" w:color="BFBFBF"/>
              <w:right w:val="single" w:sz="8" w:color="BFBFBF"/>
            </w:tcBorders>
          </w:tcPr>
          <w:p>
            <w:pPr>
              <w:ind w:left="20"/>
              <w:spacing w:after="0"/>
              <w:rPr>
                <w:sz w:val="20"/>
                <w:szCs w:val="20"/>
                <w:color w:val="auto"/>
              </w:rPr>
            </w:pPr>
            <w:r>
              <w:rPr>
                <w:rFonts w:ascii="Arial" w:cs="Arial" w:eastAsia="Arial" w:hAnsi="Arial"/>
                <w:sz w:val="18"/>
                <w:szCs w:val="18"/>
                <w:color w:val="auto"/>
              </w:rPr>
              <w:t>- $92 million</w:t>
            </w:r>
          </w:p>
        </w:tc>
      </w:tr>
      <w:tr>
        <w:trPr>
          <w:trHeight w:val="250"/>
        </w:trPr>
        <w:tc>
          <w:tcPr>
            <w:tcW w:w="5400" w:type="dxa"/>
            <w:vAlign w:val="bottom"/>
            <w:tcBorders>
              <w:left w:val="single" w:sz="8" w:color="BFBFBF"/>
              <w:bottom w:val="single" w:sz="8" w:color="BFBFBF"/>
              <w:right w:val="single" w:sz="8" w:color="BFBFBF"/>
            </w:tcBorders>
            <w:shd w:val="clear" w:color="auto" w:fill="CCEEFF"/>
          </w:tcPr>
          <w:p>
            <w:pPr>
              <w:ind w:left="40"/>
              <w:spacing w:after="0" w:line="250" w:lineRule="exact"/>
              <w:rPr>
                <w:sz w:val="20"/>
                <w:szCs w:val="20"/>
                <w:color w:val="auto"/>
              </w:rPr>
            </w:pPr>
            <w:r>
              <w:rPr>
                <w:rFonts w:ascii="Arial" w:cs="Arial" w:eastAsia="Arial" w:hAnsi="Arial"/>
                <w:sz w:val="18"/>
                <w:szCs w:val="18"/>
                <w:color w:val="auto"/>
              </w:rPr>
              <w:t>Interest</w:t>
            </w:r>
            <w:r>
              <w:rPr>
                <w:rFonts w:ascii="Arial" w:cs="Arial" w:eastAsia="Arial" w:hAnsi="Arial"/>
                <w:sz w:val="23"/>
                <w:szCs w:val="23"/>
                <w:color w:val="auto"/>
                <w:vertAlign w:val="superscript"/>
              </w:rPr>
              <w:t>(5)</w:t>
            </w:r>
          </w:p>
        </w:tc>
        <w:tc>
          <w:tcPr>
            <w:tcW w:w="5420" w:type="dxa"/>
            <w:vAlign w:val="bottom"/>
            <w:tcBorders>
              <w:bottom w:val="single" w:sz="8" w:color="BFBFBF"/>
              <w:right w:val="single" w:sz="8" w:color="BFBFB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$14 million - $16 million</w:t>
            </w:r>
          </w:p>
        </w:tc>
      </w:tr>
      <w:tr>
        <w:trPr>
          <w:trHeight w:val="250"/>
        </w:trPr>
        <w:tc>
          <w:tcPr>
            <w:tcW w:w="5400" w:type="dxa"/>
            <w:vAlign w:val="bottom"/>
            <w:tcBorders>
              <w:left w:val="single" w:sz="8" w:color="BFBFBF"/>
              <w:bottom w:val="single" w:sz="8" w:color="BFBFBF"/>
              <w:right w:val="single" w:sz="8" w:color="BFBFBF"/>
            </w:tcBorders>
          </w:tcPr>
          <w:p>
            <w:pPr>
              <w:ind w:left="40"/>
              <w:spacing w:after="0" w:line="250" w:lineRule="exact"/>
              <w:rPr>
                <w:sz w:val="20"/>
                <w:szCs w:val="20"/>
                <w:color w:val="auto"/>
              </w:rPr>
            </w:pPr>
            <w:r>
              <w:rPr>
                <w:rFonts w:ascii="Arial" w:cs="Arial" w:eastAsia="Arial" w:hAnsi="Arial"/>
                <w:sz w:val="18"/>
                <w:szCs w:val="18"/>
                <w:color w:val="auto"/>
              </w:rPr>
              <w:t>Tax Rate</w:t>
            </w:r>
            <w:r>
              <w:rPr>
                <w:rFonts w:ascii="Arial" w:cs="Arial" w:eastAsia="Arial" w:hAnsi="Arial"/>
                <w:sz w:val="23"/>
                <w:szCs w:val="23"/>
                <w:color w:val="auto"/>
                <w:vertAlign w:val="superscript"/>
              </w:rPr>
              <w:t>(6)</w:t>
            </w:r>
          </w:p>
        </w:tc>
        <w:tc>
          <w:tcPr>
            <w:tcW w:w="5420" w:type="dxa"/>
            <w:vAlign w:val="bottom"/>
            <w:tcBorders>
              <w:bottom w:val="single" w:sz="8" w:color="BFBFBF"/>
              <w:right w:val="single" w:sz="8" w:color="BFBFBF"/>
            </w:tcBorders>
            <w:gridSpan w:val="2"/>
          </w:tcPr>
          <w:p>
            <w:pPr>
              <w:jc w:val="right"/>
              <w:ind w:right="2450"/>
              <w:spacing w:after="0"/>
              <w:rPr>
                <w:sz w:val="20"/>
                <w:szCs w:val="20"/>
                <w:color w:val="auto"/>
              </w:rPr>
            </w:pPr>
            <w:r>
              <w:rPr>
                <w:rFonts w:ascii="Arial" w:cs="Arial" w:eastAsia="Arial" w:hAnsi="Arial"/>
                <w:sz w:val="18"/>
                <w:szCs w:val="18"/>
                <w:color w:val="auto"/>
              </w:rPr>
              <w:t>28%</w:t>
            </w:r>
          </w:p>
        </w:tc>
      </w:tr>
      <w:tr>
        <w:trPr>
          <w:trHeight w:val="243"/>
        </w:trPr>
        <w:tc>
          <w:tcPr>
            <w:tcW w:w="5400" w:type="dxa"/>
            <w:vAlign w:val="bottom"/>
            <w:tcBorders>
              <w:left w:val="single" w:sz="8" w:color="BFBFBF"/>
              <w:bottom w:val="single" w:sz="8" w:color="BFBFBF"/>
              <w:right w:val="single" w:sz="8" w:color="BFBFB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5420" w:type="dxa"/>
            <w:vAlign w:val="bottom"/>
            <w:tcBorders>
              <w:bottom w:val="single" w:sz="8" w:color="BFBFBF"/>
              <w:right w:val="single" w:sz="8" w:color="BFBFB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$73 million - $78 million</w:t>
            </w:r>
          </w:p>
        </w:tc>
      </w:tr>
    </w:tbl>
    <w:p>
      <w:pPr>
        <w:spacing w:after="0" w:line="153" w:lineRule="exact"/>
        <w:rPr>
          <w:sz w:val="20"/>
          <w:szCs w:val="20"/>
          <w:color w:val="auto"/>
        </w:rPr>
      </w:pPr>
    </w:p>
    <w:p>
      <w:pPr>
        <w:ind w:left="100" w:hanging="92"/>
        <w:spacing w:after="0"/>
        <w:tabs>
          <w:tab w:leader="none" w:pos="100"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Assumes primarily America's Best new stores, does not include 20 Military store additions in April 2026.</w:t>
      </w:r>
    </w:p>
    <w:p>
      <w:pPr>
        <w:spacing w:after="0" w:line="196" w:lineRule="auto"/>
        <w:rPr>
          <w:rFonts w:ascii="Arial" w:cs="Arial" w:eastAsia="Arial" w:hAnsi="Arial"/>
          <w:sz w:val="23"/>
          <w:szCs w:val="23"/>
          <w:i w:val="1"/>
          <w:iCs w:val="1"/>
          <w:color w:val="auto"/>
          <w:vertAlign w:val="superscript"/>
        </w:rPr>
      </w:pPr>
      <w:r>
        <w:rPr>
          <w:rFonts w:ascii="Arial" w:cs="Arial" w:eastAsia="Arial" w:hAnsi="Arial"/>
          <w:sz w:val="23"/>
          <w:szCs w:val="23"/>
          <w:i w:val="1"/>
          <w:iCs w:val="1"/>
          <w:color w:val="auto"/>
          <w:vertAlign w:val="superscript"/>
        </w:rPr>
        <w:t>2</w:t>
      </w:r>
      <w:r>
        <w:rPr>
          <w:rFonts w:ascii="Arial" w:cs="Arial" w:eastAsia="Arial" w:hAnsi="Arial"/>
          <w:sz w:val="18"/>
          <w:szCs w:val="18"/>
          <w:i w:val="1"/>
          <w:iCs w:val="1"/>
          <w:color w:val="auto"/>
        </w:rPr>
        <w:t xml:space="preserve"> Refer to “Non-GAAP Financial Measures” below for more information.</w:t>
      </w:r>
    </w:p>
    <w:p>
      <w:pPr>
        <w:spacing w:after="0" w:line="196" w:lineRule="auto"/>
        <w:rPr>
          <w:rFonts w:ascii="Arial" w:cs="Arial" w:eastAsia="Arial" w:hAnsi="Arial"/>
          <w:sz w:val="23"/>
          <w:szCs w:val="23"/>
          <w:i w:val="1"/>
          <w:iCs w:val="1"/>
          <w:color w:val="auto"/>
          <w:vertAlign w:val="superscript"/>
        </w:rPr>
      </w:pPr>
      <w:r>
        <w:rPr>
          <w:rFonts w:ascii="Arial" w:cs="Arial" w:eastAsia="Arial" w:hAnsi="Arial"/>
          <w:sz w:val="23"/>
          <w:szCs w:val="23"/>
          <w:i w:val="1"/>
          <w:iCs w:val="1"/>
          <w:color w:val="auto"/>
          <w:vertAlign w:val="superscript"/>
        </w:rPr>
        <w:t>3</w:t>
      </w:r>
      <w:r>
        <w:rPr>
          <w:rFonts w:ascii="Arial" w:cs="Arial" w:eastAsia="Arial" w:hAnsi="Arial"/>
          <w:sz w:val="18"/>
          <w:szCs w:val="18"/>
          <w:i w:val="1"/>
          <w:iCs w:val="1"/>
          <w:color w:val="auto"/>
        </w:rPr>
        <w:t xml:space="preserve"> Assumes approximately 82 million shares.</w:t>
      </w:r>
    </w:p>
    <w:p>
      <w:pPr>
        <w:ind w:left="180" w:hanging="162"/>
        <w:spacing w:after="0" w:line="219" w:lineRule="auto"/>
        <w:rPr>
          <w:rFonts w:ascii="Arial" w:cs="Arial" w:eastAsia="Arial" w:hAnsi="Arial"/>
          <w:sz w:val="23"/>
          <w:szCs w:val="23"/>
          <w:i w:val="1"/>
          <w:iCs w:val="1"/>
          <w:color w:val="auto"/>
          <w:vertAlign w:val="superscript"/>
        </w:rPr>
      </w:pPr>
      <w:r>
        <w:rPr>
          <w:rFonts w:ascii="Arial" w:cs="Arial" w:eastAsia="Arial" w:hAnsi="Arial"/>
          <w:sz w:val="23"/>
          <w:szCs w:val="23"/>
          <w:i w:val="1"/>
          <w:iCs w:val="1"/>
          <w:color w:val="auto"/>
          <w:vertAlign w:val="superscript"/>
        </w:rPr>
        <w:t>4</w:t>
      </w:r>
      <w:r>
        <w:rPr>
          <w:rFonts w:ascii="Arial" w:cs="Arial" w:eastAsia="Arial" w:hAnsi="Arial"/>
          <w:sz w:val="18"/>
          <w:szCs w:val="18"/>
          <w:i w:val="1"/>
          <w:iCs w:val="1"/>
          <w:color w:val="auto"/>
        </w:rPr>
        <w:t xml:space="preserve"> Includes amortization of acquisition intangibles of approximately $0.7 million, which is excluded in the definition of Adjusted Operating Income.</w:t>
      </w:r>
    </w:p>
    <w:p>
      <w:pPr>
        <w:spacing w:after="0" w:line="1" w:lineRule="exact"/>
        <w:rPr>
          <w:rFonts w:ascii="Arial" w:cs="Arial" w:eastAsia="Arial" w:hAnsi="Arial"/>
          <w:sz w:val="23"/>
          <w:szCs w:val="23"/>
          <w:i w:val="1"/>
          <w:iCs w:val="1"/>
          <w:color w:val="auto"/>
          <w:vertAlign w:val="superscript"/>
        </w:rPr>
      </w:pPr>
    </w:p>
    <w:p>
      <w:pPr>
        <w:ind w:left="180" w:hanging="162"/>
        <w:spacing w:after="0" w:line="219" w:lineRule="auto"/>
        <w:rPr>
          <w:rFonts w:ascii="Arial" w:cs="Arial" w:eastAsia="Arial" w:hAnsi="Arial"/>
          <w:sz w:val="23"/>
          <w:szCs w:val="23"/>
          <w:i w:val="1"/>
          <w:iCs w:val="1"/>
          <w:color w:val="auto"/>
          <w:vertAlign w:val="superscript"/>
        </w:rPr>
      </w:pPr>
      <w:r>
        <w:rPr>
          <w:rFonts w:ascii="Arial" w:cs="Arial" w:eastAsia="Arial" w:hAnsi="Arial"/>
          <w:sz w:val="23"/>
          <w:szCs w:val="23"/>
          <w:i w:val="1"/>
          <w:iCs w:val="1"/>
          <w:color w:val="auto"/>
          <w:vertAlign w:val="superscript"/>
        </w:rPr>
        <w:t>5</w:t>
      </w:r>
      <w:r>
        <w:rPr>
          <w:rFonts w:ascii="Arial" w:cs="Arial" w:eastAsia="Arial" w:hAnsi="Arial"/>
          <w:sz w:val="18"/>
          <w:szCs w:val="18"/>
          <w:i w:val="1"/>
          <w:iCs w:val="1"/>
          <w:color w:val="auto"/>
        </w:rPr>
        <w:t xml:space="preserve"> Before the impact of gains or losses on change in fair value of derivatives and charges related to debt discounts and deferred financing costs.</w:t>
      </w:r>
    </w:p>
    <w:p>
      <w:pPr>
        <w:spacing w:after="0" w:line="1" w:lineRule="exact"/>
        <w:rPr>
          <w:rFonts w:ascii="Arial" w:cs="Arial" w:eastAsia="Arial" w:hAnsi="Arial"/>
          <w:sz w:val="23"/>
          <w:szCs w:val="23"/>
          <w:i w:val="1"/>
          <w:iCs w:val="1"/>
          <w:color w:val="auto"/>
          <w:vertAlign w:val="superscript"/>
        </w:rPr>
      </w:pPr>
    </w:p>
    <w:p>
      <w:pPr>
        <w:spacing w:after="0"/>
        <w:rPr>
          <w:rFonts w:ascii="Arial" w:cs="Arial" w:eastAsia="Arial" w:hAnsi="Arial"/>
          <w:sz w:val="23"/>
          <w:szCs w:val="23"/>
          <w:i w:val="1"/>
          <w:iCs w:val="1"/>
          <w:color w:val="auto"/>
          <w:vertAlign w:val="superscript"/>
        </w:rPr>
      </w:pPr>
      <w:r>
        <w:rPr>
          <w:rFonts w:ascii="Arial" w:cs="Arial" w:eastAsia="Arial" w:hAnsi="Arial"/>
          <w:sz w:val="23"/>
          <w:szCs w:val="23"/>
          <w:i w:val="1"/>
          <w:iCs w:val="1"/>
          <w:color w:val="auto"/>
          <w:vertAlign w:val="superscript"/>
        </w:rPr>
        <w:t>6</w:t>
      </w:r>
      <w:r>
        <w:rPr>
          <w:rFonts w:ascii="Arial" w:cs="Arial" w:eastAsia="Arial" w:hAnsi="Arial"/>
          <w:sz w:val="18"/>
          <w:szCs w:val="18"/>
          <w:i w:val="1"/>
          <w:iCs w:val="1"/>
          <w:color w:val="auto"/>
        </w:rPr>
        <w:t xml:space="preserve"> Excluding the impact of vesting of restricted stock units and stock option exercises.</w:t>
      </w:r>
    </w:p>
    <w:p>
      <w:pPr>
        <w:spacing w:after="0" w:line="44"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The fiscal 2026 outlook information provided in this release includes Adjusted Operating Income and Adjusted Diluted EPS guidance. The Company is not able to reconcile these forward -looking non-GAAP measures to GAAP without unreasonable efforts because it is not possible to predict with a reasonable degree of certainty the actual impact of certain items and unanticipated events, including taxes and non-recurring items, which would be included in GAAP results.</w:t>
      </w:r>
    </w:p>
    <w:p>
      <w:pPr>
        <w:spacing w:after="0" w:line="68"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i w:val="1"/>
          <w:iCs w:val="1"/>
          <w:color w:val="auto"/>
        </w:rPr>
        <w:t>The fiscal 2026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These uncertainties include, but are not limited to, dynamic market conditions, unexpected disruptions including additional regulatory actions impacting</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012" w:right="339" w:bottom="1440" w:gutter="0" w:footer="0" w:header="0"/>
          <w:type w:val="continuous"/>
        </w:sectPr>
      </w:pPr>
    </w:p>
    <w:bookmarkStart w:id="5" w:name="page6"/>
    <w:bookmarkEnd w:id="5"/>
    <w:p>
      <w:pPr>
        <w:ind w:right="20"/>
        <w:spacing w:after="0" w:line="247" w:lineRule="auto"/>
        <w:rPr>
          <w:sz w:val="20"/>
          <w:szCs w:val="20"/>
          <w:color w:val="auto"/>
        </w:rPr>
      </w:pPr>
      <w:r>
        <w:rPr>
          <w:rFonts w:ascii="Arial" w:cs="Arial" w:eastAsia="Arial" w:hAnsi="Arial"/>
          <w:sz w:val="18"/>
          <w:szCs w:val="18"/>
          <w:i w:val="1"/>
          <w:iCs w:val="1"/>
          <w:color w:val="auto"/>
        </w:rPr>
        <w:t>international trade such as tariffs, issues relating to the implementation of our transformation initiatives, geopolitical issues, higher transportation or other costs due to rising fuel or energy costs, and other macroeconomic risks and uncertainties. Actual results may vary and those variations may be material. As such, the Company’s results may not fall within the ranges contained in its fiscal 2026 outlook. The Company uses these forward-looking measures internally to assess and benchmark its results and strategic plans. See “Forward-Looking Statements” below.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5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The Company will host a conference call to discuss the first quarter 2026 financial results and fiscal-year 2026 guidance today, May 13, 2026, at 8:30 a.m. Eastern Time. To pre-register for the conference call and obtain a dial-in number and passcode, please refer to the “Investors” section of the Company’s website at </w:t>
      </w:r>
      <w:r>
        <w:rPr>
          <w:rFonts w:ascii="Arial" w:cs="Arial" w:eastAsia="Arial" w:hAnsi="Arial"/>
          <w:sz w:val="18"/>
          <w:szCs w:val="18"/>
          <w:u w:val="single" w:color="auto"/>
          <w:color w:val="0E32E1"/>
        </w:rPr>
        <w:t>www.ir.nationalvision.com</w:t>
      </w:r>
      <w:r>
        <w:rPr>
          <w:rFonts w:ascii="Arial" w:cs="Arial" w:eastAsia="Arial" w:hAnsi="Arial"/>
          <w:sz w:val="18"/>
          <w:szCs w:val="18"/>
          <w:color w:val="auto"/>
        </w:rPr>
        <w:t xml:space="preserve">. A live audio webcast of the conference call will be available on the “Investors” section of the Company’s website at </w:t>
      </w:r>
      <w:r>
        <w:rPr>
          <w:rFonts w:ascii="Arial" w:cs="Arial" w:eastAsia="Arial" w:hAnsi="Arial"/>
          <w:sz w:val="18"/>
          <w:szCs w:val="18"/>
          <w:u w:val="single" w:color="auto"/>
          <w:color w:val="0E32E1"/>
        </w:rPr>
        <w:t>www.ir.nationalvision.com</w:t>
      </w:r>
      <w:r>
        <w:rPr>
          <w:rFonts w:ascii="Arial" w:cs="Arial" w:eastAsia="Arial" w:hAnsi="Arial"/>
          <w:sz w:val="18"/>
          <w:szCs w:val="18"/>
          <w:color w:val="auto"/>
        </w:rPr>
        <w:t>, where presentation materials will be posted prior to the conference call. A replay of the audio webcast will also be archived on the “Investors” section of the Company’s website.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National Vision Holdings, Inc. (NASDAQ: EYE) is one of the largest optical retail companies in the United States with over 1,200 stores in 40 states and Puerto Rico. With a mission of helping people by making quality eye care and eyewear more affordable and accessible, the company operates four retail brands: America’s Best Contacts &amp; Eyeglasses, Eyeglass World, and Vista Opticals inside select Fred Meyer stores and on select military bases, and an e-commerce website DiscountContacts.com, offering a variety of products and services for customers’ eye care needs. For more information, please visit www.nationalvision.com.</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50"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w:t>
      </w:r>
    </w:p>
    <w:p>
      <w:pPr>
        <w:spacing w:after="0" w:line="235" w:lineRule="auto"/>
        <w:rPr>
          <w:sz w:val="20"/>
          <w:szCs w:val="20"/>
          <w:color w:val="auto"/>
        </w:rPr>
      </w:pPr>
      <w:r>
        <w:rPr>
          <w:rFonts w:ascii="Arial" w:cs="Arial" w:eastAsia="Arial" w:hAnsi="Arial"/>
          <w:sz w:val="18"/>
          <w:szCs w:val="18"/>
          <w:color w:val="auto"/>
        </w:rPr>
        <w:t>contained under “Fiscal 2026 Outlook,” as well as other statements related to our current beliefs and expectations regarding the performance</w:t>
      </w:r>
    </w:p>
    <w:p>
      <w:pPr>
        <w:ind w:right="160"/>
        <w:spacing w:after="0"/>
        <w:rPr>
          <w:sz w:val="20"/>
          <w:szCs w:val="20"/>
          <w:color w:val="auto"/>
        </w:rPr>
      </w:pPr>
      <w:r>
        <w:rPr>
          <w:rFonts w:ascii="Arial" w:cs="Arial" w:eastAsia="Arial" w:hAnsi="Arial"/>
          <w:sz w:val="17"/>
          <w:szCs w:val="17"/>
          <w:color w:val="auto"/>
        </w:rPr>
        <w:t>of our industry, the Company’s strategic direction, market position, prospects including remote medicine and optometrist recruiting and retention initiatives, and future results. You can identify these forward-looking statements by the use of words such as “outlook,” “guidance,”</w:t>
      </w:r>
    </w:p>
    <w:p>
      <w:pPr>
        <w:spacing w:after="0" w:line="235" w:lineRule="auto"/>
        <w:rPr>
          <w:sz w:val="20"/>
          <w:szCs w:val="20"/>
          <w:color w:val="auto"/>
        </w:rPr>
      </w:pPr>
      <w:r>
        <w:rPr>
          <w:rFonts w:ascii="Arial" w:cs="Arial" w:eastAsia="Arial" w:hAnsi="Arial"/>
          <w:sz w:val="18"/>
          <w:szCs w:val="18"/>
          <w:color w:val="auto"/>
        </w:rPr>
        <w:t>“believes,” “expects,” “potential,” “continues,” “may,” “will,” “should,” “could,” “seeks,” “projects,” “predicts,” “intends,” “plans,” “estimates,”</w:t>
      </w:r>
    </w:p>
    <w:p>
      <w:pPr>
        <w:ind w:right="260"/>
        <w:spacing w:after="0" w:line="226" w:lineRule="auto"/>
        <w:rPr>
          <w:sz w:val="20"/>
          <w:szCs w:val="20"/>
          <w:color w:val="auto"/>
        </w:rPr>
      </w:pPr>
      <w:r>
        <w:rPr>
          <w:rFonts w:ascii="Arial" w:cs="Arial" w:eastAsia="Arial" w:hAnsi="Arial"/>
          <w:sz w:val="18"/>
          <w:szCs w:val="18"/>
          <w:color w:val="auto"/>
        </w:rPr>
        <w:t>“anticipates” or variations of these words or other comparable words. Caution should be taken not to place undue reliance on any forward-looking statement as such statements speak only as of the date when made. We undertake no obligation to publicly update or review any</w:t>
      </w:r>
    </w:p>
    <w:p>
      <w:pPr>
        <w:spacing w:after="0" w:line="236" w:lineRule="auto"/>
        <w:rPr>
          <w:sz w:val="20"/>
          <w:szCs w:val="20"/>
          <w:color w:val="auto"/>
        </w:rPr>
      </w:pPr>
      <w:r>
        <w:rPr>
          <w:rFonts w:ascii="Arial" w:cs="Arial" w:eastAsia="Arial" w:hAnsi="Arial"/>
          <w:sz w:val="18"/>
          <w:szCs w:val="18"/>
          <w:color w:val="auto"/>
        </w:rPr>
        <w:t>forward-looking statement, whether as a result of new information, future developments or otherwise, except as required by law. Forward-</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looking statements are not guarantees and are subject to various risks and uncertainties, which may cause actual results to differ materially from those implied in forward-looking statements. Such factors include, but are not limited to, market volatility, an overall decline in the health</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of the economy, global macroeconomic conditions and other factors that may affect consumer spending or behavior; our ability to successfully implement our strategic initiatives, or anticipate the impact of important strategic initiatives; our ability to recruit and retain vision</w:t>
      </w:r>
    </w:p>
    <w:p>
      <w:pPr>
        <w:spacing w:after="0" w:line="235" w:lineRule="auto"/>
        <w:rPr>
          <w:sz w:val="20"/>
          <w:szCs w:val="20"/>
          <w:color w:val="auto"/>
        </w:rPr>
      </w:pPr>
      <w:r>
        <w:rPr>
          <w:rFonts w:ascii="Arial" w:cs="Arial" w:eastAsia="Arial" w:hAnsi="Arial"/>
          <w:sz w:val="18"/>
          <w:szCs w:val="18"/>
          <w:color w:val="auto"/>
        </w:rPr>
        <w:t>care professionals for in-store roles or to provide remote care offerings; our ability to compete in the highly competitive optical retail industry;</w:t>
      </w:r>
    </w:p>
    <w:p>
      <w:pPr>
        <w:ind w:right="480"/>
        <w:spacing w:after="0"/>
        <w:rPr>
          <w:sz w:val="20"/>
          <w:szCs w:val="20"/>
          <w:color w:val="auto"/>
        </w:rPr>
      </w:pPr>
      <w:r>
        <w:rPr>
          <w:rFonts w:ascii="Arial" w:cs="Arial" w:eastAsia="Arial" w:hAnsi="Arial"/>
          <w:sz w:val="17"/>
          <w:szCs w:val="17"/>
          <w:color w:val="auto"/>
        </w:rPr>
        <w:t>our ability to maintain, protect, and enhance the value of our owned brands</w:t>
      </w:r>
      <w:r>
        <w:rPr>
          <w:rFonts w:ascii="Arial" w:cs="Arial" w:eastAsia="Arial" w:hAnsi="Arial"/>
          <w:sz w:val="17"/>
          <w:szCs w:val="17"/>
          <w:color w:val="008080"/>
        </w:rPr>
        <w:t>;</w:t>
      </w:r>
      <w:r>
        <w:rPr>
          <w:rFonts w:ascii="Arial" w:cs="Arial" w:eastAsia="Arial" w:hAnsi="Arial"/>
          <w:sz w:val="17"/>
          <w:szCs w:val="17"/>
          <w:color w:val="auto"/>
        </w:rPr>
        <w:t xml:space="preserve"> the success of our marketing, advertising and promotional efforts; our ability to open and operate new stores (including as a result of store conversions) in a timely and cost-effective manner or to</w:t>
      </w:r>
    </w:p>
    <w:p>
      <w:pPr>
        <w:spacing w:after="0" w:line="235" w:lineRule="auto"/>
        <w:rPr>
          <w:sz w:val="20"/>
          <w:szCs w:val="20"/>
          <w:color w:val="auto"/>
        </w:rPr>
      </w:pPr>
      <w:r>
        <w:rPr>
          <w:rFonts w:ascii="Arial" w:cs="Arial" w:eastAsia="Arial" w:hAnsi="Arial"/>
          <w:sz w:val="18"/>
          <w:szCs w:val="18"/>
          <w:color w:val="auto"/>
        </w:rPr>
        <w:t>successfully enter new markets; our ability to increase sales in existing stores and to successfully reinvest in existing stores; our ability to</w:t>
      </w:r>
    </w:p>
    <w:p>
      <w:pPr>
        <w:ind w:right="60"/>
        <w:spacing w:after="0"/>
        <w:rPr>
          <w:sz w:val="20"/>
          <w:szCs w:val="20"/>
          <w:color w:val="auto"/>
        </w:rPr>
      </w:pPr>
      <w:r>
        <w:rPr>
          <w:rFonts w:ascii="Arial" w:cs="Arial" w:eastAsia="Arial" w:hAnsi="Arial"/>
          <w:sz w:val="17"/>
          <w:szCs w:val="17"/>
          <w:color w:val="auto"/>
        </w:rPr>
        <w:t>successfully implement our pricing strategies; changes in the cost of inputs, and factors such as wage rate increases, inflation, cost increases, tariffs and related measures, increases in the price of raw materials and energy prices; significant capital requirements to fund our</w:t>
      </w:r>
    </w:p>
    <w:p>
      <w:pPr>
        <w:spacing w:after="0" w:line="235" w:lineRule="auto"/>
        <w:rPr>
          <w:sz w:val="20"/>
          <w:szCs w:val="20"/>
          <w:color w:val="auto"/>
        </w:rPr>
      </w:pPr>
      <w:r>
        <w:rPr>
          <w:rFonts w:ascii="Arial" w:cs="Arial" w:eastAsia="Arial" w:hAnsi="Arial"/>
          <w:sz w:val="18"/>
          <w:szCs w:val="18"/>
          <w:color w:val="auto"/>
        </w:rPr>
        <w:t>expanding business including updating our Enterprise Resource Planning (“ERP”) and Customer Relationship Management (“CRM”), and</w:t>
      </w:r>
    </w:p>
    <w:p>
      <w:pPr>
        <w:ind w:right="740"/>
        <w:spacing w:after="0"/>
        <w:rPr>
          <w:sz w:val="20"/>
          <w:szCs w:val="20"/>
          <w:color w:val="auto"/>
        </w:rPr>
      </w:pPr>
      <w:r>
        <w:rPr>
          <w:rFonts w:ascii="Arial" w:cs="Arial" w:eastAsia="Arial" w:hAnsi="Arial"/>
          <w:sz w:val="17"/>
          <w:szCs w:val="17"/>
          <w:color w:val="auto"/>
        </w:rPr>
        <w:t>other technological, systems and capabilities; the potential for our growth strategies to strain our existing resources and cause the performance of our existing stores to suffer; risks associated with leasing substantial amounts of space, including future increases in</w:t>
      </w:r>
    </w:p>
    <w:p>
      <w:pPr>
        <w:spacing w:after="0" w:line="235" w:lineRule="auto"/>
        <w:rPr>
          <w:sz w:val="20"/>
          <w:szCs w:val="20"/>
          <w:color w:val="auto"/>
        </w:rPr>
      </w:pPr>
      <w:r>
        <w:rPr>
          <w:rFonts w:ascii="Arial" w:cs="Arial" w:eastAsia="Arial" w:hAnsi="Arial"/>
          <w:sz w:val="18"/>
          <w:szCs w:val="18"/>
          <w:color w:val="auto"/>
        </w:rPr>
        <w:t>occupancy costs; our ability to successfully manage the distinct risks faced by our e-commerce and omni-channel business; our ability to</w:t>
      </w:r>
    </w:p>
    <w:p>
      <w:pPr>
        <w:spacing w:after="0" w:line="226" w:lineRule="auto"/>
        <w:rPr>
          <w:sz w:val="20"/>
          <w:szCs w:val="20"/>
          <w:color w:val="auto"/>
        </w:rPr>
      </w:pPr>
      <w:r>
        <w:rPr>
          <w:rFonts w:ascii="Arial" w:cs="Arial" w:eastAsia="Arial" w:hAnsi="Arial"/>
          <w:sz w:val="18"/>
          <w:szCs w:val="18"/>
          <w:color w:val="auto"/>
        </w:rPr>
        <w:t>retain our existing senior management team, attract qualified new personnel or successfully implement our succession plans; seasonal fluctuations in our operating results and inventory levels; the potential impacts of catastrophic events, including changing climate and weather</w:t>
      </w:r>
    </w:p>
    <w:p>
      <w:pPr>
        <w:spacing w:after="0" w:line="236" w:lineRule="auto"/>
        <w:rPr>
          <w:sz w:val="20"/>
          <w:szCs w:val="20"/>
          <w:color w:val="auto"/>
        </w:rPr>
      </w:pPr>
      <w:r>
        <w:rPr>
          <w:rFonts w:ascii="Arial" w:cs="Arial" w:eastAsia="Arial" w:hAnsi="Arial"/>
          <w:sz w:val="18"/>
          <w:szCs w:val="18"/>
          <w:color w:val="auto"/>
        </w:rPr>
        <w:t>patterns leading to severe weather and natural disasters; the potential for certain technological advances, greater availability of, or increased</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consumer preferences for, vision correction alternatives to prescription eyeglasses or contact lenses, or future drug development for the correction of vision-related problems to reduce the demand for our products; our ability to successfully manage our inventory balances and</w:t>
      </w:r>
    </w:p>
    <w:p>
      <w:pPr>
        <w:spacing w:after="0" w:line="236" w:lineRule="auto"/>
        <w:rPr>
          <w:sz w:val="20"/>
          <w:szCs w:val="20"/>
          <w:color w:val="auto"/>
        </w:rPr>
      </w:pPr>
      <w:r>
        <w:rPr>
          <w:rFonts w:ascii="Arial" w:cs="Arial" w:eastAsia="Arial" w:hAnsi="Arial"/>
          <w:sz w:val="18"/>
          <w:szCs w:val="18"/>
          <w:color w:val="auto"/>
        </w:rPr>
        <w:t>inventory shrinkage; the potential for the loss of, or disruption in the operations of, one or more of our distribution centers or optical</w:t>
      </w:r>
    </w:p>
    <w:p>
      <w:pPr>
        <w:spacing w:after="0" w:line="1"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laboratories, which would impact our ability to process and fulfill customer orders and deliver our products in a timely manner, or at all, or result in quality issues; the performance of our Host brands and our ability to maintain or extend our operating relationships with our Host</w:t>
      </w:r>
    </w:p>
    <w:p>
      <w:pPr>
        <w:spacing w:after="0" w:line="236" w:lineRule="auto"/>
        <w:rPr>
          <w:sz w:val="20"/>
          <w:szCs w:val="20"/>
          <w:color w:val="auto"/>
        </w:rPr>
      </w:pPr>
      <w:r>
        <w:rPr>
          <w:rFonts w:ascii="Arial" w:cs="Arial" w:eastAsia="Arial" w:hAnsi="Arial"/>
          <w:sz w:val="18"/>
          <w:szCs w:val="18"/>
          <w:color w:val="auto"/>
        </w:rPr>
        <w:t>partners; sustainability issues, including those related to climate change; our ability to develop, maintain and extend relationships with</w:t>
      </w:r>
    </w:p>
    <w:p>
      <w:pPr>
        <w:spacing w:after="0" w:line="1" w:lineRule="exact"/>
        <w:rPr>
          <w:sz w:val="20"/>
          <w:szCs w:val="20"/>
          <w:color w:val="auto"/>
        </w:rPr>
      </w:pPr>
    </w:p>
    <w:p>
      <w:pPr>
        <w:ind w:right="920"/>
        <w:spacing w:after="0" w:line="237" w:lineRule="auto"/>
        <w:rPr>
          <w:sz w:val="20"/>
          <w:szCs w:val="20"/>
          <w:color w:val="auto"/>
        </w:rPr>
      </w:pPr>
      <w:r>
        <w:rPr>
          <w:rFonts w:ascii="Arial" w:cs="Arial" w:eastAsia="Arial" w:hAnsi="Arial"/>
          <w:sz w:val="18"/>
          <w:szCs w:val="18"/>
          <w:color w:val="auto"/>
        </w:rPr>
        <w:t>managed vision care companies, vision insurance providers and other third-party payors; our reliance on third-party coverage and reimbursement, including government programs, for an increasing portion of our revenues; risks associated with vendors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7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from whom our products and certain services are sourced and our dependence on a limited number of suppliers; changes in U.S. 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international laws, including tariffs, affecting our ability to source merchandise and services internationally; the impact of any significant failure, inadequacy, interruption or security breach affecting our information technology systems, or those of our vendors; our ability to comply</w:t>
      </w:r>
    </w:p>
    <w:p>
      <w:pPr>
        <w:spacing w:after="0" w:line="235" w:lineRule="auto"/>
        <w:rPr>
          <w:sz w:val="20"/>
          <w:szCs w:val="20"/>
          <w:color w:val="auto"/>
        </w:rPr>
      </w:pPr>
      <w:r>
        <w:rPr>
          <w:rFonts w:ascii="Arial" w:cs="Arial" w:eastAsia="Arial" w:hAnsi="Arial"/>
          <w:sz w:val="18"/>
          <w:szCs w:val="18"/>
          <w:color w:val="auto"/>
        </w:rPr>
        <w:t>with state, local and federal vision care and healthcare laws and regulations, as well as managed vision care laws and regulations; liability</w:t>
      </w:r>
    </w:p>
    <w:p>
      <w:pPr>
        <w:ind w:right="60"/>
        <w:spacing w:after="0"/>
        <w:rPr>
          <w:sz w:val="20"/>
          <w:szCs w:val="20"/>
          <w:color w:val="auto"/>
        </w:rPr>
      </w:pPr>
      <w:r>
        <w:rPr>
          <w:rFonts w:ascii="Arial" w:cs="Arial" w:eastAsia="Arial" w:hAnsi="Arial"/>
          <w:sz w:val="17"/>
          <w:szCs w:val="17"/>
          <w:color w:val="auto"/>
        </w:rPr>
        <w:t>stemming from rapidly changing and increasingly stringent laws, regulations, contractual obligations, and industry standards relating to privacy, data security and data protection; product liability, product recall or personal injury issues; our ability to comply with laws, regulations</w:t>
      </w:r>
    </w:p>
    <w:p>
      <w:pPr>
        <w:spacing w:after="0" w:line="235" w:lineRule="auto"/>
        <w:rPr>
          <w:sz w:val="20"/>
          <w:szCs w:val="20"/>
          <w:color w:val="auto"/>
        </w:rPr>
      </w:pPr>
      <w:r>
        <w:rPr>
          <w:rFonts w:ascii="Arial" w:cs="Arial" w:eastAsia="Arial" w:hAnsi="Arial"/>
          <w:sz w:val="18"/>
          <w:szCs w:val="18"/>
          <w:color w:val="auto"/>
        </w:rPr>
        <w:t>and enforcement activities or changes in statutory, regulatory, accounting and other legal requirements; the outcome of legal proceedings</w:t>
      </w:r>
    </w:p>
    <w:p>
      <w:pPr>
        <w:ind w:right="220"/>
        <w:spacing w:after="0"/>
        <w:rPr>
          <w:sz w:val="20"/>
          <w:szCs w:val="20"/>
          <w:color w:val="auto"/>
        </w:rPr>
      </w:pPr>
      <w:r>
        <w:rPr>
          <w:rFonts w:ascii="Arial" w:cs="Arial" w:eastAsia="Arial" w:hAnsi="Arial"/>
          <w:sz w:val="17"/>
          <w:szCs w:val="17"/>
          <w:color w:val="auto"/>
        </w:rPr>
        <w:t>relating to our business operations; the protection and validity of our intellectual property; risks related to our indebtedness; changes in interest rates; restrictions in our credit agreement that limit our flexibility in operating our business; and risks related to owning our common</w:t>
      </w:r>
    </w:p>
    <w:p>
      <w:pPr>
        <w:spacing w:after="0" w:line="235" w:lineRule="auto"/>
        <w:rPr>
          <w:sz w:val="20"/>
          <w:szCs w:val="20"/>
          <w:color w:val="auto"/>
        </w:rPr>
      </w:pPr>
      <w:r>
        <w:rPr>
          <w:rFonts w:ascii="Arial" w:cs="Arial" w:eastAsia="Arial" w:hAnsi="Arial"/>
          <w:sz w:val="18"/>
          <w:szCs w:val="18"/>
          <w:color w:val="auto"/>
        </w:rPr>
        <w:t>stock. Additional information about these and other factors that could cause National Vision’s results to differ materially from those described</w:t>
      </w:r>
    </w:p>
    <w:p>
      <w:pPr>
        <w:ind w:right="80"/>
        <w:spacing w:after="0" w:line="226" w:lineRule="auto"/>
        <w:rPr>
          <w:sz w:val="20"/>
          <w:szCs w:val="20"/>
          <w:color w:val="auto"/>
        </w:rPr>
      </w:pPr>
      <w:r>
        <w:rPr>
          <w:rFonts w:ascii="Arial" w:cs="Arial" w:eastAsia="Arial" w:hAnsi="Arial"/>
          <w:sz w:val="18"/>
          <w:szCs w:val="18"/>
          <w:color w:val="auto"/>
        </w:rPr>
        <w:t>in the forward-looking statements can be found in filings by National Vision with the Securities and Exchange Commission (“SEC”), including our latest Annual Report on Form 10-K and subsequent Quarterly Reports on Form 10-Q, which are accessible on the SEC’s website</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at www.sec.gov. These factors should not be construed as exhaustive and should be read in conjunction with the other cautionary statements that are included in this release and in our filings with the SEC.</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To supplement the Company’s financial information presented in accordance with GAAP and aid understanding of the Company’s business performance, the Company uses certain non-GAAP financial measures, namely “EBITDA,” “Adjusted Operating Income,” “Adjusted Operating Margin,” “Adjusted EBITDA,” “Adjusted EBITDA Margin,” “Adjusted Diluted EPS,” “Adjusted Comparable Stores Sales Growth,” “Adjusted SG&amp;A,” and “Adjusted SG&amp;A Percent of Net Revenue.” We believe EBITDA, Adjusted Operating Income, Adjusted Operating Margin, Adjusted EBITDA, Adjusted EBITDA Margin, Adjusted Diluted EPS, Adjusted SG&amp;A, and Adjusted SG&amp;A Percent of Net Revenue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pacing w:after="0" w:line="210" w:lineRule="exact"/>
        <w:rPr>
          <w:sz w:val="20"/>
          <w:szCs w:val="20"/>
          <w:color w:val="auto"/>
        </w:rPr>
      </w:pPr>
    </w:p>
    <w:p>
      <w:pPr>
        <w:ind w:right="200"/>
        <w:spacing w:after="0" w:line="281" w:lineRule="auto"/>
        <w:rPr>
          <w:sz w:val="20"/>
          <w:szCs w:val="20"/>
          <w:color w:val="auto"/>
        </w:rPr>
      </w:pP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We define EBITDA as net income (loss), plus interest expense (income), net, income tax provision (benefit) and depreciation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w:t>
      </w:r>
    </w:p>
    <w:p>
      <w:pPr>
        <w:spacing w:after="0" w:line="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b w:val="1"/>
          <w:bCs w:val="1"/>
          <w:i w:val="1"/>
          <w:iCs w:val="1"/>
          <w:color w:val="auto"/>
        </w:rPr>
        <w:t xml:space="preserve">Adjusted Operating Income: </w:t>
      </w:r>
      <w:r>
        <w:rPr>
          <w:rFonts w:ascii="Arial" w:cs="Arial" w:eastAsia="Arial" w:hAnsi="Arial"/>
          <w:sz w:val="18"/>
          <w:szCs w:val="18"/>
          <w:color w:val="auto"/>
        </w:rPr>
        <w:t>We define Adjusted Operating Income as net income (loss), plus interest expense (income), net and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provision (benefit), further adjusted to exclude stock-based compensation expense, (gain) loss on extinguishment of debt, asset impairment, litigation settlement, secondary offering expenses, management realignment expenses, long-term incentive plan expenses, amortization of acquisition intangibles, Enterprise Resource Planning (“ERP”) and Customer Relationship Management (“CRM”) implementation expenses, shareholder activism costs, severance and associate-related costs associated with organizational restructuring and certain other expenses.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Operating Margin: </w:t>
      </w:r>
      <w:r>
        <w:rPr>
          <w:rFonts w:ascii="Arial" w:cs="Arial" w:eastAsia="Arial" w:hAnsi="Arial"/>
          <w:sz w:val="18"/>
          <w:szCs w:val="18"/>
          <w:color w:val="auto"/>
        </w:rPr>
        <w:t>We define Adjusted Operating Margin as Adjusted Operating Income as a percentage of net revenue.</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We define Adjusted EBITDA as net income (loss), plus interest expense (income), net, income tax provision (benefit)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and amortization, further adjusted to exclude stock-based compensation expense, (gain) loss on extinguishment of debt, asset impairment, litigation settlement, secondary offering expenses, management realignment expenses, long-term incentive plan expenses, ERP and CRM implementation expenses, shareholder activism costs, severance and associate-related costs associated with organizational restructuring and certain other expenses.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as Adjusted EBITDA as a percentage of net revenue.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55" w:right="339" w:bottom="1440" w:gutter="0" w:footer="0" w:header="0"/>
        </w:sectPr>
      </w:pPr>
    </w:p>
    <w:bookmarkStart w:id="7" w:name="page8"/>
    <w:bookmarkEnd w:id="7"/>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Adjusted Diluted EPS: </w:t>
      </w:r>
      <w:r>
        <w:rPr>
          <w:rFonts w:ascii="Arial" w:cs="Arial" w:eastAsia="Arial" w:hAnsi="Arial"/>
          <w:sz w:val="18"/>
          <w:szCs w:val="18"/>
          <w:color w:val="auto"/>
        </w:rPr>
        <w:t>We define Adjusted Diluted EPS as diluted earnings (loss) per share, adjusted for the per share impact of stock-based compensation expense, (gain) loss on extinguishment of debt, asset impairment, litigation settlement, secondary offering expenses, management realignment expenses, long-term incentive plan expenses, amortization of debt discounts and deferred financing costs of our term loan borrowings, amortization of the conversion feature and deferred financing costs related to our 2.50% convertible senior notes due on May 15, 2025 ("2025 Notes") when not required under U.S. GAAP to be added back for diluted earnings (loss) per share, derivative fair value adjustments, ERP and CRM implementation expenses, shareholder activism, severance and associate-related costs associated with restructuring and certain other expenses, less the tax effect of these adjustments, including tax expense (benefit) from stock-based compensation.</w:t>
      </w:r>
    </w:p>
    <w:p>
      <w:pPr>
        <w:spacing w:after="0" w:line="23" w:lineRule="exact"/>
        <w:rPr>
          <w:sz w:val="20"/>
          <w:szCs w:val="20"/>
          <w:color w:val="auto"/>
        </w:rPr>
      </w:pPr>
    </w:p>
    <w:p>
      <w:pPr>
        <w:jc w:val="both"/>
        <w:ind w:right="640"/>
        <w:spacing w:after="0" w:line="287" w:lineRule="auto"/>
        <w:rPr>
          <w:sz w:val="20"/>
          <w:szCs w:val="20"/>
          <w:color w:val="auto"/>
        </w:rPr>
      </w:pPr>
      <w:r>
        <w:rPr>
          <w:rFonts w:ascii="Arial" w:cs="Arial" w:eastAsia="Arial" w:hAnsi="Arial"/>
          <w:sz w:val="17"/>
          <w:szCs w:val="17"/>
          <w:b w:val="1"/>
          <w:bCs w:val="1"/>
          <w:i w:val="1"/>
          <w:iCs w:val="1"/>
          <w:color w:val="auto"/>
        </w:rPr>
        <w:t xml:space="preserve">Adjusted SG&amp;A: </w:t>
      </w:r>
      <w:r>
        <w:rPr>
          <w:rFonts w:ascii="Arial" w:cs="Arial" w:eastAsia="Arial" w:hAnsi="Arial"/>
          <w:sz w:val="17"/>
          <w:szCs w:val="17"/>
          <w:color w:val="auto"/>
        </w:rPr>
        <w:t>We define Adjusted SG&amp;A as SG&amp;A adjusted to exclude stock-based compensation expense, litigation settlement,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secondary offering expenses, management realignment expenses, long-term incentive plan expense, ERP and CRM implementation expenses, shareholder activism, severance and employee-related costs associated with restructuring and certain other expenses.</w:t>
      </w:r>
    </w:p>
    <w:p>
      <w:pPr>
        <w:spacing w:after="0" w:line="1" w:lineRule="exact"/>
        <w:rPr>
          <w:sz w:val="20"/>
          <w:szCs w:val="20"/>
          <w:color w:val="auto"/>
        </w:rPr>
      </w:pPr>
    </w:p>
    <w:p>
      <w:pPr>
        <w:ind w:right="120"/>
        <w:spacing w:after="0" w:line="281" w:lineRule="auto"/>
        <w:rPr>
          <w:sz w:val="20"/>
          <w:szCs w:val="20"/>
          <w:color w:val="auto"/>
        </w:rPr>
      </w:pPr>
      <w:r>
        <w:rPr>
          <w:rFonts w:ascii="Arial" w:cs="Arial" w:eastAsia="Arial" w:hAnsi="Arial"/>
          <w:sz w:val="18"/>
          <w:szCs w:val="18"/>
          <w:b w:val="1"/>
          <w:bCs w:val="1"/>
          <w:i w:val="1"/>
          <w:iCs w:val="1"/>
          <w:color w:val="auto"/>
        </w:rPr>
        <w:t xml:space="preserve">Adjusted SG&amp;A Percent of Net Revenue: </w:t>
      </w:r>
      <w:r>
        <w:rPr>
          <w:rFonts w:ascii="Arial" w:cs="Arial" w:eastAsia="Arial" w:hAnsi="Arial"/>
          <w:sz w:val="18"/>
          <w:szCs w:val="18"/>
          <w:color w:val="auto"/>
        </w:rPr>
        <w:t>We define Adjusted SG&amp;A Percent of Net Revenue as Adjusted SG&amp;A as a percentage of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revenue.</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Adjusted Comparable Store Sales Growth: </w:t>
      </w:r>
      <w:r>
        <w:rPr>
          <w:rFonts w:ascii="Arial" w:cs="Arial" w:eastAsia="Arial" w:hAnsi="Arial"/>
          <w:sz w:val="18"/>
          <w:szCs w:val="18"/>
          <w:color w:val="auto"/>
        </w:rPr>
        <w:t>We measure Adjusted Comparable Store Sales Growth as the increase or decrease in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by the comparable store base in any reporting period, compared to sales recorded by the comparable store base in the prior reporting period, which we calculate as follows: (i) sales are recorded at the point of sale (ii) sales are adjusted for managed care insurance collection estimates (iii) stores are added to the calculation during the 13th full fiscal month following the store’s opening; (iv) closed stores are removed from the calculation for time periods that are not comparable; (v) sales from partial months of operation are excluded when stores do not open or close on the first day of the month; and (vi) when applicable, we adjust for the effect of the 53rd week; (vii) in fiscal years following a 53-week fiscal year, there is a one week calendar shift to the comparable prior year period. For the calculation of the adjusted comparable store sales growth in the first quarter of 2026, we compared weeks 1 through 13 in fiscal 2026 against weeks 2 through 14 in fiscal 2025.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w:t>
      </w:r>
    </w:p>
    <w:p>
      <w:pPr>
        <w:spacing w:after="0" w:line="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EBITDA, Adjusted Operating Income, Adjusted Operating Margin, Adjusted EBITDA, Adjusted EBITDA Margin, Adjusted Diluted EPS, Adjusted SG&amp;A, Adjusted SG&amp;A Percent of Net Revenue and Adjusted Comparable Store Sales Growth are not recognized terms under U.S. GAAP and should not be considered as an alternative to net income or income from operations as a measure of financial performance, SG&amp;A, the ratio of SG&amp;A to net revenue as a measure of financial performance, cash flows provided by operating activities as a measure of liquidity, comparable store sales growth as a measure of operating performance,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U.S. GAAP. Because not all companies use identical calculations, the presentations of these measures may not be comparable to other similarly titled measures of other companies and can differ significantly from company to company.</w:t>
      </w:r>
    </w:p>
    <w:p>
      <w:pPr>
        <w:spacing w:after="0" w:line="25"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i w:val="1"/>
          <w:iCs w:val="1"/>
          <w:color w:val="auto"/>
        </w:rPr>
        <w:t>Please see “Reconciliation of Non-GAAP to GAAP Financial Measures” below for reconciliations of non-GAAP financial measures used in this release to their most directly comparable GAAP financial measures.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769"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 except share data</w:t>
            </w:r>
          </w:p>
        </w:tc>
        <w:tc>
          <w:tcPr>
            <w:tcW w:w="360" w:type="dxa"/>
            <w:vAlign w:val="bottom"/>
          </w:tcPr>
          <w:p>
            <w:pPr>
              <w:spacing w:after="0"/>
              <w:rPr>
                <w:sz w:val="17"/>
                <w:szCs w:val="17"/>
                <w:color w:val="auto"/>
              </w:rPr>
            </w:pPr>
          </w:p>
        </w:tc>
        <w:tc>
          <w:tcPr>
            <w:tcW w:w="1980" w:type="dxa"/>
            <w:vAlign w:val="bottom"/>
            <w:gridSpan w:val="2"/>
          </w:tcPr>
          <w:p>
            <w:pPr>
              <w:jc w:val="center"/>
              <w:ind w:right="460"/>
              <w:spacing w:after="0"/>
              <w:rPr>
                <w:sz w:val="20"/>
                <w:szCs w:val="20"/>
                <w:color w:val="auto"/>
              </w:rPr>
            </w:pPr>
            <w:r>
              <w:rPr>
                <w:rFonts w:ascii="Arial" w:cs="Arial" w:eastAsia="Arial" w:hAnsi="Arial"/>
                <w:sz w:val="18"/>
                <w:szCs w:val="18"/>
                <w:color w:val="auto"/>
                <w:w w:val="97"/>
              </w:rPr>
              <w:t>As of</w:t>
            </w:r>
          </w:p>
        </w:tc>
        <w:tc>
          <w:tcPr>
            <w:tcW w:w="240" w:type="dxa"/>
            <w:vAlign w:val="bottom"/>
          </w:tcPr>
          <w:p>
            <w:pPr>
              <w:spacing w:after="0"/>
              <w:rPr>
                <w:sz w:val="17"/>
                <w:szCs w:val="17"/>
                <w:color w:val="auto"/>
              </w:rPr>
            </w:pPr>
          </w:p>
        </w:tc>
        <w:tc>
          <w:tcPr>
            <w:tcW w:w="1740" w:type="dxa"/>
            <w:vAlign w:val="bottom"/>
          </w:tcPr>
          <w:p>
            <w:pPr>
              <w:jc w:val="right"/>
              <w:ind w:right="69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43"/>
        </w:trPr>
        <w:tc>
          <w:tcPr>
            <w:tcW w:w="69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gridSpan w:val="2"/>
          </w:tcPr>
          <w:p>
            <w:pPr>
              <w:jc w:val="center"/>
              <w:ind w:right="460"/>
              <w:spacing w:after="0"/>
              <w:rPr>
                <w:sz w:val="20"/>
                <w:szCs w:val="20"/>
                <w:color w:val="auto"/>
              </w:rPr>
            </w:pPr>
            <w:r>
              <w:rPr>
                <w:rFonts w:ascii="Arial" w:cs="Arial" w:eastAsia="Arial" w:hAnsi="Arial"/>
                <w:sz w:val="18"/>
                <w:szCs w:val="18"/>
                <w:color w:val="auto"/>
                <w:w w:val="98"/>
              </w:rPr>
              <w:t>April 4, 2026</w:t>
            </w:r>
          </w:p>
        </w:tc>
        <w:tc>
          <w:tcPr>
            <w:tcW w:w="240" w:type="dxa"/>
            <w:vAlign w:val="bottom"/>
          </w:tcPr>
          <w:p>
            <w:pPr>
              <w:spacing w:after="0"/>
              <w:rPr>
                <w:sz w:val="21"/>
                <w:szCs w:val="21"/>
                <w:color w:val="auto"/>
              </w:rPr>
            </w:pPr>
          </w:p>
        </w:tc>
        <w:tc>
          <w:tcPr>
            <w:tcW w:w="1740" w:type="dxa"/>
            <w:vAlign w:val="bottom"/>
          </w:tcPr>
          <w:p>
            <w:pPr>
              <w:jc w:val="right"/>
              <w:ind w:right="250"/>
              <w:spacing w:after="0"/>
              <w:rPr>
                <w:sz w:val="20"/>
                <w:szCs w:val="20"/>
                <w:color w:val="auto"/>
              </w:rPr>
            </w:pPr>
            <w:r>
              <w:rPr>
                <w:rFonts w:ascii="Arial" w:cs="Arial" w:eastAsia="Arial" w:hAnsi="Arial"/>
                <w:sz w:val="18"/>
                <w:szCs w:val="18"/>
                <w:color w:val="auto"/>
              </w:rPr>
              <w:t>January 3, 2026</w:t>
            </w: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w:t>
            </w:r>
          </w:p>
        </w:tc>
        <w:tc>
          <w:tcPr>
            <w:tcW w:w="0" w:type="dxa"/>
            <w:vAlign w:val="bottom"/>
          </w:tcPr>
          <w:p>
            <w:pPr>
              <w:spacing w:after="0"/>
              <w:rPr>
                <w:sz w:val="1"/>
                <w:szCs w:val="1"/>
                <w:color w:val="auto"/>
              </w:rPr>
            </w:pPr>
          </w:p>
        </w:tc>
      </w:tr>
      <w:tr>
        <w:trPr>
          <w:trHeight w:val="229"/>
        </w:trPr>
        <w:tc>
          <w:tcPr>
            <w:tcW w:w="692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43,990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57,322</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 net</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89,318</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40,374</w:t>
            </w:r>
          </w:p>
        </w:tc>
        <w:tc>
          <w:tcPr>
            <w:tcW w:w="0" w:type="dxa"/>
            <w:vAlign w:val="bottom"/>
          </w:tcPr>
          <w:p>
            <w:pPr>
              <w:spacing w:after="0"/>
              <w:rPr>
                <w:sz w:val="1"/>
                <w:szCs w:val="1"/>
                <w:color w:val="auto"/>
              </w:rPr>
            </w:pPr>
          </w:p>
        </w:tc>
      </w:tr>
      <w:tr>
        <w:trPr>
          <w:trHeight w:val="223"/>
        </w:trPr>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225,722</w:t>
            </w:r>
          </w:p>
        </w:tc>
        <w:tc>
          <w:tcPr>
            <w:tcW w:w="0" w:type="dxa"/>
            <w:vAlign w:val="bottom"/>
          </w:tcPr>
          <w:p>
            <w:pPr>
              <w:spacing w:after="0"/>
              <w:rPr>
                <w:sz w:val="1"/>
                <w:szCs w:val="1"/>
                <w:color w:val="auto"/>
              </w:rPr>
            </w:pPr>
          </w:p>
        </w:tc>
      </w:tr>
      <w:tr>
        <w:trPr>
          <w:trHeight w:val="148"/>
        </w:trPr>
        <w:tc>
          <w:tcPr>
            <w:tcW w:w="6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342,103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344,619</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700,642</w:t>
            </w:r>
          </w:p>
        </w:tc>
        <w:tc>
          <w:tcPr>
            <w:tcW w:w="0" w:type="dxa"/>
            <w:vAlign w:val="bottom"/>
          </w:tcPr>
          <w:p>
            <w:pPr>
              <w:spacing w:after="0"/>
              <w:rPr>
                <w:sz w:val="1"/>
                <w:szCs w:val="1"/>
                <w:color w:val="auto"/>
              </w:rPr>
            </w:pPr>
          </w:p>
        </w:tc>
      </w:tr>
      <w:tr>
        <w:trPr>
          <w:trHeight w:val="229"/>
        </w:trPr>
        <w:tc>
          <w:tcPr>
            <w:tcW w:w="6920" w:type="dxa"/>
            <w:vAlign w:val="bottom"/>
          </w:tcPr>
          <w:p>
            <w:pPr>
              <w:ind w:left="240"/>
              <w:spacing w:after="0"/>
              <w:rPr>
                <w:sz w:val="20"/>
                <w:szCs w:val="20"/>
                <w:color w:val="auto"/>
              </w:rPr>
            </w:pPr>
            <w:r>
              <w:rPr>
                <w:rFonts w:ascii="Arial" w:cs="Arial" w:eastAsia="Arial" w:hAnsi="Arial"/>
                <w:sz w:val="18"/>
                <w:szCs w:val="18"/>
                <w:color w:val="auto"/>
              </w:rPr>
              <w:t>Trademarks and trade names</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240,547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intangible assets, net</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0" w:type="dxa"/>
            <w:vAlign w:val="bottom"/>
          </w:tcPr>
          <w:p>
            <w:pPr>
              <w:spacing w:after="0"/>
              <w:rPr>
                <w:sz w:val="1"/>
                <w:szCs w:val="1"/>
                <w:color w:val="auto"/>
              </w:rPr>
            </w:pPr>
          </w:p>
        </w:tc>
      </w:tr>
      <w:tr>
        <w:trPr>
          <w:trHeight w:val="230"/>
        </w:trPr>
        <w:tc>
          <w:tcPr>
            <w:tcW w:w="6920" w:type="dxa"/>
            <w:vAlign w:val="bottom"/>
          </w:tcPr>
          <w:p>
            <w:pPr>
              <w:ind w:left="240"/>
              <w:spacing w:after="0"/>
              <w:rPr>
                <w:sz w:val="20"/>
                <w:szCs w:val="20"/>
                <w:color w:val="auto"/>
              </w:rPr>
            </w:pPr>
            <w:r>
              <w:rPr>
                <w:rFonts w:ascii="Arial" w:cs="Arial" w:eastAsia="Arial" w:hAnsi="Arial"/>
                <w:sz w:val="18"/>
                <w:szCs w:val="18"/>
                <w:color w:val="auto"/>
              </w:rPr>
              <w:t>Right of use assets</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397,365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394,896</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69,698</w:t>
            </w:r>
          </w:p>
        </w:tc>
        <w:tc>
          <w:tcPr>
            <w:tcW w:w="0" w:type="dxa"/>
            <w:vAlign w:val="bottom"/>
          </w:tcPr>
          <w:p>
            <w:pPr>
              <w:spacing w:after="0"/>
              <w:rPr>
                <w:sz w:val="1"/>
                <w:szCs w:val="1"/>
                <w:color w:val="auto"/>
              </w:rPr>
            </w:pPr>
          </w:p>
        </w:tc>
      </w:tr>
      <w:tr>
        <w:trPr>
          <w:trHeight w:val="223"/>
        </w:trPr>
        <w:tc>
          <w:tcPr>
            <w:tcW w:w="69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noncurrent assets</w:t>
            </w: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1,759,860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1,757,956</w:t>
            </w:r>
          </w:p>
        </w:tc>
        <w:tc>
          <w:tcPr>
            <w:tcW w:w="0" w:type="dxa"/>
            <w:vAlign w:val="bottom"/>
          </w:tcPr>
          <w:p>
            <w:pPr>
              <w:spacing w:after="0"/>
              <w:rPr>
                <w:sz w:val="1"/>
                <w:szCs w:val="1"/>
                <w:color w:val="auto"/>
              </w:rPr>
            </w:pP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2,020,483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1,983,678</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78,999</w:t>
            </w:r>
          </w:p>
        </w:tc>
        <w:tc>
          <w:tcPr>
            <w:tcW w:w="0" w:type="dxa"/>
            <w:vAlign w:val="bottom"/>
          </w:tcPr>
          <w:p>
            <w:pPr>
              <w:spacing w:after="0"/>
              <w:rPr>
                <w:sz w:val="1"/>
                <w:szCs w:val="1"/>
                <w:color w:val="auto"/>
              </w:rPr>
            </w:pPr>
          </w:p>
        </w:tc>
      </w:tr>
      <w:tr>
        <w:trPr>
          <w:trHeight w:val="230"/>
        </w:trPr>
        <w:tc>
          <w:tcPr>
            <w:tcW w:w="6920" w:type="dxa"/>
            <w:vAlign w:val="bottom"/>
          </w:tcPr>
          <w:p>
            <w:pPr>
              <w:ind w:left="240"/>
              <w:spacing w:after="0"/>
              <w:rPr>
                <w:sz w:val="20"/>
                <w:szCs w:val="20"/>
                <w:color w:val="auto"/>
              </w:rPr>
            </w:pPr>
            <w:r>
              <w:rPr>
                <w:rFonts w:ascii="Arial" w:cs="Arial" w:eastAsia="Arial" w:hAnsi="Arial"/>
                <w:sz w:val="18"/>
                <w:szCs w:val="18"/>
                <w:color w:val="auto"/>
              </w:rPr>
              <w:t>Other payables and accrued expenses</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106,626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109,674</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Unearned revenue</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52,279</w:t>
            </w:r>
          </w:p>
        </w:tc>
        <w:tc>
          <w:tcPr>
            <w:tcW w:w="0" w:type="dxa"/>
            <w:vAlign w:val="bottom"/>
          </w:tcPr>
          <w:p>
            <w:pPr>
              <w:spacing w:after="0"/>
              <w:rPr>
                <w:sz w:val="1"/>
                <w:szCs w:val="1"/>
                <w:color w:val="auto"/>
              </w:rPr>
            </w:pPr>
          </w:p>
        </w:tc>
      </w:tr>
      <w:tr>
        <w:trPr>
          <w:trHeight w:val="230"/>
        </w:trPr>
        <w:tc>
          <w:tcPr>
            <w:tcW w:w="692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66,309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64,560</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w:t>
            </w: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Current operating lease obligations</w:t>
            </w: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90,313</w:t>
            </w:r>
          </w:p>
        </w:tc>
        <w:tc>
          <w:tcPr>
            <w:tcW w:w="0" w:type="dxa"/>
            <w:vAlign w:val="bottom"/>
          </w:tcPr>
          <w:p>
            <w:pPr>
              <w:spacing w:after="0"/>
              <w:rPr>
                <w:sz w:val="1"/>
                <w:szCs w:val="1"/>
                <w:color w:val="auto"/>
              </w:rPr>
            </w:pPr>
          </w:p>
        </w:tc>
      </w:tr>
      <w:tr>
        <w:trPr>
          <w:trHeight w:val="223"/>
        </w:trPr>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412,408</w:t>
            </w:r>
          </w:p>
        </w:tc>
        <w:tc>
          <w:tcPr>
            <w:tcW w:w="0" w:type="dxa"/>
            <w:vAlign w:val="bottom"/>
          </w:tcPr>
          <w:p>
            <w:pPr>
              <w:spacing w:after="0"/>
              <w:rPr>
                <w:sz w:val="1"/>
                <w:szCs w:val="1"/>
                <w:color w:val="auto"/>
              </w:rPr>
            </w:pPr>
          </w:p>
        </w:tc>
      </w:tr>
      <w:tr>
        <w:trPr>
          <w:trHeight w:val="148"/>
        </w:trPr>
        <w:tc>
          <w:tcPr>
            <w:tcW w:w="6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20" w:type="dxa"/>
            <w:vAlign w:val="bottom"/>
          </w:tcPr>
          <w:p>
            <w:pPr>
              <w:ind w:left="220"/>
              <w:spacing w:after="0" w:line="176" w:lineRule="exact"/>
              <w:rPr>
                <w:sz w:val="20"/>
                <w:szCs w:val="20"/>
                <w:color w:val="auto"/>
              </w:rPr>
            </w:pPr>
            <w:r>
              <w:rPr>
                <w:rFonts w:ascii="Arial" w:cs="Arial" w:eastAsia="Arial" w:hAnsi="Arial"/>
                <w:sz w:val="18"/>
                <w:szCs w:val="18"/>
                <w:color w:val="auto"/>
              </w:rPr>
              <w:t>Long-term debt and finance lease obligations, less current portion and debt</w:t>
            </w:r>
          </w:p>
        </w:tc>
        <w:tc>
          <w:tcPr>
            <w:tcW w:w="36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225,246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229,327</w:t>
            </w:r>
          </w:p>
        </w:tc>
        <w:tc>
          <w:tcPr>
            <w:tcW w:w="0" w:type="dxa"/>
            <w:vAlign w:val="bottom"/>
          </w:tcPr>
          <w:p>
            <w:pPr>
              <w:spacing w:after="0"/>
              <w:rPr>
                <w:sz w:val="1"/>
                <w:szCs w:val="1"/>
                <w:color w:val="auto"/>
              </w:rPr>
            </w:pPr>
          </w:p>
        </w:tc>
      </w:tr>
      <w:tr>
        <w:trPr>
          <w:trHeight w:val="243"/>
        </w:trPr>
        <w:tc>
          <w:tcPr>
            <w:tcW w:w="6920" w:type="dxa"/>
            <w:vAlign w:val="bottom"/>
          </w:tcPr>
          <w:p>
            <w:pPr>
              <w:ind w:left="220"/>
              <w:spacing w:after="0"/>
              <w:rPr>
                <w:sz w:val="20"/>
                <w:szCs w:val="20"/>
                <w:color w:val="auto"/>
              </w:rPr>
            </w:pPr>
            <w:r>
              <w:rPr>
                <w:rFonts w:ascii="Arial" w:cs="Arial" w:eastAsia="Arial" w:hAnsi="Arial"/>
                <w:sz w:val="18"/>
                <w:szCs w:val="18"/>
                <w:color w:val="auto"/>
              </w:rPr>
              <w:t>discount</w:t>
            </w:r>
          </w:p>
        </w:tc>
        <w:tc>
          <w:tcPr>
            <w:tcW w:w="360" w:type="dxa"/>
            <w:vAlign w:val="bottom"/>
          </w:tcPr>
          <w:p>
            <w:pPr>
              <w:spacing w:after="0"/>
              <w:rPr>
                <w:sz w:val="21"/>
                <w:szCs w:val="21"/>
                <w:color w:val="auto"/>
              </w:rPr>
            </w:pPr>
          </w:p>
        </w:tc>
        <w:tc>
          <w:tcPr>
            <w:tcW w:w="1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 operating lease obligations</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358,377</w:t>
            </w:r>
          </w:p>
        </w:tc>
        <w:tc>
          <w:tcPr>
            <w:tcW w:w="0" w:type="dxa"/>
            <w:vAlign w:val="bottom"/>
          </w:tcPr>
          <w:p>
            <w:pPr>
              <w:spacing w:after="0"/>
              <w:rPr>
                <w:sz w:val="1"/>
                <w:szCs w:val="1"/>
                <w:color w:val="auto"/>
              </w:rPr>
            </w:pPr>
          </w:p>
        </w:tc>
      </w:tr>
      <w:tr>
        <w:trPr>
          <w:trHeight w:val="230"/>
        </w:trPr>
        <w:tc>
          <w:tcPr>
            <w:tcW w:w="692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22,835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22,517</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0" w:type="dxa"/>
            <w:vAlign w:val="bottom"/>
          </w:tcPr>
          <w:p>
            <w:pPr>
              <w:spacing w:after="0"/>
              <w:rPr>
                <w:sz w:val="1"/>
                <w:szCs w:val="1"/>
                <w:color w:val="auto"/>
              </w:rPr>
            </w:pPr>
          </w:p>
        </w:tc>
      </w:tr>
      <w:tr>
        <w:trPr>
          <w:trHeight w:val="229"/>
        </w:trPr>
        <w:tc>
          <w:tcPr>
            <w:tcW w:w="6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Deferred income taxes, net</w:t>
            </w:r>
          </w:p>
        </w:tc>
        <w:tc>
          <w:tcPr>
            <w:tcW w:w="3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82,572</w:t>
            </w:r>
          </w:p>
        </w:tc>
        <w:tc>
          <w:tcPr>
            <w:tcW w:w="0" w:type="dxa"/>
            <w:vAlign w:val="bottom"/>
          </w:tcPr>
          <w:p>
            <w:pPr>
              <w:spacing w:after="0"/>
              <w:rPr>
                <w:sz w:val="1"/>
                <w:szCs w:val="1"/>
                <w:color w:val="auto"/>
              </w:rPr>
            </w:pPr>
          </w:p>
        </w:tc>
      </w:tr>
      <w:tr>
        <w:trPr>
          <w:trHeight w:val="223"/>
        </w:trPr>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non-current liabilities</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701,737</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20" w:type="dxa"/>
            <w:vAlign w:val="bottom"/>
          </w:tcPr>
          <w:p>
            <w:pPr>
              <w:ind w:left="20"/>
              <w:spacing w:after="0" w:line="176" w:lineRule="exact"/>
              <w:rPr>
                <w:sz w:val="20"/>
                <w:szCs w:val="20"/>
                <w:color w:val="auto"/>
              </w:rPr>
            </w:pPr>
            <w:r>
              <w:rPr>
                <w:rFonts w:ascii="Arial" w:cs="Arial" w:eastAsia="Arial" w:hAnsi="Arial"/>
                <w:sz w:val="18"/>
                <w:szCs w:val="18"/>
                <w:color w:val="auto"/>
              </w:rPr>
              <w:t>Common stock, $0.01 par value; 200,000,000 shares authorized; 87,366,539 and</w:t>
            </w:r>
          </w:p>
        </w:tc>
        <w:tc>
          <w:tcPr>
            <w:tcW w:w="3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920" w:type="dxa"/>
            <w:vAlign w:val="bottom"/>
          </w:tcPr>
          <w:p>
            <w:pPr>
              <w:ind w:left="20"/>
              <w:spacing w:after="0" w:line="176" w:lineRule="exact"/>
              <w:rPr>
                <w:sz w:val="20"/>
                <w:szCs w:val="20"/>
                <w:color w:val="auto"/>
              </w:rPr>
            </w:pPr>
            <w:r>
              <w:rPr>
                <w:rFonts w:ascii="Arial" w:cs="Arial" w:eastAsia="Arial" w:hAnsi="Arial"/>
                <w:sz w:val="18"/>
                <w:szCs w:val="18"/>
                <w:color w:val="auto"/>
              </w:rPr>
              <w:t>86,278,538 shares issued as of April 4, 2026 and January 3, 2026, respectively;</w:t>
            </w:r>
          </w:p>
        </w:tc>
        <w:tc>
          <w:tcPr>
            <w:tcW w:w="3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920" w:type="dxa"/>
            <w:vAlign w:val="bottom"/>
          </w:tcPr>
          <w:p>
            <w:pPr>
              <w:ind w:left="20"/>
              <w:spacing w:after="0" w:line="183" w:lineRule="exact"/>
              <w:rPr>
                <w:sz w:val="20"/>
                <w:szCs w:val="20"/>
                <w:color w:val="auto"/>
              </w:rPr>
            </w:pPr>
            <w:r>
              <w:rPr>
                <w:rFonts w:ascii="Arial" w:cs="Arial" w:eastAsia="Arial" w:hAnsi="Arial"/>
                <w:sz w:val="18"/>
                <w:szCs w:val="18"/>
                <w:color w:val="auto"/>
              </w:rPr>
              <w:t>80,114,673 and 79,416,050 shares outstanding as of April 4, 2026 and January 3,</w:t>
            </w:r>
          </w:p>
        </w:tc>
        <w:tc>
          <w:tcPr>
            <w:tcW w:w="36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35"/>
        </w:trPr>
        <w:tc>
          <w:tcPr>
            <w:tcW w:w="6920" w:type="dxa"/>
            <w:vAlign w:val="bottom"/>
          </w:tcPr>
          <w:p>
            <w:pPr>
              <w:ind w:left="20"/>
              <w:spacing w:after="0"/>
              <w:rPr>
                <w:sz w:val="20"/>
                <w:szCs w:val="20"/>
                <w:color w:val="auto"/>
              </w:rPr>
            </w:pPr>
            <w:r>
              <w:rPr>
                <w:rFonts w:ascii="Arial" w:cs="Arial" w:eastAsia="Arial" w:hAnsi="Arial"/>
                <w:sz w:val="18"/>
                <w:szCs w:val="18"/>
                <w:color w:val="auto"/>
              </w:rPr>
              <w:t>2026, respectively</w:t>
            </w:r>
          </w:p>
        </w:tc>
        <w:tc>
          <w:tcPr>
            <w:tcW w:w="360" w:type="dxa"/>
            <w:vAlign w:val="bottom"/>
          </w:tcPr>
          <w:p>
            <w:pPr>
              <w:spacing w:after="0"/>
              <w:rPr>
                <w:sz w:val="20"/>
                <w:szCs w:val="20"/>
                <w:color w:val="auto"/>
              </w:rPr>
            </w:pPr>
          </w:p>
        </w:tc>
        <w:tc>
          <w:tcPr>
            <w:tcW w:w="1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834,000</w:t>
            </w:r>
          </w:p>
        </w:tc>
        <w:tc>
          <w:tcPr>
            <w:tcW w:w="0" w:type="dxa"/>
            <w:vAlign w:val="bottom"/>
          </w:tcPr>
          <w:p>
            <w:pPr>
              <w:spacing w:after="0"/>
              <w:rPr>
                <w:sz w:val="1"/>
                <w:szCs w:val="1"/>
                <w:color w:val="auto"/>
              </w:rPr>
            </w:pPr>
          </w:p>
        </w:tc>
      </w:tr>
      <w:tr>
        <w:trPr>
          <w:trHeight w:val="230"/>
        </w:trPr>
        <w:tc>
          <w:tcPr>
            <w:tcW w:w="692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255,717</w:t>
            </w:r>
          </w:p>
        </w:tc>
        <w:tc>
          <w:tcPr>
            <w:tcW w:w="0" w:type="dxa"/>
            <w:vAlign w:val="bottom"/>
          </w:tcPr>
          <w:p>
            <w:pPr>
              <w:spacing w:after="0"/>
              <w:rPr>
                <w:sz w:val="1"/>
                <w:szCs w:val="1"/>
                <w:color w:val="auto"/>
              </w:rPr>
            </w:pPr>
          </w:p>
        </w:tc>
      </w:tr>
      <w:tr>
        <w:trPr>
          <w:trHeight w:val="175"/>
        </w:trPr>
        <w:tc>
          <w:tcPr>
            <w:tcW w:w="6920" w:type="dxa"/>
            <w:vAlign w:val="bottom"/>
          </w:tcPr>
          <w:p>
            <w:pPr>
              <w:ind w:left="20"/>
              <w:spacing w:after="0" w:line="176" w:lineRule="exact"/>
              <w:rPr>
                <w:sz w:val="20"/>
                <w:szCs w:val="20"/>
                <w:color w:val="auto"/>
              </w:rPr>
            </w:pPr>
            <w:r>
              <w:rPr>
                <w:rFonts w:ascii="Arial" w:cs="Arial" w:eastAsia="Arial" w:hAnsi="Arial"/>
                <w:sz w:val="18"/>
                <w:szCs w:val="18"/>
                <w:color w:val="auto"/>
              </w:rPr>
              <w:t>Treasury stock, at cost; 7,251,866 and 6,862,488 shares as of April 4, 2026 and</w:t>
            </w:r>
          </w:p>
        </w:tc>
        <w:tc>
          <w:tcPr>
            <w:tcW w:w="36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(231,444)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(220,925)</w:t>
            </w:r>
          </w:p>
        </w:tc>
        <w:tc>
          <w:tcPr>
            <w:tcW w:w="0" w:type="dxa"/>
            <w:vAlign w:val="bottom"/>
          </w:tcPr>
          <w:p>
            <w:pPr>
              <w:spacing w:after="0"/>
              <w:rPr>
                <w:sz w:val="1"/>
                <w:szCs w:val="1"/>
                <w:color w:val="auto"/>
              </w:rPr>
            </w:pPr>
          </w:p>
        </w:tc>
      </w:tr>
      <w:tr>
        <w:trPr>
          <w:trHeight w:val="243"/>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January 3, 2026, respectively</w:t>
            </w:r>
          </w:p>
        </w:tc>
        <w:tc>
          <w:tcPr>
            <w:tcW w:w="3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898,006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869,533</w:t>
            </w: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2,020,483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1,983,678</w:t>
            </w:r>
          </w:p>
        </w:tc>
        <w:tc>
          <w:tcPr>
            <w:tcW w:w="0" w:type="dxa"/>
            <w:vAlign w:val="bottom"/>
          </w:tcPr>
          <w:p>
            <w:pPr>
              <w:spacing w:after="0"/>
              <w:rPr>
                <w:sz w:val="1"/>
                <w:szCs w:val="1"/>
                <w:color w:val="auto"/>
              </w:rPr>
            </w:pPr>
          </w:p>
        </w:tc>
      </w:tr>
      <w:tr>
        <w:trPr>
          <w:trHeight w:val="21"/>
        </w:trPr>
        <w:tc>
          <w:tcPr>
            <w:tcW w:w="6920" w:type="dxa"/>
            <w:vAlign w:val="bottom"/>
            <w:vMerge w:val="restart"/>
          </w:tcPr>
          <w:p>
            <w:pPr>
              <w:ind w:left="5580"/>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6"/>
        </w:trPr>
        <w:tc>
          <w:tcPr>
            <w:tcW w:w="69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(Unaudited)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per share amounts</w:t>
            </w:r>
          </w:p>
        </w:tc>
        <w:tc>
          <w:tcPr>
            <w:tcW w:w="22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April 4, 2026</w:t>
            </w:r>
          </w:p>
        </w:tc>
        <w:tc>
          <w:tcPr>
            <w:tcW w:w="160" w:type="dxa"/>
            <w:vAlign w:val="bottom"/>
          </w:tcPr>
          <w:p>
            <w:pPr>
              <w:spacing w:after="0"/>
              <w:rPr>
                <w:sz w:val="19"/>
                <w:szCs w:val="19"/>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March 29, 2025</w:t>
            </w:r>
          </w:p>
        </w:tc>
        <w:tc>
          <w:tcPr>
            <w:tcW w:w="0" w:type="dxa"/>
            <w:vAlign w:val="bottom"/>
          </w:tcPr>
          <w:p>
            <w:pPr>
              <w:spacing w:after="0"/>
              <w:rPr>
                <w:sz w:val="1"/>
                <w:szCs w:val="1"/>
                <w:color w:val="auto"/>
              </w:rPr>
            </w:pPr>
          </w:p>
        </w:tc>
      </w:tr>
      <w:tr>
        <w:trPr>
          <w:trHeight w:val="210"/>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Net product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439,500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412,765</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sales of services and plans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104,380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97,559</w:t>
            </w:r>
          </w:p>
        </w:tc>
        <w:tc>
          <w:tcPr>
            <w:tcW w:w="0" w:type="dxa"/>
            <w:vAlign w:val="bottom"/>
          </w:tcPr>
          <w:p>
            <w:pPr>
              <w:spacing w:after="0"/>
              <w:rPr>
                <w:sz w:val="1"/>
                <w:szCs w:val="1"/>
                <w:color w:val="auto"/>
              </w:rPr>
            </w:pPr>
          </w:p>
        </w:tc>
      </w:tr>
      <w:tr>
        <w:trPr>
          <w:trHeight w:val="223"/>
        </w:trPr>
        <w:tc>
          <w:tcPr>
            <w:tcW w:w="7820" w:type="dxa"/>
            <w:vAlign w:val="bottom"/>
          </w:tcPr>
          <w:p>
            <w:pPr>
              <w:ind w:left="360"/>
              <w:spacing w:after="0"/>
              <w:rPr>
                <w:sz w:val="20"/>
                <w:szCs w:val="20"/>
                <w:color w:val="auto"/>
              </w:rPr>
            </w:pPr>
            <w:r>
              <w:rPr>
                <w:rFonts w:ascii="Arial" w:cs="Arial" w:eastAsia="Arial" w:hAnsi="Arial"/>
                <w:sz w:val="18"/>
                <w:szCs w:val="18"/>
                <w:color w:val="auto"/>
              </w:rPr>
              <w:t>Total net revenue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543,880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510,324</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Products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126,817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116,914</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Services and plans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92,319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88,276</w:t>
            </w:r>
          </w:p>
        </w:tc>
        <w:tc>
          <w:tcPr>
            <w:tcW w:w="0" w:type="dxa"/>
            <w:vAlign w:val="bottom"/>
          </w:tcPr>
          <w:p>
            <w:pPr>
              <w:spacing w:after="0"/>
              <w:rPr>
                <w:sz w:val="1"/>
                <w:szCs w:val="1"/>
                <w:color w:val="auto"/>
              </w:rPr>
            </w:pPr>
          </w:p>
        </w:tc>
      </w:tr>
      <w:tr>
        <w:trPr>
          <w:trHeight w:val="223"/>
        </w:trPr>
        <w:tc>
          <w:tcPr>
            <w:tcW w:w="7820" w:type="dxa"/>
            <w:vAlign w:val="bottom"/>
          </w:tcPr>
          <w:p>
            <w:pPr>
              <w:ind w:left="360"/>
              <w:spacing w:after="0"/>
              <w:rPr>
                <w:sz w:val="20"/>
                <w:szCs w:val="20"/>
                <w:color w:val="auto"/>
              </w:rPr>
            </w:pPr>
            <w:r>
              <w:rPr>
                <w:rFonts w:ascii="Arial" w:cs="Arial" w:eastAsia="Arial" w:hAnsi="Arial"/>
                <w:sz w:val="18"/>
                <w:szCs w:val="18"/>
                <w:color w:val="auto"/>
              </w:rPr>
              <w:t>Total costs applicable to revenue</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219,136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205,190</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256,092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255,532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22,963</w:t>
            </w:r>
          </w:p>
        </w:tc>
        <w:tc>
          <w:tcPr>
            <w:tcW w:w="0" w:type="dxa"/>
            <w:vAlign w:val="bottom"/>
          </w:tcPr>
          <w:p>
            <w:pPr>
              <w:spacing w:after="0"/>
              <w:rPr>
                <w:sz w:val="1"/>
                <w:szCs w:val="1"/>
                <w:color w:val="auto"/>
              </w:rPr>
            </w:pPr>
          </w:p>
        </w:tc>
      </w:tr>
      <w:tr>
        <w:trPr>
          <w:trHeight w:val="229"/>
        </w:trPr>
        <w:tc>
          <w:tcPr>
            <w:tcW w:w="782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2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279,505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278,997</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26,137</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21,565</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79,655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78,858</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79,259</w:t>
            </w:r>
          </w:p>
        </w:tc>
        <w:tc>
          <w:tcPr>
            <w:tcW w:w="0" w:type="dxa"/>
            <w:vAlign w:val="bottom"/>
          </w:tcPr>
          <w:p>
            <w:pPr>
              <w:spacing w:after="0"/>
              <w:rPr>
                <w:sz w:val="1"/>
                <w:szCs w:val="1"/>
                <w:color w:val="auto"/>
              </w:rPr>
            </w:pPr>
          </w:p>
        </w:tc>
      </w:tr>
      <w:tr>
        <w:trPr>
          <w:trHeight w:val="270"/>
        </w:trPr>
        <w:tc>
          <w:tcPr>
            <w:tcW w:w="7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31,181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14,186</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hedge instruments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Tax provision of unrealized gain on hedge instruments</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8"/>
                <w:szCs w:val="18"/>
                <w:color w:val="auto"/>
              </w:rPr>
              <w:t>7</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7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Three Months Ended</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9"/>
                <w:szCs w:val="19"/>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color w:val="auto"/>
              </w:rPr>
              <w:t>April 4, 2026</w:t>
            </w:r>
          </w:p>
        </w:tc>
        <w:tc>
          <w:tcPr>
            <w:tcW w:w="160" w:type="dxa"/>
            <w:vAlign w:val="bottom"/>
          </w:tcPr>
          <w:p>
            <w:pPr>
              <w:spacing w:after="0"/>
              <w:rPr>
                <w:sz w:val="19"/>
                <w:szCs w:val="19"/>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March 29, 2025</w:t>
            </w:r>
          </w:p>
        </w:tc>
      </w:tr>
      <w:tr>
        <w:trPr>
          <w:trHeight w:val="210"/>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31,181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14,186</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23,442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22,963</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discount and deferred financing costs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Amortization of cloud computing implementation costs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2,157</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impairment</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Deferred income tax expense (benefit)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(5,783)</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Inventory adjustments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4,309</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right of use assets and lease liabilities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(10,922)</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(16,982)</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Deferred and unearned revenue</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10,258</w:t>
            </w:r>
          </w:p>
        </w:tc>
      </w:tr>
      <w:tr>
        <w:trPr>
          <w:trHeight w:val="229"/>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7,149</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32,239</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(20,225)</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for investing activities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(20,225)</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30"/>
        </w:trPr>
        <w:tc>
          <w:tcPr>
            <w:tcW w:w="7860" w:type="dxa"/>
            <w:vAlign w:val="bottom"/>
          </w:tcPr>
          <w:p>
            <w:pPr>
              <w:ind w:left="220"/>
              <w:spacing w:after="0"/>
              <w:rPr>
                <w:sz w:val="20"/>
                <w:szCs w:val="20"/>
                <w:color w:val="auto"/>
              </w:rPr>
            </w:pPr>
            <w:r>
              <w:rPr>
                <w:rFonts w:ascii="Arial" w:cs="Arial" w:eastAsia="Arial" w:hAnsi="Arial"/>
                <w:sz w:val="18"/>
                <w:szCs w:val="18"/>
                <w:color w:val="auto"/>
              </w:rPr>
              <w:t>Repayments on long-term debt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(3,313)</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finance lease obligations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treasury stock</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for financing activities</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beginning of year</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75,237</w:t>
            </w:r>
          </w:p>
        </w:tc>
      </w:tr>
      <w:tr>
        <w:trPr>
          <w:trHeight w:val="248"/>
        </w:trPr>
        <w:tc>
          <w:tcPr>
            <w:tcW w:w="78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Cash, cash equivalents and restricted cash, end of period </w:t>
            </w:r>
            <w:r>
              <w:rPr>
                <w:rFonts w:ascii="Arial" w:cs="Arial" w:eastAsia="Arial" w:hAnsi="Arial"/>
                <w:sz w:val="23"/>
                <w:szCs w:val="23"/>
                <w:color w:val="auto"/>
                <w:vertAlign w:val="superscript"/>
              </w:rPr>
              <w:t>(i)</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81,847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right="20" w:firstLine="8"/>
        <w:spacing w:after="0" w:line="258" w:lineRule="auto"/>
        <w:tabs>
          <w:tab w:leader="none" w:pos="143" w:val="left"/>
        </w:tabs>
        <w:numPr>
          <w:ilvl w:val="0"/>
          <w:numId w:val="8"/>
        </w:numPr>
        <w:rPr>
          <w:rFonts w:ascii="Arial" w:cs="Arial" w:eastAsia="Arial" w:hAnsi="Arial"/>
          <w:sz w:val="12"/>
          <w:szCs w:val="12"/>
          <w:color w:val="auto"/>
        </w:rPr>
      </w:pPr>
      <w:r>
        <w:rPr>
          <w:rFonts w:ascii="Arial" w:cs="Arial" w:eastAsia="Arial" w:hAnsi="Arial"/>
          <w:sz w:val="12"/>
          <w:szCs w:val="12"/>
          <w:color w:val="auto"/>
        </w:rPr>
        <w:t>Cash balance includes restricted cash of $1.7 million and $1.8 million for the three months ended April 4, 2026 and March 29, 2025, respectively, that are not reflected in cash and cash equivalents shown on the Condensed Consolidated Balance Sheets.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7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to GAAP Financial Measures (Unaudited)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700" w:type="dxa"/>
            <w:vAlign w:val="bottom"/>
            <w:gridSpan w:val="2"/>
          </w:tcPr>
          <w:p>
            <w:pPr>
              <w:ind w:left="20"/>
              <w:spacing w:after="0"/>
              <w:rPr>
                <w:sz w:val="20"/>
                <w:szCs w:val="20"/>
                <w:color w:val="auto"/>
              </w:rPr>
            </w:pPr>
            <w:r>
              <w:rPr>
                <w:rFonts w:ascii="Arial" w:cs="Arial" w:eastAsia="Arial" w:hAnsi="Arial"/>
                <w:sz w:val="18"/>
                <w:szCs w:val="18"/>
                <w:b w:val="1"/>
                <w:bCs w:val="1"/>
                <w:color w:val="auto"/>
              </w:rPr>
              <w:t>Reconciliation of Adjusted Operating Income to Net Income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80" w:type="dxa"/>
            <w:vAlign w:val="bottom"/>
            <w:gridSpan w:val="7"/>
            <w:vMerge w:val="restart"/>
          </w:tcPr>
          <w:p>
            <w:pPr>
              <w:jc w:val="right"/>
              <w:ind w:right="9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April 4, 2026</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March 29, 2025</w:t>
            </w:r>
          </w:p>
        </w:tc>
        <w:tc>
          <w:tcPr>
            <w:tcW w:w="0" w:type="dxa"/>
            <w:vAlign w:val="bottom"/>
          </w:tcPr>
          <w:p>
            <w:pPr>
              <w:spacing w:after="0"/>
              <w:rPr>
                <w:sz w:val="1"/>
                <w:szCs w:val="1"/>
                <w:color w:val="auto"/>
              </w:rPr>
            </w:pPr>
          </w:p>
        </w:tc>
      </w:tr>
      <w:tr>
        <w:trPr>
          <w:trHeight w:val="223"/>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31,181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14,186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2,848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4,572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11,210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7,379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7,022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7,029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3"/>
                <w:szCs w:val="23"/>
                <w:color w:val="auto"/>
                <w:vertAlign w:val="superscript"/>
              </w:rPr>
              <w:t>(c)</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(d)</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(e)</w:t>
            </w: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2,658</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5,123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Adjusted Operating Income</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55,460</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41,275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7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76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Net income margin</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5.7 %</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660" w:type="dxa"/>
            <w:vAlign w:val="bottom"/>
          </w:tcPr>
          <w:p>
            <w:pPr>
              <w:ind w:left="100"/>
              <w:spacing w:after="0"/>
              <w:rPr>
                <w:sz w:val="20"/>
                <w:szCs w:val="20"/>
                <w:color w:val="auto"/>
              </w:rPr>
            </w:pPr>
            <w:r>
              <w:rPr>
                <w:rFonts w:ascii="Arial" w:cs="Arial" w:eastAsia="Arial" w:hAnsi="Arial"/>
                <w:sz w:val="18"/>
                <w:szCs w:val="18"/>
                <w:b w:val="1"/>
                <w:bCs w:val="1"/>
                <w:color w:val="auto"/>
              </w:rPr>
              <w:t>Adjusted Operating Margin</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10.2 %</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162"/>
        </w:trPr>
        <w:tc>
          <w:tcPr>
            <w:tcW w:w="40" w:type="dxa"/>
            <w:vAlign w:val="bottom"/>
            <w:shd w:val="clear" w:color="auto" w:fill="CCEEFF"/>
          </w:tcPr>
          <w:p>
            <w:pPr>
              <w:spacing w:after="0"/>
              <w:rPr>
                <w:sz w:val="14"/>
                <w:szCs w:val="14"/>
                <w:color w:val="auto"/>
              </w:rPr>
            </w:pPr>
          </w:p>
        </w:tc>
        <w:tc>
          <w:tcPr>
            <w:tcW w:w="7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00" w:type="dxa"/>
            <w:vAlign w:val="bottom"/>
            <w:gridSpan w:val="2"/>
          </w:tcPr>
          <w:p>
            <w:pPr>
              <w:ind w:left="40"/>
              <w:spacing w:after="0"/>
              <w:rPr>
                <w:sz w:val="20"/>
                <w:szCs w:val="20"/>
                <w:color w:val="auto"/>
              </w:rPr>
            </w:pPr>
            <w:r>
              <w:rPr>
                <w:rFonts w:ascii="Arial" w:cs="Arial" w:eastAsia="Arial" w:hAnsi="Arial"/>
                <w:sz w:val="18"/>
                <w:szCs w:val="18"/>
                <w:i w:val="1"/>
                <w:iCs w:val="1"/>
                <w:color w:val="auto"/>
              </w:rPr>
              <w:t>Note: Percentages reflect line item as a percentage of total net revenue, adjusted for rounding.</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9"/>
        </w:trPr>
        <w:tc>
          <w:tcPr>
            <w:tcW w:w="40" w:type="dxa"/>
            <w:vAlign w:val="bottom"/>
          </w:tcPr>
          <w:p>
            <w:pPr>
              <w:spacing w:after="0"/>
              <w:rPr>
                <w:sz w:val="24"/>
                <w:szCs w:val="24"/>
                <w:color w:val="auto"/>
              </w:rPr>
            </w:pPr>
          </w:p>
        </w:tc>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Reconciliation of EBITDA and Adjusted EBITDA to Net Income</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80" w:type="dxa"/>
            <w:vAlign w:val="bottom"/>
            <w:gridSpan w:val="7"/>
            <w:vMerge w:val="restart"/>
          </w:tcPr>
          <w:p>
            <w:pPr>
              <w:jc w:val="right"/>
              <w:ind w:right="94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6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April 4, 2026</w:t>
            </w: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March 29, 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31,181</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14,186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6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2,848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4,572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11,210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23,442</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6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EBITDA</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68,681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49,100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7,022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6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(d)</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6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(e)</w:t>
            </w: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2,658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78,733</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64,069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 w:type="dxa"/>
            <w:vAlign w:val="bottom"/>
          </w:tcPr>
          <w:p>
            <w:pPr>
              <w:spacing w:after="0"/>
              <w:rPr>
                <w:sz w:val="9"/>
                <w:szCs w:val="9"/>
                <w:color w:val="auto"/>
              </w:rPr>
            </w:pPr>
          </w:p>
        </w:tc>
        <w:tc>
          <w:tcPr>
            <w:tcW w:w="76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6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Net income margin</w:t>
            </w: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7660" w:type="dxa"/>
            <w:vAlign w:val="bottom"/>
          </w:tcPr>
          <w:p>
            <w:pPr>
              <w:ind w:left="140"/>
              <w:spacing w:after="0"/>
              <w:rPr>
                <w:sz w:val="20"/>
                <w:szCs w:val="20"/>
                <w:color w:val="auto"/>
              </w:rPr>
            </w:pPr>
            <w:r>
              <w:rPr>
                <w:rFonts w:ascii="Arial" w:cs="Arial" w:eastAsia="Arial" w:hAnsi="Arial"/>
                <w:sz w:val="18"/>
                <w:szCs w:val="18"/>
                <w:b w:val="1"/>
                <w:bCs w:val="1"/>
                <w:color w:val="auto"/>
              </w:rPr>
              <w:t>Adjusted EBITDA Margin</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14.5 %</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Note: Percentages reflect line item as a percentage of total net revenue, adjusted for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12"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7"/>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Reconciliation of Adjusted Diluted EPS to Diluted EPS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20" w:type="dxa"/>
            <w:vAlign w:val="bottom"/>
            <w:gridSpan w:val="5"/>
            <w:vMerge w:val="restart"/>
          </w:tcPr>
          <w:p>
            <w:pPr>
              <w:jc w:val="right"/>
              <w:ind w:right="67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8"/>
        </w:trPr>
        <w:tc>
          <w:tcPr>
            <w:tcW w:w="8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i w:val="1"/>
                <w:iCs w:val="1"/>
                <w:color w:val="auto"/>
              </w:rPr>
              <w:t>Shares in thousands, except per share amounts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April 4, 2026</w:t>
            </w:r>
          </w:p>
        </w:tc>
        <w:tc>
          <w:tcPr>
            <w:tcW w:w="140" w:type="dxa"/>
            <w:vAlign w:val="bottom"/>
          </w:tcPr>
          <w:p>
            <w:pPr>
              <w:spacing w:after="0"/>
              <w:rPr>
                <w:sz w:val="19"/>
                <w:szCs w:val="19"/>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w w:val="99"/>
              </w:rPr>
              <w:t>March 29, 2025</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3"/>
                <w:szCs w:val="23"/>
                <w:color w:val="auto"/>
                <w:vertAlign w:val="superscript"/>
              </w:rPr>
              <w:t>(b)</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Tax effects </w:t>
            </w:r>
            <w:r>
              <w:rPr>
                <w:rFonts w:ascii="Arial" w:cs="Arial" w:eastAsia="Arial" w:hAnsi="Arial"/>
                <w:sz w:val="23"/>
                <w:szCs w:val="23"/>
                <w:color w:val="auto"/>
                <w:vertAlign w:val="superscript"/>
              </w:rPr>
              <w:t>(f)</w:t>
            </w: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Adjusted Diluted EPS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Weighted average diluted shares outstanding</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79,259</w:t>
            </w:r>
          </w:p>
        </w:tc>
        <w:tc>
          <w:tcPr>
            <w:tcW w:w="0" w:type="dxa"/>
            <w:vAlign w:val="bottom"/>
          </w:tcPr>
          <w:p>
            <w:pPr>
              <w:spacing w:after="0"/>
              <w:rPr>
                <w:sz w:val="1"/>
                <w:szCs w:val="1"/>
                <w:color w:val="auto"/>
              </w:rPr>
            </w:pPr>
          </w:p>
        </w:tc>
      </w:tr>
      <w:tr>
        <w:trPr>
          <w:trHeight w:val="633"/>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Reconciliation of Adjusted SG&amp;A to SG&amp;A</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5"/>
            <w:vMerge w:val="restart"/>
          </w:tcPr>
          <w:p>
            <w:pPr>
              <w:jc w:val="right"/>
              <w:ind w:right="69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8"/>
        </w:trPr>
        <w:tc>
          <w:tcPr>
            <w:tcW w:w="80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April 4, 2026</w:t>
            </w:r>
          </w:p>
        </w:tc>
        <w:tc>
          <w:tcPr>
            <w:tcW w:w="140" w:type="dxa"/>
            <w:vAlign w:val="bottom"/>
          </w:tcPr>
          <w:p>
            <w:pPr>
              <w:spacing w:after="0"/>
              <w:rPr>
                <w:sz w:val="19"/>
                <w:szCs w:val="19"/>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w w:val="99"/>
              </w:rPr>
              <w:t>March 29, 2025</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SG&amp;A</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256,092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255,532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3"/>
                <w:szCs w:val="23"/>
                <w:color w:val="auto"/>
                <w:vertAlign w:val="superscript"/>
              </w:rPr>
              <w:t>(a)</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7,022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7,029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ERP and CRM implementation expenses </w:t>
            </w:r>
            <w:r>
              <w:rPr>
                <w:rFonts w:ascii="Arial" w:cs="Arial" w:eastAsia="Arial" w:hAnsi="Arial"/>
                <w:sz w:val="23"/>
                <w:szCs w:val="23"/>
                <w:color w:val="auto"/>
                <w:vertAlign w:val="superscript"/>
              </w:rPr>
              <w:t>(d)</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(e)</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2,658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Adjusted SG&amp;A</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246,040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241,065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SG&amp;A Percent of Net Revenue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50.1 %</w:t>
            </w:r>
          </w:p>
        </w:tc>
        <w:tc>
          <w:tcPr>
            <w:tcW w:w="0" w:type="dxa"/>
            <w:vAlign w:val="bottom"/>
          </w:tcPr>
          <w:p>
            <w:pPr>
              <w:spacing w:after="0"/>
              <w:rPr>
                <w:sz w:val="1"/>
                <w:szCs w:val="1"/>
                <w:color w:val="auto"/>
              </w:rPr>
            </w:pPr>
          </w:p>
        </w:tc>
      </w:tr>
      <w:tr>
        <w:trPr>
          <w:trHeight w:val="226"/>
        </w:trPr>
        <w:tc>
          <w:tcPr>
            <w:tcW w:w="8020" w:type="dxa"/>
            <w:vAlign w:val="bottom"/>
          </w:tcPr>
          <w:p>
            <w:pPr>
              <w:ind w:left="140"/>
              <w:spacing w:after="0"/>
              <w:rPr>
                <w:sz w:val="20"/>
                <w:szCs w:val="20"/>
                <w:color w:val="auto"/>
              </w:rPr>
            </w:pPr>
            <w:r>
              <w:rPr>
                <w:rFonts w:ascii="Arial" w:cs="Arial" w:eastAsia="Arial" w:hAnsi="Arial"/>
                <w:sz w:val="18"/>
                <w:szCs w:val="18"/>
                <w:b w:val="1"/>
                <w:bCs w:val="1"/>
                <w:color w:val="auto"/>
              </w:rPr>
              <w:t>Adjusted SG&amp;A Percent of Net Revenue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45.2 %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47.2 %</w:t>
            </w:r>
          </w:p>
        </w:tc>
        <w:tc>
          <w:tcPr>
            <w:tcW w:w="0" w:type="dxa"/>
            <w:vAlign w:val="bottom"/>
          </w:tcPr>
          <w:p>
            <w:pPr>
              <w:spacing w:after="0"/>
              <w:rPr>
                <w:sz w:val="1"/>
                <w:szCs w:val="1"/>
                <w:color w:val="auto"/>
              </w:rPr>
            </w:pPr>
          </w:p>
        </w:tc>
      </w:tr>
      <w:tr>
        <w:trPr>
          <w:trHeight w:val="237"/>
        </w:trPr>
        <w:tc>
          <w:tcPr>
            <w:tcW w:w="8020" w:type="dxa"/>
            <w:vAlign w:val="bottom"/>
          </w:tcPr>
          <w:p>
            <w:pPr>
              <w:ind w:left="40"/>
              <w:spacing w:after="0"/>
              <w:rPr>
                <w:sz w:val="20"/>
                <w:szCs w:val="20"/>
                <w:color w:val="auto"/>
              </w:rPr>
            </w:pPr>
            <w:r>
              <w:rPr>
                <w:rFonts w:ascii="Arial" w:cs="Arial" w:eastAsia="Arial" w:hAnsi="Arial"/>
                <w:sz w:val="18"/>
                <w:szCs w:val="18"/>
                <w:i w:val="1"/>
                <w:iCs w:val="1"/>
                <w:color w:val="auto"/>
              </w:rPr>
              <w:t>Note: Percentages reflect line item as a percentage of total net revenue.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right="1160" w:hanging="328"/>
        <w:spacing w:after="0" w:line="27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Non-cash charges related to stock-based compensation programs, which may vary from period to period depending on the timing of awards and performance vesting conditions.</w:t>
      </w:r>
    </w:p>
    <w:p>
      <w:pPr>
        <w:ind w:left="660" w:right="1060" w:hanging="328"/>
        <w:spacing w:after="0" w:line="265"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Reflects write-off related to non-cash impairment charges of long-lived assets, primarily impairment of property, equipment and lease-related assets on closed or underperforming stores.</w:t>
      </w:r>
    </w:p>
    <w:p>
      <w:pPr>
        <w:ind w:left="660" w:right="1220" w:hanging="328"/>
        <w:spacing w:after="0" w:line="264"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Amortization of the increase in carrying values of finite-lived intangible assets resulting from the application of purchase accounting following the acquisition of the Company by affiliates of KKR &amp; Co. Inc.</w:t>
      </w: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Costs related to the Company’s ERP and CRM implementation.</w:t>
      </w:r>
    </w:p>
    <w:p>
      <w:pPr>
        <w:spacing w:after="0" w:line="30" w:lineRule="exact"/>
        <w:rPr>
          <w:rFonts w:ascii="Arial" w:cs="Arial" w:eastAsia="Arial" w:hAnsi="Arial"/>
          <w:sz w:val="16"/>
          <w:szCs w:val="16"/>
          <w:color w:val="auto"/>
        </w:rPr>
      </w:pPr>
    </w:p>
    <w:p>
      <w:pPr>
        <w:ind w:left="660" w:right="780" w:hanging="328"/>
        <w:spacing w:after="0" w:line="257"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Other adjustments include amounts that management believes are not representative of our operating performance (amounts in brackets represent reductions in Adjusted Operating Income, Adjusted Diluted EPS, Adjusted EBITDA and Adjusted SG&amp;A), which are primarily related to shareholder activism costs of $2.1 million for the three months ended March 29, 2025, severance and associate-related costs associated with organizational restructuring of $2.1 million and $2.1 million for the three months ended April 4, 2026 and March 29, 2025, respectively, and other expenses and adjustments.</w:t>
      </w:r>
    </w:p>
    <w:p>
      <w:pPr>
        <w:spacing w:after="0" w:line="1" w:lineRule="exact"/>
        <w:rPr>
          <w:rFonts w:ascii="Arial" w:cs="Arial" w:eastAsia="Arial" w:hAnsi="Arial"/>
          <w:sz w:val="16"/>
          <w:szCs w:val="16"/>
          <w:color w:val="auto"/>
        </w:rPr>
      </w:pPr>
    </w:p>
    <w:p>
      <w:pPr>
        <w:ind w:left="660" w:right="1160" w:hanging="328"/>
        <w:spacing w:after="0" w:line="286" w:lineRule="auto"/>
        <w:tabs>
          <w:tab w:leader="none" w:pos="651"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the income tax effect of the total adjustments at our combined statutory federal and state income tax rates, including tax expense (benefit) from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09"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b w:val="1"/>
          <w:bCs w:val="1"/>
          <w:color w:val="auto"/>
        </w:rPr>
        <w:t>Reconciliation of Adjusted Comparable Store Sales Growth to Total Comparable Store Sales Growth</w:t>
      </w:r>
    </w:p>
    <w:tbl>
      <w:tblPr>
        <w:tblLayout w:type="fixed"/>
        <w:tblInd w:w="0" w:type="dxa"/>
        <w:tblCellMar>
          <w:top w:w="0" w:type="dxa"/>
          <w:left w:w="0" w:type="dxa"/>
          <w:bottom w:w="0" w:type="dxa"/>
          <w:right w:w="0" w:type="dxa"/>
        </w:tblCellMar>
      </w:tblPr>
      <w:tr>
        <w:trPr>
          <w:trHeight w:val="257"/>
        </w:trPr>
        <w:tc>
          <w:tcPr>
            <w:tcW w:w="6340" w:type="dxa"/>
            <w:vAlign w:val="bottom"/>
          </w:tcPr>
          <w:p>
            <w:pPr>
              <w:spacing w:after="0"/>
              <w:rPr>
                <w:sz w:val="22"/>
                <w:szCs w:val="22"/>
                <w:color w:val="auto"/>
              </w:rPr>
            </w:pPr>
          </w:p>
        </w:tc>
        <w:tc>
          <w:tcPr>
            <w:tcW w:w="4900" w:type="dxa"/>
            <w:vAlign w:val="bottom"/>
            <w:tcBorders>
              <w:bottom w:val="single" w:sz="8" w:color="auto"/>
            </w:tcBorders>
            <w:gridSpan w:val="5"/>
          </w:tcPr>
          <w:p>
            <w:pPr>
              <w:ind w:left="1100"/>
              <w:spacing w:after="0" w:line="257" w:lineRule="exact"/>
              <w:rPr>
                <w:sz w:val="20"/>
                <w:szCs w:val="20"/>
                <w:color w:val="auto"/>
              </w:rPr>
            </w:pPr>
            <w:r>
              <w:rPr>
                <w:rFonts w:ascii="Arial" w:cs="Arial" w:eastAsia="Arial" w:hAnsi="Arial"/>
                <w:sz w:val="18"/>
                <w:szCs w:val="18"/>
                <w:color w:val="auto"/>
              </w:rPr>
              <w:t xml:space="preserve">Comparable store sales growth </w:t>
            </w:r>
            <w:r>
              <w:rPr>
                <w:rFonts w:ascii="Arial" w:cs="Arial" w:eastAsia="Arial" w:hAnsi="Arial"/>
                <w:sz w:val="23"/>
                <w:szCs w:val="23"/>
                <w:color w:val="auto"/>
                <w:vertAlign w:val="superscript"/>
              </w:rPr>
              <w:t>(a)</w:t>
            </w:r>
          </w:p>
        </w:tc>
        <w:tc>
          <w:tcPr>
            <w:tcW w:w="0" w:type="dxa"/>
            <w:vAlign w:val="bottom"/>
          </w:tcPr>
          <w:p>
            <w:pPr>
              <w:spacing w:after="0"/>
              <w:rPr>
                <w:sz w:val="1"/>
                <w:szCs w:val="1"/>
                <w:color w:val="auto"/>
              </w:rPr>
            </w:pPr>
          </w:p>
        </w:tc>
      </w:tr>
      <w:tr>
        <w:trPr>
          <w:trHeight w:val="169"/>
        </w:trPr>
        <w:tc>
          <w:tcPr>
            <w:tcW w:w="6340" w:type="dxa"/>
            <w:vAlign w:val="bottom"/>
          </w:tcPr>
          <w:p>
            <w:pPr>
              <w:spacing w:after="0"/>
              <w:rPr>
                <w:sz w:val="14"/>
                <w:szCs w:val="14"/>
                <w:color w:val="auto"/>
              </w:rPr>
            </w:pPr>
          </w:p>
        </w:tc>
        <w:tc>
          <w:tcPr>
            <w:tcW w:w="1680" w:type="dxa"/>
            <w:vAlign w:val="bottom"/>
            <w:gridSpan w:val="2"/>
          </w:tcPr>
          <w:p>
            <w:pPr>
              <w:jc w:val="center"/>
              <w:ind w:right="80"/>
              <w:spacing w:after="0" w:line="169" w:lineRule="exact"/>
              <w:rPr>
                <w:sz w:val="20"/>
                <w:szCs w:val="20"/>
                <w:color w:val="auto"/>
              </w:rPr>
            </w:pPr>
            <w:r>
              <w:rPr>
                <w:rFonts w:ascii="Arial" w:cs="Arial" w:eastAsia="Arial" w:hAnsi="Arial"/>
                <w:sz w:val="18"/>
                <w:szCs w:val="18"/>
                <w:color w:val="auto"/>
              </w:rPr>
              <w:t>Three Months</w:t>
            </w:r>
          </w:p>
        </w:tc>
        <w:tc>
          <w:tcPr>
            <w:tcW w:w="1580" w:type="dxa"/>
            <w:vAlign w:val="bottom"/>
          </w:tcPr>
          <w:p>
            <w:pPr>
              <w:jc w:val="center"/>
              <w:spacing w:after="0" w:line="169" w:lineRule="exact"/>
              <w:rPr>
                <w:sz w:val="20"/>
                <w:szCs w:val="20"/>
                <w:color w:val="auto"/>
              </w:rPr>
            </w:pPr>
            <w:r>
              <w:rPr>
                <w:rFonts w:ascii="Arial" w:cs="Arial" w:eastAsia="Arial" w:hAnsi="Arial"/>
                <w:sz w:val="18"/>
                <w:szCs w:val="18"/>
                <w:color w:val="auto"/>
                <w:w w:val="99"/>
              </w:rPr>
              <w:t>Three Months</w:t>
            </w: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40" w:type="dxa"/>
            <w:vAlign w:val="bottom"/>
          </w:tcPr>
          <w:p>
            <w:pPr>
              <w:spacing w:after="0"/>
              <w:rPr>
                <w:sz w:val="15"/>
                <w:szCs w:val="15"/>
                <w:color w:val="auto"/>
              </w:rPr>
            </w:pPr>
          </w:p>
        </w:tc>
        <w:tc>
          <w:tcPr>
            <w:tcW w:w="168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99"/>
              </w:rPr>
              <w:t>Ended April 4,</w:t>
            </w:r>
          </w:p>
        </w:tc>
        <w:tc>
          <w:tcPr>
            <w:tcW w:w="1580" w:type="dxa"/>
            <w:vAlign w:val="bottom"/>
          </w:tcPr>
          <w:p>
            <w:pPr>
              <w:jc w:val="center"/>
              <w:spacing w:after="0" w:line="176" w:lineRule="exact"/>
              <w:rPr>
                <w:sz w:val="20"/>
                <w:szCs w:val="20"/>
                <w:color w:val="auto"/>
              </w:rPr>
            </w:pPr>
            <w:r>
              <w:rPr>
                <w:rFonts w:ascii="Arial" w:cs="Arial" w:eastAsia="Arial" w:hAnsi="Arial"/>
                <w:sz w:val="18"/>
                <w:szCs w:val="18"/>
                <w:color w:val="auto"/>
              </w:rPr>
              <w:t>Ended March 29,</w:t>
            </w:r>
          </w:p>
        </w:tc>
        <w:tc>
          <w:tcPr>
            <w:tcW w:w="80" w:type="dxa"/>
            <w:vAlign w:val="bottom"/>
          </w:tcPr>
          <w:p>
            <w:pPr>
              <w:spacing w:after="0"/>
              <w:rPr>
                <w:sz w:val="15"/>
                <w:szCs w:val="15"/>
                <w:color w:val="auto"/>
              </w:rPr>
            </w:pPr>
          </w:p>
        </w:tc>
        <w:tc>
          <w:tcPr>
            <w:tcW w:w="1560" w:type="dxa"/>
            <w:vAlign w:val="bottom"/>
            <w:vMerge w:val="restart"/>
          </w:tcPr>
          <w:p>
            <w:pPr>
              <w:ind w:left="160"/>
              <w:spacing w:after="0"/>
              <w:rPr>
                <w:sz w:val="20"/>
                <w:szCs w:val="20"/>
                <w:color w:val="auto"/>
              </w:rPr>
            </w:pPr>
            <w:r>
              <w:rPr>
                <w:rFonts w:ascii="Arial" w:cs="Arial" w:eastAsia="Arial" w:hAnsi="Arial"/>
                <w:sz w:val="18"/>
                <w:szCs w:val="18"/>
                <w:color w:val="auto"/>
              </w:rPr>
              <w:t xml:space="preserve">2026 Outlook </w:t>
            </w:r>
            <w:r>
              <w:rPr>
                <w:rFonts w:ascii="Arial" w:cs="Arial" w:eastAsia="Arial" w:hAnsi="Arial"/>
                <w:sz w:val="23"/>
                <w:szCs w:val="23"/>
                <w:color w:val="auto"/>
                <w:vertAlign w:val="superscript"/>
              </w:rPr>
              <w:t>(b)</w:t>
            </w:r>
          </w:p>
        </w:tc>
        <w:tc>
          <w:tcPr>
            <w:tcW w:w="0" w:type="dxa"/>
            <w:vAlign w:val="bottom"/>
          </w:tcPr>
          <w:p>
            <w:pPr>
              <w:spacing w:after="0"/>
              <w:rPr>
                <w:sz w:val="1"/>
                <w:szCs w:val="1"/>
                <w:color w:val="auto"/>
              </w:rPr>
            </w:pPr>
          </w:p>
        </w:tc>
      </w:tr>
      <w:tr>
        <w:trPr>
          <w:trHeight w:val="243"/>
        </w:trPr>
        <w:tc>
          <w:tcPr>
            <w:tcW w:w="634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2026</w:t>
            </w:r>
          </w:p>
        </w:tc>
        <w:tc>
          <w:tcPr>
            <w:tcW w:w="8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2025</w:t>
            </w:r>
          </w:p>
        </w:tc>
        <w:tc>
          <w:tcPr>
            <w:tcW w:w="8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Owned &amp; Host segment</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140"/>
              <w:spacing w:after="0"/>
              <w:rPr>
                <w:sz w:val="20"/>
                <w:szCs w:val="20"/>
                <w:color w:val="auto"/>
              </w:rPr>
            </w:pPr>
            <w:r>
              <w:rPr>
                <w:rFonts w:ascii="Arial" w:cs="Arial" w:eastAsia="Arial" w:hAnsi="Arial"/>
                <w:sz w:val="18"/>
                <w:szCs w:val="18"/>
                <w:color w:val="auto"/>
              </w:rPr>
              <w:t>America’s Best</w:t>
            </w:r>
          </w:p>
        </w:tc>
        <w:tc>
          <w:tcPr>
            <w:tcW w:w="1600" w:type="dxa"/>
            <w:vAlign w:val="bottom"/>
          </w:tcPr>
          <w:p>
            <w:pPr>
              <w:ind w:left="1100"/>
              <w:spacing w:after="0"/>
              <w:rPr>
                <w:sz w:val="20"/>
                <w:szCs w:val="20"/>
                <w:color w:val="auto"/>
              </w:rPr>
            </w:pPr>
            <w:r>
              <w:rPr>
                <w:rFonts w:ascii="Arial" w:cs="Arial" w:eastAsia="Arial" w:hAnsi="Arial"/>
                <w:sz w:val="18"/>
                <w:szCs w:val="18"/>
                <w:color w:val="auto"/>
              </w:rPr>
              <w:t>4.4 %</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5.9 %</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Eyeglass World</w:t>
            </w:r>
          </w:p>
        </w:tc>
        <w:tc>
          <w:tcPr>
            <w:tcW w:w="16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5.2 %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140"/>
              <w:spacing w:after="0"/>
              <w:rPr>
                <w:sz w:val="20"/>
                <w:szCs w:val="20"/>
                <w:color w:val="auto"/>
              </w:rPr>
            </w:pPr>
            <w:r>
              <w:rPr>
                <w:rFonts w:ascii="Arial" w:cs="Arial" w:eastAsia="Arial" w:hAnsi="Arial"/>
                <w:sz w:val="18"/>
                <w:szCs w:val="18"/>
                <w:color w:val="auto"/>
              </w:rPr>
              <w:t>Military</w:t>
            </w:r>
          </w:p>
        </w:tc>
        <w:tc>
          <w:tcPr>
            <w:tcW w:w="1600" w:type="dxa"/>
            <w:vAlign w:val="bottom"/>
          </w:tcPr>
          <w:p>
            <w:pPr>
              <w:ind w:left="1100"/>
              <w:spacing w:after="0"/>
              <w:rPr>
                <w:sz w:val="20"/>
                <w:szCs w:val="20"/>
                <w:color w:val="auto"/>
              </w:rPr>
            </w:pPr>
            <w:r>
              <w:rPr>
                <w:rFonts w:ascii="Arial" w:cs="Arial" w:eastAsia="Arial" w:hAnsi="Arial"/>
                <w:sz w:val="18"/>
                <w:szCs w:val="18"/>
                <w:color w:val="auto"/>
              </w:rPr>
              <w:t>2.2 %</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Fred Meyer</w:t>
            </w:r>
          </w:p>
        </w:tc>
        <w:tc>
          <w:tcPr>
            <w:tcW w:w="16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4.7 %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comparable store sales growth</w:t>
            </w:r>
          </w:p>
        </w:tc>
        <w:tc>
          <w:tcPr>
            <w:tcW w:w="16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4.4 %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6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2.8% - 5.8%</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Adjustments for effects of: </w:t>
            </w:r>
            <w:r>
              <w:rPr>
                <w:rFonts w:ascii="Arial" w:cs="Arial" w:eastAsia="Arial" w:hAnsi="Arial"/>
                <w:sz w:val="23"/>
                <w:szCs w:val="23"/>
                <w:color w:val="auto"/>
                <w:vertAlign w:val="superscript"/>
              </w:rPr>
              <w:t>(b)</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Unearned &amp; deferred revenue</w:t>
            </w:r>
          </w:p>
        </w:tc>
        <w:tc>
          <w:tcPr>
            <w:tcW w:w="160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0.1 %</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6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Adjusted Comparable Store Sales Growth</w:t>
            </w:r>
          </w:p>
        </w:tc>
        <w:tc>
          <w:tcPr>
            <w:tcW w:w="16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4.5 %</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16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3.0% - 6.0%</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20" w:right="180" w:hanging="250"/>
        <w:spacing w:after="0" w:line="262"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calculate total comparable store sales based on consolidated net revenue excluding the impact of (i) Corporate and other revenue, (ii) sales from stores opened less than 13 months, (iii) stores closed in the periods presented, (iv) sales from partial months of operation when stores do not open or close on the first day of the month and (v) if applicable, the impact of a 53rd week in a fiscal year; (vi) in fiscal years following a 53-week fiscal year, there is a one week calendar shift to the comparable prior-year period. For the calculation of the adjusted comparable store sales growth in the first quarter of 2026, we compared weeks 1 through 13 in fiscal 2026 against weeks 2 through 14 in fiscal 2025. Brand-level comparable store sales growth is calculated based on point of sale revenues consistent with what the CODM reviews, and consistent with reportable segment revenues presented in Note 15. “Segment Reporting” in our Annual Report on Form 10-K for the period ended January 3, 2026.</w:t>
      </w:r>
    </w:p>
    <w:p>
      <w:pPr>
        <w:spacing w:after="0" w:line="65" w:lineRule="exact"/>
        <w:rPr>
          <w:rFonts w:ascii="Arial" w:cs="Arial" w:eastAsia="Arial" w:hAnsi="Arial"/>
          <w:sz w:val="16"/>
          <w:szCs w:val="16"/>
          <w:color w:val="auto"/>
        </w:rPr>
      </w:pPr>
    </w:p>
    <w:p>
      <w:pPr>
        <w:ind w:left="420" w:right="160" w:hanging="250"/>
        <w:spacing w:after="0" w:line="286"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Adjusted Comparable Store Sales Growth includes the effect of deferred and unearned revenue as if such revenues were earned at the point of sale, resulting in the changes from total comparable store sales growth based on consolidated net revenue.</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investor.relations@nationalvision.com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Tamara Gonzalez</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ICR,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Caitlin Churchill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media@nationalvision.com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2026-05-13T05:22:48Z</dcterms:created>
  <dcterms:modified xsi:type="dcterms:W3CDTF">2026-05-13T05:22:48Z</dcterms:modified>
</cp:coreProperties>
</file>