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February 26, 2020</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248" w:lineRule="exact"/>
        <w:rPr>
          <w:sz w:val="24"/>
          <w:szCs w:val="24"/>
          <w:color w:val="auto"/>
        </w:rPr>
      </w:pPr>
    </w:p>
    <w:tbl>
      <w:tblPr>
        <w:tblLayout w:type="fixed"/>
        <w:tblInd w:w="2340" w:type="dxa"/>
        <w:tblCellMar>
          <w:top w:w="0" w:type="dxa"/>
          <w:left w:w="0" w:type="dxa"/>
          <w:bottom w:w="0" w:type="dxa"/>
          <w:right w:w="0" w:type="dxa"/>
        </w:tblCellMar>
      </w:tblPr>
      <w:tr>
        <w:trPr>
          <w:trHeight w:val="210"/>
        </w:trPr>
        <w:tc>
          <w:tcPr>
            <w:tcW w:w="3560" w:type="dxa"/>
            <w:vAlign w:val="bottom"/>
          </w:tcPr>
          <w:p>
            <w:pPr>
              <w:jc w:val="center"/>
              <w:ind w:right="1539"/>
              <w:spacing w:after="0"/>
              <w:rPr>
                <w:sz w:val="20"/>
                <w:szCs w:val="20"/>
                <w:color w:val="auto"/>
              </w:rPr>
            </w:pPr>
            <w:r>
              <w:rPr>
                <w:rFonts w:ascii="Arial" w:cs="Arial" w:eastAsia="Arial" w:hAnsi="Arial"/>
                <w:sz w:val="16"/>
                <w:szCs w:val="16"/>
                <w:b w:val="1"/>
                <w:bCs w:val="1"/>
                <w:color w:val="auto"/>
                <w:w w:val="93"/>
              </w:rPr>
              <w:t>Delaware</w:t>
            </w:r>
          </w:p>
        </w:tc>
        <w:tc>
          <w:tcPr>
            <w:tcW w:w="2820" w:type="dxa"/>
            <w:vAlign w:val="bottom"/>
          </w:tcPr>
          <w:p>
            <w:pPr>
              <w:jc w:val="right"/>
              <w:ind w:right="13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3560" w:type="dxa"/>
            <w:vAlign w:val="bottom"/>
          </w:tcPr>
          <w:p>
            <w:pPr>
              <w:jc w:val="center"/>
              <w:ind w:right="1539"/>
              <w:spacing w:after="0"/>
              <w:rPr>
                <w:sz w:val="20"/>
                <w:szCs w:val="20"/>
                <w:color w:val="auto"/>
              </w:rPr>
            </w:pPr>
            <w:r>
              <w:rPr>
                <w:rFonts w:ascii="Arial" w:cs="Arial" w:eastAsia="Arial" w:hAnsi="Arial"/>
                <w:sz w:val="16"/>
                <w:szCs w:val="16"/>
                <w:color w:val="auto"/>
                <w:w w:val="94"/>
              </w:rPr>
              <w:t>(State or other jurisdiction of</w:t>
            </w:r>
          </w:p>
        </w:tc>
        <w:tc>
          <w:tcPr>
            <w:tcW w:w="2820" w:type="dxa"/>
            <w:vAlign w:val="bottom"/>
          </w:tcPr>
          <w:p>
            <w:pPr>
              <w:jc w:val="center"/>
              <w:ind w:left="1519"/>
              <w:spacing w:after="0"/>
              <w:rPr>
                <w:sz w:val="20"/>
                <w:szCs w:val="20"/>
                <w:color w:val="auto"/>
              </w:rPr>
            </w:pPr>
            <w:r>
              <w:rPr>
                <w:rFonts w:ascii="Arial" w:cs="Arial" w:eastAsia="Arial" w:hAnsi="Arial"/>
                <w:sz w:val="16"/>
                <w:szCs w:val="16"/>
                <w:color w:val="auto"/>
                <w:w w:val="93"/>
              </w:rPr>
              <w:t>(I.R.S. Employer</w:t>
            </w:r>
          </w:p>
        </w:tc>
      </w:tr>
      <w:tr>
        <w:trPr>
          <w:trHeight w:val="206"/>
        </w:trPr>
        <w:tc>
          <w:tcPr>
            <w:tcW w:w="3560" w:type="dxa"/>
            <w:vAlign w:val="bottom"/>
          </w:tcPr>
          <w:p>
            <w:pPr>
              <w:jc w:val="center"/>
              <w:ind w:right="1539"/>
              <w:spacing w:after="0"/>
              <w:rPr>
                <w:sz w:val="20"/>
                <w:szCs w:val="20"/>
                <w:color w:val="auto"/>
              </w:rPr>
            </w:pPr>
            <w:r>
              <w:rPr>
                <w:rFonts w:ascii="Arial" w:cs="Arial" w:eastAsia="Arial" w:hAnsi="Arial"/>
                <w:sz w:val="16"/>
                <w:szCs w:val="16"/>
                <w:color w:val="auto"/>
                <w:w w:val="93"/>
              </w:rPr>
              <w:t>incorporation or organization)</w:t>
            </w:r>
          </w:p>
        </w:tc>
        <w:tc>
          <w:tcPr>
            <w:tcW w:w="2820" w:type="dxa"/>
            <w:vAlign w:val="bottom"/>
          </w:tcPr>
          <w:p>
            <w:pPr>
              <w:jc w:val="center"/>
              <w:ind w:left="1519"/>
              <w:spacing w:after="0"/>
              <w:rPr>
                <w:sz w:val="20"/>
                <w:szCs w:val="20"/>
                <w:color w:val="auto"/>
              </w:rPr>
            </w:pPr>
            <w:r>
              <w:rPr>
                <w:rFonts w:ascii="Arial" w:cs="Arial" w:eastAsia="Arial" w:hAnsi="Arial"/>
                <w:sz w:val="16"/>
                <w:szCs w:val="16"/>
                <w:color w:val="auto"/>
                <w:w w:val="97"/>
              </w:rPr>
              <w:t>Identification No.)</w:t>
            </w:r>
          </w:p>
        </w:tc>
      </w:tr>
      <w:tr>
        <w:trPr>
          <w:trHeight w:val="540"/>
        </w:trPr>
        <w:tc>
          <w:tcPr>
            <w:tcW w:w="3560" w:type="dxa"/>
            <w:vAlign w:val="bottom"/>
          </w:tcPr>
          <w:p>
            <w:pPr>
              <w:jc w:val="center"/>
              <w:ind w:right="1539"/>
              <w:spacing w:after="0"/>
              <w:rPr>
                <w:sz w:val="20"/>
                <w:szCs w:val="20"/>
                <w:color w:val="auto"/>
              </w:rPr>
            </w:pPr>
            <w:r>
              <w:rPr>
                <w:rFonts w:ascii="Arial" w:cs="Arial" w:eastAsia="Arial" w:hAnsi="Arial"/>
                <w:sz w:val="16"/>
                <w:szCs w:val="16"/>
                <w:b w:val="1"/>
                <w:bCs w:val="1"/>
                <w:color w:val="auto"/>
                <w:w w:val="90"/>
              </w:rPr>
              <w:t>2435 Commerce Ave.</w:t>
            </w:r>
          </w:p>
        </w:tc>
        <w:tc>
          <w:tcPr>
            <w:tcW w:w="2820" w:type="dxa"/>
            <w:vAlign w:val="bottom"/>
          </w:tcPr>
          <w:p>
            <w:pPr>
              <w:spacing w:after="0"/>
              <w:rPr>
                <w:sz w:val="24"/>
                <w:szCs w:val="24"/>
                <w:color w:val="auto"/>
              </w:rPr>
            </w:pPr>
          </w:p>
        </w:tc>
      </w:tr>
      <w:tr>
        <w:trPr>
          <w:trHeight w:val="270"/>
        </w:trPr>
        <w:tc>
          <w:tcPr>
            <w:tcW w:w="3560" w:type="dxa"/>
            <w:vAlign w:val="bottom"/>
          </w:tcPr>
          <w:p>
            <w:pPr>
              <w:jc w:val="center"/>
              <w:ind w:right="1539"/>
              <w:spacing w:after="0"/>
              <w:rPr>
                <w:sz w:val="20"/>
                <w:szCs w:val="20"/>
                <w:color w:val="auto"/>
              </w:rPr>
            </w:pPr>
            <w:r>
              <w:rPr>
                <w:rFonts w:ascii="Arial" w:cs="Arial" w:eastAsia="Arial" w:hAnsi="Arial"/>
                <w:sz w:val="16"/>
                <w:szCs w:val="16"/>
                <w:b w:val="1"/>
                <w:bCs w:val="1"/>
                <w:color w:val="auto"/>
                <w:w w:val="90"/>
              </w:rPr>
              <w:t>Building 2200</w:t>
            </w:r>
          </w:p>
        </w:tc>
        <w:tc>
          <w:tcPr>
            <w:tcW w:w="282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70"/>
        </w:trPr>
        <w:tc>
          <w:tcPr>
            <w:tcW w:w="3560" w:type="dxa"/>
            <w:vAlign w:val="bottom"/>
          </w:tcPr>
          <w:p>
            <w:pPr>
              <w:ind w:left="32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2820" w:type="dxa"/>
            <w:vAlign w:val="bottom"/>
          </w:tcPr>
          <w:p>
            <w:pPr>
              <w:jc w:val="center"/>
              <w:ind w:left="1519"/>
              <w:spacing w:after="0"/>
              <w:rPr>
                <w:sz w:val="20"/>
                <w:szCs w:val="20"/>
                <w:color w:val="auto"/>
              </w:rPr>
            </w:pPr>
            <w:r>
              <w:rPr>
                <w:rFonts w:ascii="Arial" w:cs="Arial" w:eastAsia="Arial" w:hAnsi="Arial"/>
                <w:sz w:val="16"/>
                <w:szCs w:val="16"/>
                <w:color w:val="auto"/>
                <w:w w:val="92"/>
              </w:rPr>
              <w:t>(Zip Code)</w:t>
            </w:r>
          </w:p>
        </w:tc>
      </w:tr>
    </w:tbl>
    <w:p>
      <w:pPr>
        <w:spacing w:after="0" w:line="64" w:lineRule="exact"/>
        <w:rPr>
          <w:sz w:val="24"/>
          <w:szCs w:val="24"/>
          <w:color w:val="auto"/>
        </w:rPr>
      </w:pPr>
    </w:p>
    <w:p>
      <w:pPr>
        <w:ind w:left="2020"/>
        <w:spacing w:after="0"/>
        <w:rPr>
          <w:sz w:val="20"/>
          <w:szCs w:val="20"/>
          <w:color w:val="auto"/>
        </w:rPr>
      </w:pPr>
      <w:r>
        <w:rPr>
          <w:rFonts w:ascii="Arial" w:cs="Arial" w:eastAsia="Arial" w:hAnsi="Arial"/>
          <w:sz w:val="16"/>
          <w:szCs w:val="16"/>
          <w:color w:val="auto"/>
        </w:rPr>
        <w:t>(Address of principal executive offices)</w:t>
      </w:r>
    </w:p>
    <w:p>
      <w:pPr>
        <w:spacing w:after="0" w:line="42"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7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378"/>
        </w:trPr>
        <w:tc>
          <w:tcPr>
            <w:tcW w:w="4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2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4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EYE</w:t>
            </w:r>
          </w:p>
        </w:tc>
        <w:tc>
          <w:tcPr>
            <w:tcW w:w="422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2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26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420"/>
          </w:cols>
          <w:pgMar w:left="240" w:top="104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26, 2020, National Vision Holdings, Inc. (“National Vision”) issued a press release announcing it's financial results for the quarter and full fiscal year ended December 28, 2019. As disclosed in the press release, beginning with the first quarter of 2020, National Vision intends to update certain components of its presentation of non-GAAP financial measures. First, the company will begin reporting the new measures, Adjusted Operating Income and Adjusted Operating Margin, as described further in the “Non-GAAP Financial Measures” section of the press release. In addition, consistent with its presentation of Adjusted Operating Income, beginning with the first quarter of fiscal 2020, the company will update its definitions (the “2020 Definitions”) of Adjusted EBITDA, Adjusted Net Income and Adjusted Diluted EPS, so that such measures no longer exclude new store pre-opening expenses and non-cash rent. The fiscal 2020 outlook presented in the press release gives effect to the 2020 Definitions.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updates to the presentation of non-GAAP financial measures, on February 26, 2020, National Vision also made available on the Investor page of its website (www.nationalvision.com) certain supplemental information, including a reconciliation of Non-GAAP to GAAP financial measures utilizing the 2019 definitions (where applicable) and 2020 Definitions for Adjusted Operating Income, Adjusted EBITDA, Adjusted Net Income and Adjusted Diluted EPS for the three-month periods within and the fiscal years ended December 28, 2019 and December 29, 2018.</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Copies of the press release and supplemental non-GAAP information are furnished herewith as Exhibit 99.1 and Exhibit 99.2, respectively, and are incorporated by reference herein.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15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420"/>
          </w:cols>
          <w:pgMar w:left="240" w:top="55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540" w:type="dxa"/>
            <w:vAlign w:val="bottom"/>
          </w:tcPr>
          <w:p>
            <w:pPr>
              <w:ind w:left="220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840" w:type="dxa"/>
            <w:vAlign w:val="bottom"/>
            <w:gridSpan w:val="3"/>
          </w:tcPr>
          <w:p>
            <w:pPr>
              <w:spacing w:after="0"/>
              <w:rPr>
                <w:sz w:val="20"/>
                <w:szCs w:val="20"/>
                <w:color w:val="auto"/>
              </w:rPr>
            </w:pPr>
            <w:r>
              <w:rPr>
                <w:rFonts w:ascii="Arial" w:cs="Arial" w:eastAsia="Arial" w:hAnsi="Arial"/>
                <w:sz w:val="18"/>
                <w:szCs w:val="18"/>
                <w:color w:val="auto"/>
                <w:w w:val="94"/>
              </w:rPr>
              <w:t>Exhibit No.</w:t>
            </w:r>
          </w:p>
        </w:tc>
        <w:tc>
          <w:tcPr>
            <w:tcW w:w="540" w:type="dxa"/>
            <w:vAlign w:val="bottom"/>
          </w:tcPr>
          <w:p>
            <w:pPr>
              <w:spacing w:after="0"/>
              <w:rPr>
                <w:sz w:val="24"/>
                <w:szCs w:val="24"/>
                <w:color w:val="auto"/>
              </w:rPr>
            </w:pPr>
          </w:p>
        </w:tc>
        <w:tc>
          <w:tcPr>
            <w:tcW w:w="9940" w:type="dxa"/>
            <w:vAlign w:val="bottom"/>
            <w:gridSpan w:val="3"/>
          </w:tcPr>
          <w:p>
            <w:pPr>
              <w:ind w:left="560"/>
              <w:spacing w:after="0"/>
              <w:rPr>
                <w:sz w:val="20"/>
                <w:szCs w:val="20"/>
                <w:color w:val="auto"/>
              </w:rPr>
            </w:pPr>
            <w:r>
              <w:rPr>
                <w:rFonts w:ascii="Arial" w:cs="Arial" w:eastAsia="Arial" w:hAnsi="Arial"/>
                <w:sz w:val="18"/>
                <w:szCs w:val="18"/>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940" w:type="dxa"/>
            <w:vAlign w:val="bottom"/>
            <w:gridSpan w:val="3"/>
          </w:tcPr>
          <w:p>
            <w:pPr>
              <w:ind w:left="560"/>
              <w:spacing w:after="0"/>
              <w:rPr>
                <w:sz w:val="20"/>
                <w:szCs w:val="20"/>
                <w:color w:val="auto"/>
              </w:rPr>
            </w:pPr>
            <w:r>
              <w:rPr>
                <w:rFonts w:ascii="Arial" w:cs="Arial" w:eastAsia="Arial" w:hAnsi="Arial"/>
                <w:sz w:val="18"/>
                <w:szCs w:val="18"/>
                <w:color w:val="auto"/>
              </w:rPr>
              <w:t>National Vision Holdings, Inc. Press Release dated February 26, 2020.</w:t>
            </w:r>
          </w:p>
        </w:tc>
      </w:tr>
      <w:tr>
        <w:trPr>
          <w:trHeight w:val="250"/>
        </w:trPr>
        <w:tc>
          <w:tcPr>
            <w:tcW w:w="320" w:type="dxa"/>
            <w:vAlign w:val="bottom"/>
            <w:gridSpan w:val="2"/>
          </w:tcPr>
          <w:p>
            <w:pPr>
              <w:spacing w:after="0"/>
              <w:rPr>
                <w:rFonts w:ascii="Arial" w:cs="Arial" w:eastAsia="Arial" w:hAnsi="Arial"/>
                <w:sz w:val="18"/>
                <w:szCs w:val="18"/>
                <w:color w:val="0000FF"/>
                <w:w w:val="85"/>
              </w:rPr>
            </w:pPr>
            <w:hyperlink w:anchor="page19">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2</w:t>
              </w:r>
            </w:hyperlink>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940" w:type="dxa"/>
            <w:vAlign w:val="bottom"/>
            <w:gridSpan w:val="3"/>
          </w:tcPr>
          <w:p>
            <w:pPr>
              <w:ind w:left="560"/>
              <w:spacing w:after="0"/>
              <w:rPr>
                <w:sz w:val="20"/>
                <w:szCs w:val="20"/>
                <w:color w:val="auto"/>
              </w:rPr>
            </w:pPr>
            <w:r>
              <w:rPr>
                <w:rFonts w:ascii="Arial" w:cs="Arial" w:eastAsia="Arial" w:hAnsi="Arial"/>
                <w:sz w:val="18"/>
                <w:szCs w:val="18"/>
                <w:color w:val="auto"/>
              </w:rPr>
              <w:t>National Vision Holdings, Inc. Non-GAAP Measures Supplemental Tables</w:t>
            </w:r>
          </w:p>
        </w:tc>
      </w:tr>
      <w:tr>
        <w:trPr>
          <w:trHeight w:val="276"/>
        </w:trPr>
        <w:tc>
          <w:tcPr>
            <w:tcW w:w="3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40" w:type="dxa"/>
            <w:vAlign w:val="bottom"/>
            <w:gridSpan w:val="3"/>
          </w:tcPr>
          <w:p>
            <w:pPr>
              <w:ind w:left="560"/>
              <w:spacing w:after="0"/>
              <w:rPr>
                <w:sz w:val="20"/>
                <w:szCs w:val="20"/>
                <w:color w:val="auto"/>
              </w:rPr>
            </w:pPr>
            <w:r>
              <w:rPr>
                <w:rFonts w:ascii="Arial" w:cs="Arial" w:eastAsia="Arial" w:hAnsi="Arial"/>
                <w:sz w:val="18"/>
                <w:szCs w:val="18"/>
                <w:color w:val="auto"/>
                <w:w w:val="90"/>
              </w:rPr>
              <w:t>The cover page of the Company’s Press Release on Form 8-K for the period ended December 28, 2019, formatted in Inline XBRL</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3"/>
              </w:rPr>
              <w:t>104</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40" w:type="dxa"/>
            <w:vAlign w:val="bottom"/>
            <w:gridSpan w:val="3"/>
          </w:tcPr>
          <w:p>
            <w:pPr>
              <w:ind w:left="560"/>
              <w:spacing w:after="0"/>
              <w:rPr>
                <w:sz w:val="20"/>
                <w:szCs w:val="20"/>
                <w:color w:val="auto"/>
              </w:rPr>
            </w:pPr>
            <w:r>
              <w:rPr>
                <w:rFonts w:ascii="Arial" w:cs="Arial" w:eastAsia="Arial" w:hAnsi="Arial"/>
                <w:sz w:val="18"/>
                <w:szCs w:val="18"/>
                <w:color w:val="auto"/>
              </w:rPr>
              <w:t>(included within the Exhibit 101 attachments)</w:t>
            </w:r>
          </w:p>
        </w:tc>
      </w:tr>
    </w:tbl>
    <w:p>
      <w:pPr>
        <w:sectPr>
          <w:pgSz w:w="11900" w:h="16838" w:orient="portrait"/>
          <w:cols w:equalWidth="0" w:num="1">
            <w:col w:w="11320"/>
          </w:cols>
          <w:pgMar w:left="280" w:top="553" w:right="29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3"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320" w:type="dxa"/>
            <w:vAlign w:val="bottom"/>
          </w:tcPr>
          <w:p>
            <w:pPr>
              <w:ind w:left="4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2940" w:type="dxa"/>
            <w:vAlign w:val="bottom"/>
          </w:tcPr>
          <w:p>
            <w:pPr>
              <w:spacing w:after="0"/>
              <w:rPr>
                <w:sz w:val="20"/>
                <w:szCs w:val="20"/>
                <w:color w:val="auto"/>
              </w:rPr>
            </w:pPr>
            <w:r>
              <w:rPr>
                <w:rFonts w:ascii="Arial" w:cs="Arial" w:eastAsia="Arial" w:hAnsi="Arial"/>
                <w:sz w:val="18"/>
                <w:szCs w:val="18"/>
                <w:color w:val="auto"/>
              </w:rPr>
              <w:t>Date: February 26, 2020</w:t>
            </w:r>
          </w:p>
        </w:tc>
        <w:tc>
          <w:tcPr>
            <w:tcW w:w="2560" w:type="dxa"/>
            <w:vAlign w:val="bottom"/>
          </w:tcPr>
          <w:p>
            <w:pPr>
              <w:ind w:left="1200"/>
              <w:spacing w:after="0"/>
              <w:rPr>
                <w:sz w:val="20"/>
                <w:szCs w:val="20"/>
                <w:color w:val="auto"/>
              </w:rPr>
            </w:pPr>
            <w:r>
              <w:rPr>
                <w:rFonts w:ascii="Arial" w:cs="Arial" w:eastAsia="Arial" w:hAnsi="Arial"/>
                <w:sz w:val="18"/>
                <w:szCs w:val="18"/>
                <w:color w:val="auto"/>
              </w:rPr>
              <w:t>By:</w:t>
            </w:r>
          </w:p>
        </w:tc>
        <w:tc>
          <w:tcPr>
            <w:tcW w:w="5320" w:type="dxa"/>
            <w:vAlign w:val="bottom"/>
          </w:tcPr>
          <w:p>
            <w:pPr>
              <w:ind w:left="40"/>
              <w:spacing w:after="0"/>
              <w:rPr>
                <w:sz w:val="20"/>
                <w:szCs w:val="20"/>
                <w:color w:val="auto"/>
              </w:rPr>
            </w:pPr>
            <w:r>
              <w:rPr>
                <w:rFonts w:ascii="Arial" w:cs="Arial" w:eastAsia="Arial" w:hAnsi="Arial"/>
                <w:sz w:val="18"/>
                <w:szCs w:val="18"/>
                <w:color w:val="auto"/>
              </w:rPr>
              <w:t>/s/ Jared Brandman</w:t>
            </w:r>
          </w:p>
        </w:tc>
      </w:tr>
      <w:tr>
        <w:trPr>
          <w:trHeight w:val="27"/>
        </w:trPr>
        <w:tc>
          <w:tcPr>
            <w:tcW w:w="2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p>
        </w:tc>
        <w:tc>
          <w:tcPr>
            <w:tcW w:w="2560" w:type="dxa"/>
            <w:vAlign w:val="bottom"/>
          </w:tcPr>
          <w:p>
            <w:pPr>
              <w:ind w:left="1200"/>
              <w:spacing w:after="0"/>
              <w:rPr>
                <w:sz w:val="20"/>
                <w:szCs w:val="20"/>
                <w:color w:val="auto"/>
              </w:rPr>
            </w:pPr>
            <w:r>
              <w:rPr>
                <w:rFonts w:ascii="Arial" w:cs="Arial" w:eastAsia="Arial" w:hAnsi="Arial"/>
                <w:sz w:val="18"/>
                <w:szCs w:val="18"/>
                <w:color w:val="auto"/>
              </w:rPr>
              <w:t>Name:</w:t>
            </w:r>
          </w:p>
        </w:tc>
        <w:tc>
          <w:tcPr>
            <w:tcW w:w="5320" w:type="dxa"/>
            <w:vAlign w:val="bottom"/>
          </w:tcPr>
          <w:p>
            <w:pPr>
              <w:ind w:left="40"/>
              <w:spacing w:after="0"/>
              <w:rPr>
                <w:sz w:val="20"/>
                <w:szCs w:val="20"/>
                <w:color w:val="auto"/>
              </w:rPr>
            </w:pPr>
            <w:r>
              <w:rPr>
                <w:rFonts w:ascii="Arial" w:cs="Arial" w:eastAsia="Arial" w:hAnsi="Arial"/>
                <w:sz w:val="18"/>
                <w:szCs w:val="18"/>
                <w:color w:val="auto"/>
              </w:rPr>
              <w:t>Jared Brandman</w:t>
            </w:r>
          </w:p>
        </w:tc>
      </w:tr>
      <w:tr>
        <w:trPr>
          <w:trHeight w:val="270"/>
        </w:trPr>
        <w:tc>
          <w:tcPr>
            <w:tcW w:w="2940" w:type="dxa"/>
            <w:vAlign w:val="bottom"/>
          </w:tcPr>
          <w:p>
            <w:pPr>
              <w:spacing w:after="0"/>
              <w:rPr>
                <w:sz w:val="23"/>
                <w:szCs w:val="23"/>
                <w:color w:val="auto"/>
              </w:rPr>
            </w:pPr>
          </w:p>
        </w:tc>
        <w:tc>
          <w:tcPr>
            <w:tcW w:w="2560" w:type="dxa"/>
            <w:vAlign w:val="bottom"/>
          </w:tcPr>
          <w:p>
            <w:pPr>
              <w:ind w:left="1200"/>
              <w:spacing w:after="0"/>
              <w:rPr>
                <w:sz w:val="20"/>
                <w:szCs w:val="20"/>
                <w:color w:val="auto"/>
              </w:rPr>
            </w:pPr>
            <w:r>
              <w:rPr>
                <w:rFonts w:ascii="Arial" w:cs="Arial" w:eastAsia="Arial" w:hAnsi="Arial"/>
                <w:sz w:val="18"/>
                <w:szCs w:val="18"/>
                <w:color w:val="auto"/>
              </w:rPr>
              <w:t>Title:</w:t>
            </w:r>
          </w:p>
        </w:tc>
        <w:tc>
          <w:tcPr>
            <w:tcW w:w="532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320"/>
          </w:cols>
          <w:pgMar w:left="240" w:top="55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1106170" cy="85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06170" cy="85788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Reports Fourth Quarter and Fiscal 2019 Financial Results</w:t>
      </w:r>
    </w:p>
    <w:p>
      <w:pPr>
        <w:spacing w:after="0" w:line="31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 February 26, 2020 -- National Vision Holdings, Inc. (NASDAQ: EYE) (“National Vision” or the “Company”) today reported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fourth quarter and fiscal year ended December 28, 2019 and is providing its outlook for fiscal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 Summary:</w:t>
      </w:r>
    </w:p>
    <w:p>
      <w:pPr>
        <w:spacing w:after="0" w:line="2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12.9% to $401.8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72nd consecutive quarter of positive comparable store sales growth</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of 10.1%; Adjusted Comparable Store Sales Growth of 8.1%</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increased 121.3% to $3.9 million; Adjusted Net Income increased 735.5% to $8.7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increased 37.9% to $39.6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Diluted EPS increased 120.2% to $0.05; Adjusted Diluted EPS increased 692.0% to $0.11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Summary:</w:t>
      </w:r>
    </w:p>
    <w:p>
      <w:pPr>
        <w:spacing w:after="0" w:line="2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12.2% to $1.72 billion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of 6.5%; Adjusted Comparable Store Sales Growth of 6.2%</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increased 38.7% to $32.8 million; Adjusted Net Income increased 27.3% to $66.1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increased 15.1% to $200.7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Diluted EPS increased 34.2% to $0.40; Adjusted Diluted EPS increased 23.2% to $0.81</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Reade Fahs, chief executive officer, stated, “The fourth quarter represented a strong finish to another record year of revenues and profitability for National Vision, with double-digit growth in net revenue and Adjusted EBITDA in 2019. The team delivered our 72nd consecutive quarter of positive comparable store sales growth, demonstrating the consistency of our differentiated business model. Our fourth quarter and 2019 results reinforce our belief that our strong value message continues to resonate with patients and customers. We opened eight stores this quarter and continue to gain share in the attractive optical retail market. Last month, we were pleased to announce that, as we embark on our 30th year of optical partnership with Walmart, we will be operating five new additional Vision Centers. Every day, our 13,000-plus associates, including over 2,000 optometrists practicing in or next to our over 1,100 stores, continue to work hard to make quality eye exams and eyewear more affordable to our patients and customers throughout the United States.”</w:t>
      </w:r>
    </w:p>
    <w:p>
      <w:pPr>
        <w:spacing w:after="0" w:line="32"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i w:val="1"/>
          <w:iCs w:val="1"/>
          <w:color w:val="auto"/>
        </w:rPr>
        <w:t>Adjusted Comparable Store Sales Growth, Adjusted Diluted EPS, Adjusted Operating Income, Adjusted Operating Margin, Adjusted EBITDA, Adjusted EBITDA Margin, Adjusted Net Income and EBITDA are not measures recognized under generally accepted accounting principles (</w:t>
      </w: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w:t>
      </w:r>
      <w:r>
        <w:rPr>
          <w:rFonts w:ascii="Arial" w:cs="Arial" w:eastAsia="Arial" w:hAnsi="Arial"/>
          <w:sz w:val="16"/>
          <w:szCs w:val="16"/>
          <w:i w:val="1"/>
          <w:iCs w:val="1"/>
          <w:color w:val="auto"/>
        </w:rPr>
        <w:t xml:space="preserve">). Please see </w:t>
      </w:r>
      <w:r>
        <w:rPr>
          <w:rFonts w:ascii="Arial" w:cs="Arial" w:eastAsia="Arial" w:hAnsi="Arial"/>
          <w:sz w:val="16"/>
          <w:szCs w:val="16"/>
          <w:color w:val="auto"/>
        </w:rPr>
        <w:t>“</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w:t>
      </w:r>
      <w:r>
        <w:rPr>
          <w:rFonts w:ascii="Arial" w:cs="Arial" w:eastAsia="Arial" w:hAnsi="Arial"/>
          <w:sz w:val="16"/>
          <w:szCs w:val="16"/>
          <w:i w:val="1"/>
          <w:iCs w:val="1"/>
          <w:color w:val="auto"/>
        </w:rPr>
        <w:t>and</w:t>
      </w:r>
      <w:r>
        <w:rPr>
          <w:rFonts w:ascii="Arial" w:cs="Arial" w:eastAsia="Arial" w:hAnsi="Arial"/>
          <w:sz w:val="16"/>
          <w:szCs w:val="16"/>
          <w:color w:val="auto"/>
        </w:rPr>
        <w:t xml:space="preserve"> “</w:t>
      </w:r>
      <w:r>
        <w:rPr>
          <w:rFonts w:ascii="Arial" w:cs="Arial" w:eastAsia="Arial" w:hAnsi="Arial"/>
          <w:sz w:val="16"/>
          <w:szCs w:val="16"/>
          <w:i w:val="1"/>
          <w:iCs w:val="1"/>
          <w:color w:val="auto"/>
        </w:rPr>
        <w:t>Reconciliation of GAAP to Non-GAAP Financial Measures</w:t>
      </w:r>
      <w:r>
        <w:rPr>
          <w:rFonts w:ascii="Arial" w:cs="Arial" w:eastAsia="Arial" w:hAnsi="Arial"/>
          <w:sz w:val="16"/>
          <w:szCs w:val="16"/>
          <w:color w:val="auto"/>
        </w:rPr>
        <w:t xml:space="preserve">” </w:t>
      </w:r>
      <w:r>
        <w:rPr>
          <w:rFonts w:ascii="Arial" w:cs="Arial" w:eastAsia="Arial" w:hAnsi="Arial"/>
          <w:sz w:val="16"/>
          <w:szCs w:val="16"/>
          <w:i w:val="1"/>
          <w:iCs w:val="1"/>
          <w:color w:val="auto"/>
        </w:rPr>
        <w:t>below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 Highlights</w:t>
      </w:r>
    </w:p>
    <w:p>
      <w:pPr>
        <w:spacing w:after="0" w:line="27" w:lineRule="exact"/>
        <w:rPr>
          <w:sz w:val="20"/>
          <w:szCs w:val="20"/>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increased 12.9% to $401.8 million from $355.9 million for the fourth quarter of 2018. Net revenue growth was positively impacted by 1.5% due to the timing of unearned revenue.</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Comparable store sales growth was 10.1% and Adjusted Comparable Store Sales Growth was 8.1% for the fourth quarter of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opened eight new stores, closed two stores and ended the quarter with 1,151 stores.</w:t>
      </w:r>
    </w:p>
    <w:p>
      <w:pPr>
        <w:spacing w:after="0" w:line="9" w:lineRule="exact"/>
        <w:rPr>
          <w:rFonts w:ascii="Arial" w:cs="Arial" w:eastAsia="Arial" w:hAnsi="Arial"/>
          <w:sz w:val="18"/>
          <w:szCs w:val="18"/>
          <w:color w:val="auto"/>
        </w:rPr>
      </w:pPr>
    </w:p>
    <w:p>
      <w:pPr>
        <w:jc w:val="both"/>
        <w:ind w:left="340" w:hanging="332"/>
        <w:spacing w:after="0" w:line="27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Costs applicable to revenue increased 8.1% to $187.5 million from $173.5 million for the fourth quarter of 2018. As a percentage of net revenue, costs applicable to revenue decreased 200 basis points to 46.7% from 48.7% for the fourth quarter of 2018. This decrease, as a percentage of net revenue, was primarily driven by higher eyeglass margin, a higher mix of exam sales and lower growth in optometrist-related costs.</w:t>
      </w:r>
    </w:p>
    <w:p>
      <w:pPr>
        <w:sectPr>
          <w:pgSz w:w="11900" w:h="16838" w:orient="portrait"/>
          <w:cols w:equalWidth="0" w:num="1">
            <w:col w:w="11420"/>
          </w:cols>
          <w:pgMar w:left="240" w:top="1440" w:right="239" w:bottom="1440" w:gutter="0" w:footer="0" w:header="0"/>
        </w:sectPr>
      </w:pPr>
    </w:p>
    <w:bookmarkStart w:id="5" w:name="page6"/>
    <w:bookmarkEnd w:id="5"/>
    <w:p>
      <w:pPr>
        <w:jc w:val="both"/>
        <w:ind w:left="340" w:hanging="332"/>
        <w:spacing w:after="0" w:line="25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Selling, general and administrative expenses (“SG&amp;A”) increased 7.2% to $178.0 million from $166.1 million for the fourth quarter of 2018. As a percentage of net revenue, SG&amp;A decreased 240 basis points to 44.3% from 46.7% for the fourth quarter of 2018. This decrease, as a percentage of net revenue, was driven by lower stock compensation expense and store payroll leverage, partially offset by higher performance-based incentive compensation.</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increased 121.3% to $3.9 million compared to net loss of $18.4 million for the fourth quarter of 2018. Net margin increased to 1.0% compared to (5.2)% for the fourth quarter of 2018. Diluted EPS increased 120.2% to $0.05 compared to diluted loss per share of $0.24 for the fourth quarter of 2018.</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Net Income increased 735.5% to $8.7 million compared to $1.0 million for the fourth quarter of 2018. Adjusted Diluted EPS increased 692.0% to $0.11 compared to $0.01 for the fourth quarter of 2018. The net change in margin on unearned revenue positively impacted year-over-year Adjusted Net Income growth by 298.7%.</w:t>
      </w:r>
    </w:p>
    <w:p>
      <w:pPr>
        <w:spacing w:after="0" w:line="1" w:lineRule="exact"/>
        <w:rPr>
          <w:rFonts w:ascii="Arial" w:cs="Arial" w:eastAsia="Arial" w:hAnsi="Arial"/>
          <w:sz w:val="18"/>
          <w:szCs w:val="18"/>
          <w:color w:val="auto"/>
        </w:rPr>
      </w:pPr>
    </w:p>
    <w:p>
      <w:pPr>
        <w:jc w:val="both"/>
        <w:ind w:left="340" w:hanging="332"/>
        <w:spacing w:after="0" w:line="277"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increased 37.9% to $39.6 million compared to $28.7 million for the fourth quarter of 2018. The net change in margin on unearned revenue benefited year-over-year Adjusted EBITDA growth by 14.6%. Adjusted EBITDA Margin increased 180 basis points to 9.9% from 8.1% for the fourth quarter of 2018, primarily due to higher eyeglass margin, store payroll leverage and the net change in margin on unearned revenue.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Highlights</w:t>
      </w:r>
    </w:p>
    <w:p>
      <w:pPr>
        <w:spacing w:after="0" w:line="27" w:lineRule="exact"/>
        <w:rPr>
          <w:sz w:val="20"/>
          <w:szCs w:val="20"/>
          <w:color w:val="auto"/>
        </w:rPr>
      </w:pP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 increased 12.2% to $1.72 billion from $1.54 billion for fiscal year 2018. Net revenue growth was negatively impacted by 0.1% due to the timing of unearned revenue.</w:t>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Comparable store sales growth was 6.5% and Adjusted Comparable Store Sales Growth was 6.2%.</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opened 75 stores, closed six stores and ended the period with 1,151 stores. Overall, store count grew 6.4% from December 30, 2018 to December 28, 2019.</w:t>
      </w:r>
    </w:p>
    <w:p>
      <w:pPr>
        <w:jc w:val="both"/>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applicable to revenue increased 13.0% to $806.5 million from $713.6 million for fiscal year 2018. As a percentage of net revenue, costs applicable to revenue increased 40 basis points to 46.8% from 46.4% for fiscal year 2018. This increase as a percentage of net revenue was primarily driven by increased net revenue from AC Lens contact lens distribution business growth. Additionally, a higher mix of exam sales and higher eyeglass margin were partially offset by higher optometrist costs.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SG&amp;A increased 8.3% to $744.5 million from $687.5 million for fiscal year 2018. As a percentage of net revenue, SG&amp;A decreased 150 basis points to 43.2% from 44.7% for fiscal year 2018. This decrease as a percentage of net revenue was primarily driven by store payroll leverage, increased net revenue from AC Lens contact lens distribution business growth, and lower stock compensation expense.</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increased 38.7% to $32.8 million compared to net income of $23.7 million for 2018. Net margin increased 40 basis points to 1.9% from 1.5% for 2018. Diluted EPS increased 34.2% to $0.40 compared to $0.30 for 2018.</w:t>
      </w:r>
    </w:p>
    <w:p>
      <w:pPr>
        <w:ind w:left="340" w:right="20" w:hanging="332"/>
        <w:spacing w:after="0" w:line="265"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Net Income increased 27.3% to $66.1 million from $51.9 million for 2018. Adjusted Diluted EPS increased 23.2% to $0.81 compared to $0.66 for 2018. The change in margin on unearned revenue negatively impacted year-over-year Adjusted Net Income growth by 1.3%.</w:t>
      </w:r>
    </w:p>
    <w:p>
      <w:pPr>
        <w:ind w:left="340" w:hanging="332"/>
        <w:spacing w:after="0" w:line="323"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increased 15.1% to $200.7 million compared to $174.4 million for 2018. The net change in margin on unearned revenue negatively impacted year-over-year Adjusted EBITDA growth by 0.5%. Adjusted EBITDA Margin increased 30 basis points to 11.6% from 11.3% for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w:t>
      </w:r>
    </w:p>
    <w:p>
      <w:pPr>
        <w:spacing w:after="0" w:line="27" w:lineRule="exact"/>
        <w:rPr>
          <w:sz w:val="20"/>
          <w:szCs w:val="20"/>
          <w:color w:val="auto"/>
        </w:rPr>
      </w:pP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cash balance was $39.3 million as of December 28, 2019. The Company had $148.0 million in borrowings under its $300.0 million first lien revolving credit facility, exclusive of letters of credit of $5.7 million.</w:t>
      </w: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debt was $569.7 million as of December 28, 2019, consisting of outstanding first lien term loans, first lien revolving credit facility and finance lease obligations.</w:t>
      </w: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October 31, 2019, the Company used cash on hand to make a $25.0 million voluntary prepayment of outstanding principal under the Term Loan of its credit agreement.</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flows from operating activities for 2019 increased to $165.1 million compared to $106.6 million for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for 2019 totaled $101.3 million compared to $104.5 million for 2018.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Outlook</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Beginning with the first quarter of 2020, the Company intends to update certain components of its presentation of non-GAAP financial measures. First, the Company will begin reporting the new measures, Adjusted Operating Income and Adjusted Operating Margin, as described below under “Non-GAAP Financial Measures.” In addition, consistent with its presentation of Adjusted Operating Income, beginning with the first quarter of fiscal 2020, the Company will update its definitions (the “2020 Definitions”) of Adjusted EBITDA, Adjusted Net Income and Adjusted Diluted EPS so that such measures no longer exclude new store pre-opening expenses and non-cash rent. Finally, in the fiscal 2020 outlook below, the Company has included Adjusted Operating Income and Adjusted Diluted EPS in lieu of Adjusted Net Income. See “Non-GAAP Financial Measures” below in this press release for definitions and additional information regarding these measures. In connection with the updates to its presentation of non-GAAP financial measures, on February 26, 2020, the Company made available on the Investor page of its website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 certain supplemental information, including a reconciliation of Non-GAAP to GAAP financial measures</w:t>
      </w:r>
    </w:p>
    <w:p>
      <w:pPr>
        <w:sectPr>
          <w:pgSz w:w="11900" w:h="16838" w:orient="portrait"/>
          <w:cols w:equalWidth="0" w:num="1">
            <w:col w:w="11420"/>
          </w:cols>
          <w:pgMar w:left="240" w:top="557"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utilizing the 2019 Definitions and 2020 Definitions for Adjusted Operating Income, Adjusted EBITDA, Adjusted Net Income and Adjusted Diluted EPS for the three month periods within and the fiscal years ended December 28, 2019 and December 29,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fiscal 2020 outlook information presented below gives effect to the 2020 Definitions and other updates noted above.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providing the following outlook for the 53 weeks ending January 2, 2021. The Company estimates the 53rd week of fiscal 2020 will contribute approximately $35 million to net revenue, with an approximately break-even impact to Adjusted Diluted EPS due to the net change in margin on unearned revenue.</w:t>
      </w:r>
    </w:p>
    <w:p>
      <w:pPr>
        <w:spacing w:after="0" w:line="23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Fiscal 2020 Outlook</w:t>
      </w:r>
    </w:p>
    <w:p>
      <w:pPr>
        <w:spacing w:after="0" w:line="34" w:lineRule="exact"/>
        <w:rPr>
          <w:sz w:val="20"/>
          <w:szCs w:val="20"/>
          <w:color w:val="auto"/>
        </w:rPr>
      </w:pPr>
    </w:p>
    <w:tbl>
      <w:tblPr>
        <w:tblLayout w:type="fixed"/>
        <w:tblInd w:w="1020" w:type="dxa"/>
        <w:tblCellMar>
          <w:top w:w="0" w:type="dxa"/>
          <w:left w:w="0" w:type="dxa"/>
          <w:bottom w:w="0" w:type="dxa"/>
          <w:right w:w="0" w:type="dxa"/>
        </w:tblCellMar>
      </w:tblPr>
      <w:tr>
        <w:trPr>
          <w:trHeight w:val="264"/>
        </w:trPr>
        <w:tc>
          <w:tcPr>
            <w:tcW w:w="50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New Stores</w:t>
            </w:r>
          </w:p>
        </w:tc>
        <w:tc>
          <w:tcPr>
            <w:tcW w:w="5020" w:type="dxa"/>
            <w:vAlign w:val="bottom"/>
            <w:tcBorders>
              <w:top w:val="single" w:sz="8" w:color="auto"/>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 75 New Stores</w:t>
            </w:r>
          </w:p>
        </w:tc>
      </w:tr>
      <w:tr>
        <w:trPr>
          <w:trHeight w:val="270"/>
        </w:trPr>
        <w:tc>
          <w:tcPr>
            <w:tcW w:w="5020" w:type="dxa"/>
            <w:vAlign w:val="bottom"/>
          </w:tcPr>
          <w:p>
            <w:pPr>
              <w:jc w:val="center"/>
              <w:spacing w:after="0" w:line="270" w:lineRule="exact"/>
              <w:rPr>
                <w:sz w:val="20"/>
                <w:szCs w:val="20"/>
                <w:color w:val="auto"/>
              </w:rPr>
            </w:pPr>
            <w:r>
              <w:rPr>
                <w:rFonts w:ascii="Arial" w:cs="Arial" w:eastAsia="Arial" w:hAnsi="Arial"/>
                <w:sz w:val="18"/>
                <w:szCs w:val="18"/>
                <w:color w:val="auto"/>
                <w:w w:val="89"/>
              </w:rPr>
              <w:t>Adjusted Comparable Store Sales Growth</w:t>
            </w:r>
            <w:r>
              <w:rPr>
                <w:rFonts w:ascii="Arial" w:cs="Arial" w:eastAsia="Arial" w:hAnsi="Arial"/>
                <w:sz w:val="25"/>
                <w:szCs w:val="25"/>
                <w:color w:val="auto"/>
                <w:w w:val="89"/>
                <w:vertAlign w:val="superscript"/>
              </w:rPr>
              <w:t>1</w:t>
            </w:r>
          </w:p>
        </w:tc>
        <w:tc>
          <w:tcPr>
            <w:tcW w:w="2180" w:type="dxa"/>
            <w:vAlign w:val="bottom"/>
          </w:tcPr>
          <w:p>
            <w:pPr>
              <w:spacing w:after="0"/>
              <w:rPr>
                <w:sz w:val="23"/>
                <w:szCs w:val="23"/>
                <w:color w:val="auto"/>
              </w:rPr>
            </w:pPr>
          </w:p>
        </w:tc>
        <w:tc>
          <w:tcPr>
            <w:tcW w:w="2840" w:type="dxa"/>
            <w:vAlign w:val="bottom"/>
          </w:tcPr>
          <w:p>
            <w:pPr>
              <w:jc w:val="center"/>
              <w:ind w:right="2070"/>
              <w:spacing w:after="0"/>
              <w:rPr>
                <w:sz w:val="20"/>
                <w:szCs w:val="20"/>
                <w:color w:val="auto"/>
              </w:rPr>
            </w:pPr>
            <w:r>
              <w:rPr>
                <w:rFonts w:ascii="Arial" w:cs="Arial" w:eastAsia="Arial" w:hAnsi="Arial"/>
                <w:sz w:val="18"/>
                <w:szCs w:val="18"/>
                <w:color w:val="auto"/>
                <w:w w:val="92"/>
              </w:rPr>
              <w:t>3 - 5%</w:t>
            </w:r>
          </w:p>
        </w:tc>
      </w:tr>
      <w:tr>
        <w:trPr>
          <w:trHeight w:val="250"/>
        </w:trPr>
        <w:tc>
          <w:tcPr>
            <w:tcW w:w="5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Net Revenue</w:t>
            </w:r>
          </w:p>
        </w:tc>
        <w:tc>
          <w:tcPr>
            <w:tcW w:w="50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$1.875 - $1.905 billion</w:t>
            </w:r>
          </w:p>
        </w:tc>
      </w:tr>
      <w:tr>
        <w:trPr>
          <w:trHeight w:val="270"/>
        </w:trPr>
        <w:tc>
          <w:tcPr>
            <w:tcW w:w="5020" w:type="dxa"/>
            <w:vAlign w:val="bottom"/>
          </w:tcPr>
          <w:p>
            <w:pPr>
              <w:jc w:val="center"/>
              <w:spacing w:after="0" w:line="270" w:lineRule="exact"/>
              <w:rPr>
                <w:sz w:val="20"/>
                <w:szCs w:val="20"/>
                <w:color w:val="auto"/>
              </w:rPr>
            </w:pPr>
            <w:r>
              <w:rPr>
                <w:rFonts w:ascii="Arial" w:cs="Arial" w:eastAsia="Arial" w:hAnsi="Arial"/>
                <w:sz w:val="18"/>
                <w:szCs w:val="18"/>
                <w:color w:val="auto"/>
                <w:w w:val="95"/>
              </w:rPr>
              <w:t>Adjusted EBITDA</w:t>
            </w:r>
            <w:r>
              <w:rPr>
                <w:rFonts w:ascii="Arial" w:cs="Arial" w:eastAsia="Arial" w:hAnsi="Arial"/>
                <w:sz w:val="25"/>
                <w:szCs w:val="25"/>
                <w:color w:val="auto"/>
                <w:w w:val="95"/>
                <w:vertAlign w:val="superscript"/>
              </w:rPr>
              <w:t>2</w:t>
            </w:r>
          </w:p>
        </w:tc>
        <w:tc>
          <w:tcPr>
            <w:tcW w:w="2180" w:type="dxa"/>
            <w:vAlign w:val="bottom"/>
          </w:tcPr>
          <w:p>
            <w:pPr>
              <w:jc w:val="right"/>
              <w:spacing w:after="0"/>
              <w:rPr>
                <w:sz w:val="20"/>
                <w:szCs w:val="20"/>
                <w:color w:val="auto"/>
              </w:rPr>
            </w:pPr>
            <w:r>
              <w:rPr>
                <w:rFonts w:ascii="Arial" w:cs="Arial" w:eastAsia="Arial" w:hAnsi="Arial"/>
                <w:sz w:val="18"/>
                <w:szCs w:val="18"/>
                <w:color w:val="auto"/>
              </w:rPr>
              <w:t>$210</w:t>
            </w:r>
          </w:p>
        </w:tc>
        <w:tc>
          <w:tcPr>
            <w:tcW w:w="2840" w:type="dxa"/>
            <w:vAlign w:val="bottom"/>
          </w:tcPr>
          <w:p>
            <w:pPr>
              <w:ind w:left="20"/>
              <w:spacing w:after="0"/>
              <w:rPr>
                <w:sz w:val="20"/>
                <w:szCs w:val="20"/>
                <w:color w:val="auto"/>
              </w:rPr>
            </w:pPr>
            <w:r>
              <w:rPr>
                <w:rFonts w:ascii="Arial" w:cs="Arial" w:eastAsia="Arial" w:hAnsi="Arial"/>
                <w:sz w:val="18"/>
                <w:szCs w:val="18"/>
                <w:color w:val="auto"/>
              </w:rPr>
              <w:t>- $215 million</w:t>
            </w:r>
          </w:p>
        </w:tc>
      </w:tr>
      <w:tr>
        <w:trPr>
          <w:trHeight w:val="250"/>
        </w:trPr>
        <w:tc>
          <w:tcPr>
            <w:tcW w:w="5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Adjusted Operating Income</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$125 million</w:t>
            </w:r>
          </w:p>
        </w:tc>
      </w:tr>
      <w:tr>
        <w:trPr>
          <w:trHeight w:val="243"/>
        </w:trPr>
        <w:tc>
          <w:tcPr>
            <w:tcW w:w="5020" w:type="dxa"/>
            <w:vAlign w:val="bottom"/>
          </w:tcPr>
          <w:p>
            <w:pPr>
              <w:jc w:val="center"/>
              <w:spacing w:after="0"/>
              <w:rPr>
                <w:sz w:val="20"/>
                <w:szCs w:val="20"/>
                <w:color w:val="auto"/>
              </w:rPr>
            </w:pPr>
            <w:r>
              <w:rPr>
                <w:rFonts w:ascii="Arial" w:cs="Arial" w:eastAsia="Arial" w:hAnsi="Arial"/>
                <w:sz w:val="18"/>
                <w:szCs w:val="18"/>
                <w:color w:val="auto"/>
                <w:w w:val="91"/>
              </w:rPr>
              <w:t>Adjusted Diluted EPS</w:t>
            </w:r>
          </w:p>
        </w:tc>
        <w:tc>
          <w:tcPr>
            <w:tcW w:w="5020" w:type="dxa"/>
            <w:vAlign w:val="bottom"/>
            <w:gridSpan w:val="2"/>
          </w:tcPr>
          <w:p>
            <w:pPr>
              <w:jc w:val="center"/>
              <w:spacing w:after="0"/>
              <w:rPr>
                <w:sz w:val="20"/>
                <w:szCs w:val="20"/>
                <w:color w:val="auto"/>
              </w:rPr>
            </w:pPr>
            <w:r>
              <w:rPr>
                <w:rFonts w:ascii="Arial" w:cs="Arial" w:eastAsia="Arial" w:hAnsi="Arial"/>
                <w:sz w:val="18"/>
                <w:szCs w:val="18"/>
                <w:color w:val="auto"/>
                <w:w w:val="90"/>
              </w:rPr>
              <w:t>$0.80 - $0.85</w:t>
            </w:r>
          </w:p>
        </w:tc>
      </w:tr>
      <w:tr>
        <w:trPr>
          <w:trHeight w:val="27"/>
        </w:trPr>
        <w:tc>
          <w:tcPr>
            <w:tcW w:w="5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502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91"/>
              </w:rPr>
              <w:t>Depreciation and Amortization</w:t>
            </w:r>
            <w:r>
              <w:rPr>
                <w:rFonts w:ascii="Arial" w:cs="Arial" w:eastAsia="Arial" w:hAnsi="Arial"/>
                <w:sz w:val="25"/>
                <w:szCs w:val="25"/>
                <w:color w:val="auto"/>
                <w:w w:val="91"/>
                <w:vertAlign w:val="superscript"/>
              </w:rPr>
              <w:t>3</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$98 million</w:t>
            </w:r>
          </w:p>
        </w:tc>
      </w:tr>
      <w:tr>
        <w:trPr>
          <w:trHeight w:val="243"/>
        </w:trPr>
        <w:tc>
          <w:tcPr>
            <w:tcW w:w="5020" w:type="dxa"/>
            <w:vAlign w:val="bottom"/>
          </w:tcPr>
          <w:p>
            <w:pPr>
              <w:jc w:val="center"/>
              <w:spacing w:after="0"/>
              <w:rPr>
                <w:sz w:val="20"/>
                <w:szCs w:val="20"/>
                <w:color w:val="auto"/>
              </w:rPr>
            </w:pPr>
            <w:r>
              <w:rPr>
                <w:rFonts w:ascii="Arial" w:cs="Arial" w:eastAsia="Arial" w:hAnsi="Arial"/>
                <w:sz w:val="18"/>
                <w:szCs w:val="18"/>
                <w:color w:val="auto"/>
                <w:w w:val="89"/>
              </w:rPr>
              <w:t>Interest</w:t>
            </w:r>
          </w:p>
        </w:tc>
        <w:tc>
          <w:tcPr>
            <w:tcW w:w="2180" w:type="dxa"/>
            <w:vAlign w:val="bottom"/>
          </w:tcPr>
          <w:p>
            <w:pPr>
              <w:jc w:val="right"/>
              <w:spacing w:after="0"/>
              <w:rPr>
                <w:sz w:val="20"/>
                <w:szCs w:val="20"/>
                <w:color w:val="auto"/>
              </w:rPr>
            </w:pPr>
            <w:r>
              <w:rPr>
                <w:rFonts w:ascii="Arial" w:cs="Arial" w:eastAsia="Arial" w:hAnsi="Arial"/>
                <w:sz w:val="18"/>
                <w:szCs w:val="18"/>
                <w:color w:val="auto"/>
              </w:rPr>
              <w:t>$29</w:t>
            </w:r>
          </w:p>
        </w:tc>
        <w:tc>
          <w:tcPr>
            <w:tcW w:w="2840" w:type="dxa"/>
            <w:vAlign w:val="bottom"/>
          </w:tcPr>
          <w:p>
            <w:pPr>
              <w:ind w:left="20"/>
              <w:spacing w:after="0"/>
              <w:rPr>
                <w:sz w:val="20"/>
                <w:szCs w:val="20"/>
                <w:color w:val="auto"/>
              </w:rPr>
            </w:pPr>
            <w:r>
              <w:rPr>
                <w:rFonts w:ascii="Arial" w:cs="Arial" w:eastAsia="Arial" w:hAnsi="Arial"/>
                <w:sz w:val="18"/>
                <w:szCs w:val="18"/>
                <w:color w:val="auto"/>
              </w:rPr>
              <w:t>- $30 million</w:t>
            </w:r>
          </w:p>
        </w:tc>
      </w:tr>
      <w:tr>
        <w:trPr>
          <w:trHeight w:val="27"/>
        </w:trPr>
        <w:tc>
          <w:tcPr>
            <w:tcW w:w="5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502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85"/>
              </w:rPr>
              <w:t>Tax Rate</w:t>
            </w:r>
            <w:r>
              <w:rPr>
                <w:rFonts w:ascii="Arial" w:cs="Arial" w:eastAsia="Arial" w:hAnsi="Arial"/>
                <w:sz w:val="25"/>
                <w:szCs w:val="25"/>
                <w:color w:val="auto"/>
                <w:w w:val="85"/>
                <w:vertAlign w:val="superscript"/>
              </w:rPr>
              <w:t>4</w:t>
            </w:r>
          </w:p>
        </w:tc>
        <w:tc>
          <w:tcPr>
            <w:tcW w:w="2180" w:type="dxa"/>
            <w:vAlign w:val="bottom"/>
            <w:shd w:val="clear" w:color="auto" w:fill="CCEEFF"/>
          </w:tcPr>
          <w:p>
            <w:pPr>
              <w:spacing w:after="0"/>
              <w:rPr>
                <w:sz w:val="23"/>
                <w:szCs w:val="23"/>
                <w:color w:val="auto"/>
              </w:rPr>
            </w:pPr>
          </w:p>
        </w:tc>
        <w:tc>
          <w:tcPr>
            <w:tcW w:w="2840" w:type="dxa"/>
            <w:vAlign w:val="bottom"/>
            <w:shd w:val="clear" w:color="auto" w:fill="CCEEFF"/>
          </w:tcPr>
          <w:p>
            <w:pPr>
              <w:jc w:val="center"/>
              <w:ind w:right="2090"/>
              <w:spacing w:after="0"/>
              <w:rPr>
                <w:sz w:val="20"/>
                <w:szCs w:val="20"/>
                <w:color w:val="auto"/>
              </w:rPr>
            </w:pPr>
            <w:r>
              <w:rPr>
                <w:rFonts w:ascii="Arial" w:cs="Arial" w:eastAsia="Arial" w:hAnsi="Arial"/>
                <w:sz w:val="18"/>
                <w:szCs w:val="18"/>
                <w:color w:val="auto"/>
                <w:w w:val="94"/>
              </w:rPr>
              <w:t>~26.0%</w:t>
            </w:r>
          </w:p>
        </w:tc>
      </w:tr>
      <w:tr>
        <w:trPr>
          <w:trHeight w:val="243"/>
        </w:trPr>
        <w:tc>
          <w:tcPr>
            <w:tcW w:w="5020" w:type="dxa"/>
            <w:vAlign w:val="bottom"/>
          </w:tcPr>
          <w:p>
            <w:pPr>
              <w:jc w:val="center"/>
              <w:spacing w:after="0"/>
              <w:rPr>
                <w:sz w:val="20"/>
                <w:szCs w:val="20"/>
                <w:color w:val="auto"/>
              </w:rPr>
            </w:pPr>
            <w:r>
              <w:rPr>
                <w:rFonts w:ascii="Arial" w:cs="Arial" w:eastAsia="Arial" w:hAnsi="Arial"/>
                <w:sz w:val="18"/>
                <w:szCs w:val="18"/>
                <w:color w:val="auto"/>
                <w:w w:val="91"/>
              </w:rPr>
              <w:t>Capital Expenditures</w:t>
            </w:r>
          </w:p>
        </w:tc>
        <w:tc>
          <w:tcPr>
            <w:tcW w:w="2180" w:type="dxa"/>
            <w:vAlign w:val="bottom"/>
          </w:tcPr>
          <w:p>
            <w:pPr>
              <w:jc w:val="right"/>
              <w:spacing w:after="0"/>
              <w:rPr>
                <w:sz w:val="20"/>
                <w:szCs w:val="20"/>
                <w:color w:val="auto"/>
              </w:rPr>
            </w:pPr>
            <w:r>
              <w:rPr>
                <w:rFonts w:ascii="Arial" w:cs="Arial" w:eastAsia="Arial" w:hAnsi="Arial"/>
                <w:sz w:val="18"/>
                <w:szCs w:val="18"/>
                <w:color w:val="auto"/>
              </w:rPr>
              <w:t>$100</w:t>
            </w:r>
          </w:p>
        </w:tc>
        <w:tc>
          <w:tcPr>
            <w:tcW w:w="2840" w:type="dxa"/>
            <w:vAlign w:val="bottom"/>
          </w:tcPr>
          <w:p>
            <w:pPr>
              <w:ind w:left="20"/>
              <w:spacing w:after="0"/>
              <w:rPr>
                <w:sz w:val="20"/>
                <w:szCs w:val="20"/>
                <w:color w:val="auto"/>
              </w:rPr>
            </w:pPr>
            <w:r>
              <w:rPr>
                <w:rFonts w:ascii="Arial" w:cs="Arial" w:eastAsia="Arial" w:hAnsi="Arial"/>
                <w:sz w:val="18"/>
                <w:szCs w:val="18"/>
                <w:color w:val="auto"/>
              </w:rPr>
              <w:t>- $105 million</w:t>
            </w:r>
          </w:p>
        </w:tc>
      </w:tr>
    </w:tbl>
    <w:p>
      <w:pPr>
        <w:spacing w:after="0" w:line="346" w:lineRule="exact"/>
        <w:rPr>
          <w:sz w:val="20"/>
          <w:szCs w:val="20"/>
          <w:color w:val="auto"/>
        </w:rPr>
      </w:pPr>
    </w:p>
    <w:p>
      <w:pPr>
        <w:ind w:left="1040"/>
        <w:spacing w:after="0"/>
        <w:rPr>
          <w:sz w:val="20"/>
          <w:szCs w:val="20"/>
          <w:color w:val="auto"/>
        </w:rPr>
      </w:pPr>
      <w:r>
        <w:rPr>
          <w:rFonts w:ascii="Arial" w:cs="Arial" w:eastAsia="Arial" w:hAnsi="Arial"/>
          <w:sz w:val="14"/>
          <w:szCs w:val="14"/>
          <w:i w:val="1"/>
          <w:iCs w:val="1"/>
          <w:color w:val="auto"/>
        </w:rPr>
        <w:t>1 - For the 52 weeks ending December 26, 2020</w:t>
      </w:r>
    </w:p>
    <w:p>
      <w:pPr>
        <w:spacing w:after="0" w:line="96" w:lineRule="exact"/>
        <w:rPr>
          <w:sz w:val="20"/>
          <w:szCs w:val="20"/>
          <w:color w:val="auto"/>
        </w:rPr>
      </w:pPr>
    </w:p>
    <w:p>
      <w:pPr>
        <w:ind w:left="1040" w:right="540"/>
        <w:spacing w:after="0" w:line="256" w:lineRule="auto"/>
        <w:rPr>
          <w:sz w:val="20"/>
          <w:szCs w:val="20"/>
          <w:color w:val="auto"/>
        </w:rPr>
      </w:pPr>
      <w:r>
        <w:rPr>
          <w:rFonts w:ascii="Arial" w:cs="Arial" w:eastAsia="Arial" w:hAnsi="Arial"/>
          <w:sz w:val="13"/>
          <w:szCs w:val="13"/>
          <w:i w:val="1"/>
          <w:iCs w:val="1"/>
          <w:color w:val="auto"/>
        </w:rPr>
        <w:t>2 - As noted above, Adjusted EBITDA using the 2020 Definition is presented and no longer excludes new store pre-opening expense and non-cash rent. In fiscal 2019, new store pre-opening expense and non-cash rent were $3.3 million and $3.2 million, respectively, resulting in 2019 Adjusted EBITDA that would have been $194.1 million if modified to conform to the 2020 Definition of Adjusted EBITDA. Please refer to Exhibit 99.2 in the Company's Form 8-K filing today for supplemental tables providing reconciliations from Adjusted EBITDA to Net Income for the quarterly and fiscal year 2018 and 2019 periods to the 2020 Definition.</w:t>
      </w:r>
    </w:p>
    <w:p>
      <w:pPr>
        <w:spacing w:after="0" w:line="64" w:lineRule="exact"/>
        <w:rPr>
          <w:sz w:val="20"/>
          <w:szCs w:val="20"/>
          <w:color w:val="auto"/>
        </w:rPr>
      </w:pPr>
    </w:p>
    <w:p>
      <w:pPr>
        <w:ind w:left="1040"/>
        <w:spacing w:after="0"/>
        <w:rPr>
          <w:sz w:val="20"/>
          <w:szCs w:val="20"/>
          <w:color w:val="auto"/>
        </w:rPr>
      </w:pPr>
      <w:r>
        <w:rPr>
          <w:rFonts w:ascii="Arial" w:cs="Arial" w:eastAsia="Arial" w:hAnsi="Arial"/>
          <w:sz w:val="14"/>
          <w:szCs w:val="14"/>
          <w:i w:val="1"/>
          <w:iCs w:val="1"/>
          <w:color w:val="auto"/>
        </w:rPr>
        <w:t>3 - Includes amortization of acquisition intangibles of approximately $7.4 million, which is excluded in the definition of Adjusted Operating Income</w:t>
      </w:r>
    </w:p>
    <w:p>
      <w:pPr>
        <w:spacing w:after="0" w:line="42" w:lineRule="exact"/>
        <w:rPr>
          <w:sz w:val="20"/>
          <w:szCs w:val="20"/>
          <w:color w:val="auto"/>
        </w:rPr>
      </w:pPr>
    </w:p>
    <w:p>
      <w:pPr>
        <w:ind w:left="1040"/>
        <w:spacing w:after="0"/>
        <w:rPr>
          <w:sz w:val="20"/>
          <w:szCs w:val="20"/>
          <w:color w:val="auto"/>
        </w:rPr>
      </w:pPr>
      <w:r>
        <w:rPr>
          <w:rFonts w:ascii="Arial" w:cs="Arial" w:eastAsia="Arial" w:hAnsi="Arial"/>
          <w:sz w:val="14"/>
          <w:szCs w:val="14"/>
          <w:i w:val="1"/>
          <w:iCs w:val="1"/>
          <w:color w:val="auto"/>
        </w:rPr>
        <w:t>4 - Excluding the impact of stock option exercises</w:t>
      </w:r>
    </w:p>
    <w:p>
      <w:pPr>
        <w:spacing w:after="0" w:line="200" w:lineRule="exact"/>
        <w:rPr>
          <w:sz w:val="20"/>
          <w:szCs w:val="20"/>
          <w:color w:val="auto"/>
        </w:rPr>
      </w:pPr>
    </w:p>
    <w:p>
      <w:pPr>
        <w:spacing w:after="0" w:line="4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fiscal 2020 outlook information provided above includes Adjusted EBITDA, Adjusted Operating Income and Adjusted Diluted EPS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fiscal 2020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2020 outlook. The Company uses these forward looking measures internally to assess and benchmark its results and strategic plans.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 conference call to discuss the fourth quarter 2019 financial results is scheduled for today, February 26, 2020, at 10:00 a.m. Eastern Time. The U.S. toll free dial-in for the conference call is 866-754-6931 and the international dial-in is 636-812-6625. The conference passcode is 2086485. A live audio webcast of the conference call will be available on the “Investor” section of the Company’s website </w:t>
      </w:r>
      <w:r>
        <w:rPr>
          <w:rFonts w:ascii="Arial" w:cs="Arial" w:eastAsia="Arial" w:hAnsi="Arial"/>
          <w:sz w:val="18"/>
          <w:szCs w:val="18"/>
          <w:u w:val="single" w:color="auto"/>
          <w:color w:val="006EBF"/>
        </w:rPr>
        <w:t>www.nationalvision.com/investors</w:t>
      </w:r>
      <w:r>
        <w:rPr>
          <w:rFonts w:ascii="Arial" w:cs="Arial" w:eastAsia="Arial" w:hAnsi="Arial"/>
          <w:sz w:val="18"/>
          <w:szCs w:val="18"/>
          <w:color w:val="auto"/>
        </w:rPr>
        <w:t>, where presentation materials will be posted prior to the conference call.</w:t>
      </w:r>
    </w:p>
    <w:p>
      <w:pPr>
        <w:spacing w:after="0" w:line="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telephone replay will be available shortly after the broadcast through Wednesday, March 4, 2020, by dialing 855-859-2056 from the U.S. or 404-537-3406 from international locations, and entering conference passcode 2086485. A replay of the audio webcast will also be archived on the “Investors” section of the Company’s website.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National Vision Holdings, Inc. is one of the largest optical retail companies in the United States with over 1,100 retail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Fred Meyer stores and on select military bases, and several e-commerce websites, offering a variety of products and services for customers’ eye care needs.</w:t>
      </w:r>
    </w:p>
    <w:p>
      <w:pPr>
        <w:sectPr>
          <w:pgSz w:w="11900" w:h="16838" w:orient="portrait"/>
          <w:cols w:equalWidth="0" w:num="1">
            <w:col w:w="11420"/>
          </w:cols>
          <w:pgMar w:left="240" w:top="55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2020 Outlook” as well as other statements related to our 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our ability to open and operate new stores in a timely and cost-effective manner and to successfully enter new markets; our ability to recruit and retain vision care professionals for our stores; our relationships with managed vision care companies, vision insurance providers and other third-party payors; our operating relationships with our host and legacy partners; state, local and federal vision care and healthcare laws and regulations; risks associated with managed vision care laws and regulations; our ability to maintain sufficient levels of cash flow from our operations to grow; the risk of loss or disruption in our distribution centers and optical laboratories; risks associated with vendors from whom our products are sourced; competition in the optical retail industry; risks associated with information technology systems and the security of personal information and payment card data collected by us and our vendors; our growth strategy’s impact on our existing resources and performance of our existing stores; our ability to manage costs; the success of our marketing, advertising and promotional efforts; risks associated with leasing substantial amounts of space; technological advances that may reduce demand for our products; our ability to retain senior management and attract new personnel; macroeconomic factors and other factors impacting consumer spending beyond the Company’s control; issues regarding inventory management; seasonal fluctuations in our business; our increasing reliance on third-party coverage and reimbursement; risks related to our e-commerce business; product liability, product recall or personal injury issues; legal regulatory risks, including adverse judgments or settlements from legal proceedings; we may incur losses arising from our investments in technological innovators in the optical retail industry; our ability to protect our intellectual property; risks related to our significant indebtedness and risks related to interest rates; risks related to our debt agreements, including restrictions that may limit our flexibility in operating our business; and risks related to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To supplement the Company’s financial information presented in accordance with GAAP and aid understanding of the Company’s business performance, the Company uses certain non-GAAP financial measures, namely “EBITDA,” “Adjusted EBITDA,” “Adjusted EBITDA Margin,” “Adjusted Operating Income,” “Adjusted Operating Margin,” “Adjusted Net Income,” “Adjusted Diluted EPS,” “Adjusted SG&amp;A,” and “Adjusted SG&amp;A Percent of Net Revenue.” We believe EBITDA, Adjusted EBITDA, Adjusted EBITDA Margin, Adjusted Operating Income, Adjusted Operating Margin, Adjusted Net Income,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ectPr>
          <w:pgSz w:w="11900" w:h="16838" w:orient="portrait"/>
          <w:cols w:equalWidth="0" w:num="1">
            <w:col w:w="11420"/>
          </w:cols>
          <w:pgMar w:left="240" w:top="553" w:right="239" w:bottom="1440" w:gutter="0" w:footer="0" w:header="0"/>
        </w:sectPr>
      </w:pPr>
    </w:p>
    <w:bookmarkStart w:id="8" w:name="page9"/>
    <w:bookmarkEnd w:id="8"/>
    <w:p>
      <w:pPr>
        <w:jc w:val="both"/>
        <w:spacing w:after="0" w:line="308" w:lineRule="auto"/>
        <w:rPr>
          <w:sz w:val="20"/>
          <w:szCs w:val="20"/>
          <w:color w:val="auto"/>
        </w:rPr>
      </w:pPr>
      <w:r>
        <w:rPr>
          <w:rFonts w:ascii="Arial" w:cs="Arial" w:eastAsia="Arial" w:hAnsi="Arial"/>
          <w:sz w:val="17"/>
          <w:szCs w:val="17"/>
          <w:b w:val="1"/>
          <w:bCs w:val="1"/>
          <w:i w:val="1"/>
          <w:iCs w:val="1"/>
          <w:color w:val="auto"/>
        </w:rPr>
        <w:t>Beginning with the first quarter of fiscal 2020, the Company is updating its definitions of Adjusted EBITDA, Adjusted SG&amp;A, Adjusted Net Income and Adjusted Diluted EPS discussed below, so that they no longer exclude new store pre-opening expenses and non-cash rent.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plus interest expense, income tax provision (benefit), and depreciation and amortization.</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EBITDA, further adjusted to exclude stock compensation expense, debt issuance costs, loss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extinguishment of debt, asset impairment, new store pre-opening expenses, non-cash rent, secondary offering expenses, management realignment expenses, long-term incentive plan expenses, and other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as a percentage of net revenue.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Adjusted Operating Income: </w:t>
      </w:r>
      <w:r>
        <w:rPr>
          <w:rFonts w:ascii="Arial" w:cs="Arial" w:eastAsia="Arial" w:hAnsi="Arial"/>
          <w:sz w:val="18"/>
          <w:szCs w:val="18"/>
          <w:color w:val="auto"/>
        </w:rPr>
        <w:t>We define Adjusted Operating Income as net income, plus interest expense and income tax provision (benefit), further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exclude stock compensation expense, debt issuance costs, loss on extinguishment of debt, asset impairment, secondary offering expenses, management realignment expenses, long-term incentive plan expenses, and other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Operating Margin: </w:t>
      </w:r>
      <w:r>
        <w:rPr>
          <w:rFonts w:ascii="Arial" w:cs="Arial" w:eastAsia="Arial" w:hAnsi="Arial"/>
          <w:sz w:val="18"/>
          <w:szCs w:val="18"/>
          <w:color w:val="auto"/>
        </w:rPr>
        <w:t>We define Adjusted Operating Margin as Adjusted Operating Income as a percentage of net revenue.</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Adjusted Net Income: </w:t>
      </w:r>
      <w:r>
        <w:rPr>
          <w:rFonts w:ascii="Arial" w:cs="Arial" w:eastAsia="Arial" w:hAnsi="Arial"/>
          <w:sz w:val="18"/>
          <w:szCs w:val="18"/>
          <w:color w:val="auto"/>
        </w:rPr>
        <w:t>We define Adjusted Net Income as net income, adjusted to exclude stock compensation expense, debt issuance costs, loss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extinguishment of debt, asset impairment, new store pre-opening expenses, non-cash rent, secondary offering expenses, management realignment expenses, long-term incentive plan expenses, other expenses, amortization of acquisition intangibles and deferred financing costs, tax benefit of stock option exercises, less the tax effect of these adjustments.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Adjusted Diluted EPS: </w:t>
      </w:r>
      <w:r>
        <w:rPr>
          <w:rFonts w:ascii="Arial" w:cs="Arial" w:eastAsia="Arial" w:hAnsi="Arial"/>
          <w:sz w:val="17"/>
          <w:szCs w:val="17"/>
          <w:color w:val="auto"/>
        </w:rPr>
        <w:t>We define Adjusted Diluted EPS as Adjusted Net Income divided by weighted average diluted common shares outstanding.</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Adjusted SG&amp;A: </w:t>
      </w:r>
      <w:r>
        <w:rPr>
          <w:rFonts w:ascii="Arial" w:cs="Arial" w:eastAsia="Arial" w:hAnsi="Arial"/>
          <w:sz w:val="18"/>
          <w:szCs w:val="18"/>
          <w:color w:val="auto"/>
        </w:rPr>
        <w:t>We define Adjusted SG&amp;A as SG&amp;A adjusted to exclude stock compensation expense, new store pre-opening expenses, non-cash 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secondary offering expenses, management realignment expenses, long-term incentive plan expenses, and other expenses except for the share of losses on equity method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Adjusted SG&amp;A Percent of Net Revenue: </w:t>
      </w:r>
      <w:r>
        <w:rPr>
          <w:rFonts w:ascii="Arial" w:cs="Arial" w:eastAsia="Arial" w:hAnsi="Arial"/>
          <w:sz w:val="17"/>
          <w:szCs w:val="17"/>
          <w:color w:val="auto"/>
        </w:rPr>
        <w:t>We define Adjusted SG&amp;A Percent of Net Revenue as Adjusted SG&amp;A as a percentage of net revenue.</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Adjusted Comparable Store Sales Growth: </w:t>
      </w:r>
      <w:r>
        <w:rPr>
          <w:rFonts w:ascii="Arial" w:cs="Arial" w:eastAsia="Arial" w:hAnsi="Arial"/>
          <w:sz w:val="16"/>
          <w:szCs w:val="16"/>
          <w:color w:val="auto"/>
        </w:rPr>
        <w:t>We measure Adjusted Comparable Store Sales Growth as the increase or decrease in sales recorded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Adjusted EBITDA, Adjusted EBITDA Margin, Adjusted Operating Income, Adjusted Operating Margin, Adjusted Net Income, Adjusted Diluted EPS, Adjusted SG&amp;A, Adjusted SG&amp;A Percent of Net Revenue and Adjusted Comparable Store Sales Growth are not recognized terms under GAAP and should not be considered as an alternative to net income (loss) or the ratio of net income (loss)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Please see “Reconciliation of GAAP and Non-GAAP Financial Measures” below for reconciliations of non-GAAP financial measures used in this release to their most directly comparable GAAP financial measures.</w:t>
      </w:r>
    </w:p>
    <w:p>
      <w:pPr>
        <w:sectPr>
          <w:pgSz w:w="11900" w:h="16838" w:orient="portrait"/>
          <w:cols w:equalWidth="0" w:num="1">
            <w:col w:w="11420"/>
          </w:cols>
          <w:pgMar w:left="240" w:top="55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28, 2019 and December 29,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8"/>
                <w:szCs w:val="18"/>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As of</w:t>
            </w:r>
          </w:p>
        </w:tc>
        <w:tc>
          <w:tcPr>
            <w:tcW w:w="220" w:type="dxa"/>
            <w:vAlign w:val="bottom"/>
          </w:tcPr>
          <w:p>
            <w:pPr>
              <w:spacing w:after="0"/>
              <w:rPr>
                <w:sz w:val="18"/>
                <w:szCs w:val="18"/>
                <w:color w:val="auto"/>
              </w:rPr>
            </w:pP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122"/>
        </w:trPr>
        <w:tc>
          <w:tcPr>
            <w:tcW w:w="72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December 28, 2019</w:t>
            </w:r>
          </w:p>
        </w:tc>
        <w:tc>
          <w:tcPr>
            <w:tcW w:w="220" w:type="dxa"/>
            <w:vAlign w:val="bottom"/>
          </w:tcPr>
          <w:p>
            <w:pPr>
              <w:spacing w:after="0"/>
              <w:rPr>
                <w:sz w:val="10"/>
                <w:szCs w:val="10"/>
                <w:color w:val="auto"/>
              </w:rPr>
            </w:pPr>
          </w:p>
        </w:tc>
        <w:tc>
          <w:tcPr>
            <w:tcW w:w="1840" w:type="dxa"/>
            <w:vAlign w:val="bottom"/>
            <w:vMerge w:val="restart"/>
          </w:tcPr>
          <w:p>
            <w:pPr>
              <w:jc w:val="right"/>
              <w:ind w:right="230"/>
              <w:spacing w:after="0"/>
              <w:rPr>
                <w:sz w:val="20"/>
                <w:szCs w:val="20"/>
                <w:color w:val="auto"/>
              </w:rPr>
            </w:pPr>
            <w:r>
              <w:rPr>
                <w:rFonts w:ascii="Arial" w:cs="Arial" w:eastAsia="Arial" w:hAnsi="Arial"/>
                <w:sz w:val="18"/>
                <w:szCs w:val="18"/>
                <w:color w:val="auto"/>
                <w:w w:val="94"/>
              </w:rPr>
              <w:t>December 29, 2018</w:t>
            </w:r>
          </w:p>
        </w:tc>
        <w:tc>
          <w:tcPr>
            <w:tcW w:w="0" w:type="dxa"/>
            <w:vAlign w:val="bottom"/>
          </w:tcPr>
          <w:p>
            <w:pPr>
              <w:spacing w:after="0"/>
              <w:rPr>
                <w:sz w:val="1"/>
                <w:szCs w:val="1"/>
                <w:color w:val="auto"/>
              </w:rPr>
            </w:pPr>
          </w:p>
        </w:tc>
      </w:tr>
      <w:tr>
        <w:trPr>
          <w:trHeight w:val="108"/>
        </w:trPr>
        <w:tc>
          <w:tcPr>
            <w:tcW w:w="7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39,342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17,132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50,735</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127,556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116,022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234,639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214,704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366,767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355,117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777,613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56,940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64,532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Right of 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1,798,086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1,446,685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2,032,725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1,661,389</w:t>
            </w:r>
          </w:p>
        </w:tc>
        <w:tc>
          <w:tcPr>
            <w:tcW w:w="0" w:type="dxa"/>
            <w:vAlign w:val="bottom"/>
          </w:tcPr>
          <w:p>
            <w:pPr>
              <w:spacing w:after="0"/>
              <w:rPr>
                <w:sz w:val="1"/>
                <w:szCs w:val="1"/>
                <w:color w:val="auto"/>
              </w:rPr>
            </w:pPr>
          </w:p>
        </w:tc>
      </w:tr>
      <w:tr>
        <w:trPr>
          <w:trHeight w:val="67"/>
        </w:trPr>
        <w:tc>
          <w:tcPr>
            <w:tcW w:w="7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43,642</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payables and accrued expenses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82,829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81,004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27,295</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55,870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52,144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Current operating lease obligations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51,937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211,652</w:t>
            </w:r>
          </w:p>
        </w:tc>
        <w:tc>
          <w:tcPr>
            <w:tcW w:w="0" w:type="dxa"/>
            <w:vAlign w:val="bottom"/>
          </w:tcPr>
          <w:p>
            <w:pPr>
              <w:spacing w:after="0"/>
              <w:rPr>
                <w:sz w:val="1"/>
                <w:szCs w:val="1"/>
                <w:color w:val="auto"/>
              </w:rPr>
            </w:pPr>
          </w:p>
        </w:tc>
      </w:tr>
      <w:tr>
        <w:trPr>
          <w:trHeight w:val="270"/>
        </w:trPr>
        <w:tc>
          <w:tcPr>
            <w:tcW w:w="7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Long-term debt and finance lease obligations, less current portion and debt discount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555,933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570,545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Non-current operating lease obligations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331,769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21,530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53,964</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60,146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61,940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136,038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(See Note 13)</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80"/>
              <w:spacing w:after="0"/>
              <w:rPr>
                <w:sz w:val="20"/>
                <w:szCs w:val="20"/>
                <w:color w:val="auto"/>
              </w:rPr>
            </w:pPr>
            <w:r>
              <w:rPr>
                <w:rFonts w:ascii="Arial" w:cs="Arial" w:eastAsia="Arial" w:hAnsi="Arial"/>
                <w:sz w:val="18"/>
                <w:szCs w:val="18"/>
                <w:color w:val="auto"/>
                <w:w w:val="88"/>
              </w:rPr>
              <w:t>Common stock, $0.01 par value; 200,000 shares authorized; 80,603 and 78,246 shares issued as</w:t>
            </w: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280"/>
              <w:spacing w:after="0"/>
              <w:rPr>
                <w:sz w:val="20"/>
                <w:szCs w:val="20"/>
                <w:color w:val="auto"/>
              </w:rPr>
            </w:pPr>
            <w:r>
              <w:rPr>
                <w:rFonts w:ascii="Arial" w:cs="Arial" w:eastAsia="Arial" w:hAnsi="Arial"/>
                <w:sz w:val="18"/>
                <w:szCs w:val="18"/>
                <w:color w:val="auto"/>
                <w:w w:val="98"/>
              </w:rPr>
              <w:t>of December 28, 2019 and December 29, 2018, respectively; 79,678 and 78,167 shares</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80"/>
              <w:spacing w:after="0"/>
              <w:rPr>
                <w:sz w:val="20"/>
                <w:szCs w:val="20"/>
                <w:color w:val="auto"/>
              </w:rPr>
            </w:pPr>
            <w:r>
              <w:rPr>
                <w:rFonts w:ascii="Arial" w:cs="Arial" w:eastAsia="Arial" w:hAnsi="Arial"/>
                <w:sz w:val="18"/>
                <w:szCs w:val="18"/>
                <w:color w:val="auto"/>
              </w:rPr>
              <w:t>outstanding as of December 28, 2019 and December 29, 2018, respectively</w:t>
            </w: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672,503</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74,840</w:t>
            </w:r>
          </w:p>
        </w:tc>
        <w:tc>
          <w:tcPr>
            <w:tcW w:w="0" w:type="dxa"/>
            <w:vAlign w:val="bottom"/>
          </w:tcPr>
          <w:p>
            <w:pPr>
              <w:spacing w:after="0"/>
              <w:rPr>
                <w:sz w:val="1"/>
                <w:szCs w:val="1"/>
                <w:color w:val="auto"/>
              </w:rPr>
            </w:pPr>
          </w:p>
        </w:tc>
      </w:tr>
      <w:tr>
        <w:trPr>
          <w:trHeight w:val="229"/>
        </w:trPr>
        <w:tc>
          <w:tcPr>
            <w:tcW w:w="7200" w:type="dxa"/>
            <w:vAlign w:val="bottom"/>
          </w:tcPr>
          <w:p>
            <w:pPr>
              <w:ind w:left="280"/>
              <w:spacing w:after="0"/>
              <w:rPr>
                <w:sz w:val="20"/>
                <w:szCs w:val="20"/>
                <w:color w:val="auto"/>
              </w:rPr>
            </w:pPr>
            <w:r>
              <w:rPr>
                <w:rFonts w:ascii="Arial" w:cs="Arial" w:eastAsia="Arial" w:hAnsi="Arial"/>
                <w:sz w:val="18"/>
                <w:szCs w:val="18"/>
                <w:color w:val="auto"/>
                <w:w w:val="91"/>
              </w:rPr>
              <w:t>Treasury stock, at cost; 925 and 79 shares as of December 28, 2019 and December 29, 2018,</w:t>
            </w: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(27,807)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776,437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743,154</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2,032,725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1,661,389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53" w:right="239" w:bottom="1440" w:gutter="0" w:footer="0" w:header="0"/>
        </w:sectPr>
      </w:pPr>
    </w:p>
    <w:bookmarkStart w:id="10" w:name="page11"/>
    <w:bookmarkEnd w:id="10"/>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National Vision Holdings, Inc. and Subsidiaries Consolidated Statements of Operations and Comprehensive Income (Loss) For the Three Months and Fiscal Years Ended December 28, 2019 and December 29, 2018 </w:t>
      </w:r>
      <w:r>
        <w:rPr>
          <w:rFonts w:ascii="Arial" w:cs="Arial" w:eastAsia="Arial" w:hAnsi="Arial"/>
          <w:sz w:val="18"/>
          <w:szCs w:val="18"/>
          <w:i w:val="1"/>
          <w:iCs w:val="1"/>
          <w:color w:val="auto"/>
        </w:rPr>
        <w:t>In Thousands, Except Earnings Per Share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Three Months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Three Months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28,</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29,</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Fiscal Year</w:t>
            </w:r>
          </w:p>
        </w:tc>
        <w:tc>
          <w:tcPr>
            <w:tcW w:w="2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w w:val="95"/>
              </w:rPr>
              <w:t>Fiscal Year</w:t>
            </w:r>
          </w:p>
        </w:tc>
      </w:tr>
      <w:tr>
        <w:trPr>
          <w:trHeight w:val="230"/>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2018</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329,654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292,115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1,426,136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1,269,612</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298,195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267,242</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401,763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355,922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1,724,331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1,536,854</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Costs applicable to revenue (exclusive of depreciation and</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Products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130,175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121,846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574,351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511,406</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232,168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202,165</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187,542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173,470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806,519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713,571</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178,044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166,132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744,488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687,476</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74,339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15,493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17,630</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205,860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844,237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780,932</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42,351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33,300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37,283</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(18,785)</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23,653</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71"/>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0.31</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75,899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81,785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77,526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81,683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79,041</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5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23,653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Unrealized gain (loss) on hedge instruments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9,488</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Tax provision (benefit) of unrealized gain (loss) on hedge instruments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5,027</w:t>
            </w:r>
          </w:p>
        </w:tc>
        <w:tc>
          <w:tcPr>
            <w:tcW w:w="12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(20,191)</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31,794</w:t>
            </w:r>
          </w:p>
        </w:tc>
        <w:tc>
          <w:tcPr>
            <w:tcW w:w="12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30,711</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5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December 28, 2019 and December 29,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Fiscal Year</w:t>
            </w:r>
          </w:p>
        </w:tc>
        <w:tc>
          <w:tcPr>
            <w:tcW w:w="22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w w:val="99"/>
              </w:rPr>
              <w:t>Fiscal Year</w:t>
            </w:r>
          </w:p>
        </w:tc>
      </w:tr>
      <w:tr>
        <w:trPr>
          <w:trHeight w:val="20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60"/>
        </w:trPr>
        <w:tc>
          <w:tcPr>
            <w:tcW w:w="85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32,798</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23,653</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87,244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74,339</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loan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1,848</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8,894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17,630</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(19,340)</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Stock based compensation expense</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12,670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20,939</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3,868</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Bad debt expense</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7,107</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9,786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2,413</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(14,649)</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(15,886)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(28,739)</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(7,011)</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7,934</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3,839</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7,353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12,597</w:t>
            </w:r>
          </w:p>
        </w:tc>
      </w:tr>
      <w:tr>
        <w:trPr>
          <w:trHeight w:val="47"/>
        </w:trPr>
        <w:tc>
          <w:tcPr>
            <w:tcW w:w="85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106,628</w:t>
            </w:r>
          </w:p>
        </w:tc>
      </w:tr>
      <w:tr>
        <w:trPr>
          <w:trHeight w:val="20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60"/>
        </w:trPr>
        <w:tc>
          <w:tcPr>
            <w:tcW w:w="8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(104,493)</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272</w:t>
            </w:r>
          </w:p>
        </w:tc>
      </w:tr>
      <w:tr>
        <w:trPr>
          <w:trHeight w:val="47"/>
        </w:trPr>
        <w:tc>
          <w:tcPr>
            <w:tcW w:w="85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for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(104,221)</w:t>
            </w:r>
          </w:p>
        </w:tc>
      </w:tr>
      <w:tr>
        <w:trPr>
          <w:trHeight w:val="20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60"/>
        </w:trPr>
        <w:tc>
          <w:tcPr>
            <w:tcW w:w="8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long-term debt, net of discounts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issuance of common stock</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14,767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19,802</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(204,275)</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Purchase of treasury stock</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(25,646)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(1,928)</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finance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(1,802)</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Payments of debt issuance costs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(1,400)</w:t>
            </w:r>
          </w:p>
        </w:tc>
      </w:tr>
      <w:tr>
        <w:trPr>
          <w:trHeight w:val="47"/>
        </w:trPr>
        <w:tc>
          <w:tcPr>
            <w:tcW w:w="85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10,397</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22,309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12,804</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and restricted cash,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5,194</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 and restricted cash, end of year</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40,307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17,998</w:t>
            </w:r>
          </w:p>
        </w:tc>
      </w:tr>
      <w:tr>
        <w:trPr>
          <w:trHeight w:val="73"/>
        </w:trPr>
        <w:tc>
          <w:tcPr>
            <w:tcW w:w="85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10"/>
        </w:trPr>
        <w:tc>
          <w:tcPr>
            <w:tcW w:w="8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interest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33,469</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Cash paid for taxes</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1,447</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 accrued at the end of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14,078</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Right of use assets acquired under finance leases</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9,713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14,303</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 of use assets acquired under operating leases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Non-cash issuance of common shares</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446</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2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purchase of treasury stock</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47"/>
        </w:trPr>
        <w:tc>
          <w:tcPr>
            <w:tcW w:w="85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balance sheets to the total of cash, cash equivalents and restricted cash shown above: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Fiscal Year</w:t>
            </w:r>
          </w:p>
        </w:tc>
        <w:tc>
          <w:tcPr>
            <w:tcW w:w="22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w w:val="99"/>
              </w:rPr>
              <w:t>Fiscal Year</w:t>
            </w:r>
          </w:p>
        </w:tc>
      </w:tr>
      <w:tr>
        <w:trPr>
          <w:trHeight w:val="20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17,132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Restricted cash included in other assets</w:t>
            </w:r>
          </w:p>
        </w:tc>
        <w:tc>
          <w:tcPr>
            <w:tcW w:w="2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866</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17,998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53" w:right="239" w:bottom="0" w:gutter="0" w:footer="0" w:header="0"/>
        </w:sectPr>
      </w:pPr>
    </w:p>
    <w:bookmarkStart w:id="12" w:name="page13"/>
    <w:bookmarkEnd w:id="1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and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and Fiscal Years Ended December 28, 2019 and December 29,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gridSpan w:val="9"/>
          </w:tcPr>
          <w:p>
            <w:pPr>
              <w:spacing w:after="0"/>
              <w:rPr>
                <w:sz w:val="20"/>
                <w:szCs w:val="20"/>
                <w:color w:val="auto"/>
              </w:rPr>
            </w:pPr>
            <w:r>
              <w:rPr>
                <w:rFonts w:ascii="Arial" w:cs="Arial" w:eastAsia="Arial" w:hAnsi="Arial"/>
                <w:sz w:val="18"/>
                <w:szCs w:val="18"/>
                <w:b w:val="1"/>
                <w:bCs w:val="1"/>
                <w:color w:val="auto"/>
                <w:w w:val="99"/>
              </w:rPr>
              <w:t>Reconciliation of EBITDA, Adjusted EBITDA and Adjusted EBITDA Margin to Net Income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24"/>
                <w:szCs w:val="24"/>
                <w:color w:val="auto"/>
              </w:rPr>
            </w:pPr>
          </w:p>
        </w:tc>
        <w:tc>
          <w:tcPr>
            <w:tcW w:w="180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7"/>
                <w:szCs w:val="17"/>
                <w:color w:val="auto"/>
                <w:w w:val="89"/>
              </w:rPr>
              <w:t>Fiscal Year</w:t>
            </w:r>
          </w:p>
        </w:tc>
        <w:tc>
          <w:tcPr>
            <w:tcW w:w="240" w:type="dxa"/>
            <w:vAlign w:val="bottom"/>
          </w:tcPr>
          <w:p>
            <w:pPr>
              <w:spacing w:after="0"/>
              <w:rPr>
                <w:sz w:val="24"/>
                <w:szCs w:val="24"/>
                <w:color w:val="auto"/>
              </w:rPr>
            </w:pPr>
          </w:p>
        </w:tc>
        <w:tc>
          <w:tcPr>
            <w:tcW w:w="1700" w:type="dxa"/>
            <w:vAlign w:val="bottom"/>
            <w:gridSpan w:val="3"/>
          </w:tcPr>
          <w:p>
            <w:pPr>
              <w:jc w:val="center"/>
              <w:ind w:right="110"/>
              <w:spacing w:after="0"/>
              <w:rPr>
                <w:sz w:val="20"/>
                <w:szCs w:val="20"/>
                <w:color w:val="auto"/>
              </w:rPr>
            </w:pPr>
            <w:r>
              <w:rPr>
                <w:rFonts w:ascii="Arial" w:cs="Arial" w:eastAsia="Arial" w:hAnsi="Arial"/>
                <w:sz w:val="17"/>
                <w:szCs w:val="17"/>
                <w:color w:val="auto"/>
                <w:w w:val="91"/>
              </w:rPr>
              <w:t>Fiscal Year</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9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December 28, 2019</w:t>
            </w:r>
          </w:p>
        </w:tc>
        <w:tc>
          <w:tcPr>
            <w:tcW w:w="140" w:type="dxa"/>
            <w:vAlign w:val="bottom"/>
          </w:tcPr>
          <w:p>
            <w:pPr>
              <w:spacing w:after="0"/>
              <w:rPr>
                <w:sz w:val="20"/>
                <w:szCs w:val="20"/>
                <w:color w:val="auto"/>
              </w:rPr>
            </w:pPr>
          </w:p>
        </w:tc>
        <w:tc>
          <w:tcPr>
            <w:tcW w:w="18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December 29, 2018</w:t>
            </w: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2018</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3,920</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(18,440)</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32,798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7"/>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23,653</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2"/>
              </w:rPr>
              <w:t>1.5%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7,397</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9,139</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33,300</w:t>
            </w:r>
          </w:p>
        </w:tc>
        <w:tc>
          <w:tcPr>
            <w:tcW w:w="120" w:type="dxa"/>
            <w:vAlign w:val="bottom"/>
          </w:tcPr>
          <w:p>
            <w:pPr>
              <w:spacing w:after="0"/>
              <w:rPr>
                <w:sz w:val="21"/>
                <w:szCs w:val="21"/>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color w:val="auto"/>
                <w:w w:val="87"/>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37,283</w:t>
            </w:r>
          </w:p>
        </w:tc>
        <w:tc>
          <w:tcPr>
            <w:tcW w:w="160" w:type="dxa"/>
            <w:vAlign w:val="bottom"/>
          </w:tcPr>
          <w:p>
            <w:pPr>
              <w:spacing w:after="0"/>
              <w:rPr>
                <w:sz w:val="21"/>
                <w:szCs w:val="21"/>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2.4%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0"/>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(18,785)</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23,674</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19,556</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87,244</w:t>
            </w:r>
          </w:p>
        </w:tc>
        <w:tc>
          <w:tcPr>
            <w:tcW w:w="120" w:type="dxa"/>
            <w:vAlign w:val="bottom"/>
          </w:tcPr>
          <w:p>
            <w:pPr>
              <w:spacing w:after="0"/>
              <w:rPr>
                <w:sz w:val="21"/>
                <w:szCs w:val="21"/>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color w:val="auto"/>
                <w:w w:val="87"/>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74,339</w:t>
            </w:r>
          </w:p>
        </w:tc>
        <w:tc>
          <w:tcPr>
            <w:tcW w:w="160" w:type="dxa"/>
            <w:vAlign w:val="bottom"/>
          </w:tcPr>
          <w:p>
            <w:pPr>
              <w:spacing w:after="0"/>
              <w:rPr>
                <w:sz w:val="21"/>
                <w:szCs w:val="21"/>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4.8%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32,035</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151,033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7"/>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116,490</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2"/>
              </w:rPr>
              <w:t>7.6%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1,830</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7,190</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12,670</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7"/>
              </w:rPr>
              <w:t>0.7%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20,939</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1.4%</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1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w:t>
            </w: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3"/>
                <w:szCs w:val="23"/>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25"/>
                <w:szCs w:val="25"/>
                <w:color w:val="auto"/>
                <w:vertAlign w:val="superscript"/>
              </w:rPr>
              <w:t>(c)</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9,786</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(d)</w:t>
            </w:r>
          </w:p>
        </w:tc>
        <w:tc>
          <w:tcPr>
            <w:tcW w:w="1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1,506</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15,493</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4.4%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8,894</w:t>
            </w:r>
          </w:p>
        </w:tc>
        <w:tc>
          <w:tcPr>
            <w:tcW w:w="120" w:type="dxa"/>
            <w:vAlign w:val="bottom"/>
          </w:tcPr>
          <w:p>
            <w:pPr>
              <w:spacing w:after="0"/>
              <w:rPr>
                <w:sz w:val="23"/>
                <w:szCs w:val="23"/>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17,630</w:t>
            </w:r>
          </w:p>
        </w:tc>
        <w:tc>
          <w:tcPr>
            <w:tcW w:w="160" w:type="dxa"/>
            <w:vAlign w:val="bottom"/>
          </w:tcPr>
          <w:p>
            <w:pPr>
              <w:spacing w:after="0"/>
              <w:rPr>
                <w:sz w:val="23"/>
                <w:szCs w:val="23"/>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1.1%</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(e)</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487</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3,334</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7"/>
              </w:rPr>
              <w:t>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2,229</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(f)</w:t>
            </w:r>
          </w:p>
        </w:tc>
        <w:tc>
          <w:tcPr>
            <w:tcW w:w="1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823</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867</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3,208</w:t>
            </w:r>
          </w:p>
        </w:tc>
        <w:tc>
          <w:tcPr>
            <w:tcW w:w="120" w:type="dxa"/>
            <w:vAlign w:val="bottom"/>
          </w:tcPr>
          <w:p>
            <w:pPr>
              <w:spacing w:after="0"/>
              <w:rPr>
                <w:sz w:val="23"/>
                <w:szCs w:val="23"/>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2,801</w:t>
            </w:r>
          </w:p>
        </w:tc>
        <w:tc>
          <w:tcPr>
            <w:tcW w:w="160" w:type="dxa"/>
            <w:vAlign w:val="bottom"/>
          </w:tcPr>
          <w:p>
            <w:pPr>
              <w:spacing w:after="0"/>
              <w:rPr>
                <w:sz w:val="23"/>
                <w:szCs w:val="23"/>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(g)</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7"/>
              </w:rPr>
              <w:t>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2,451</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(h)</w:t>
            </w:r>
          </w:p>
        </w:tc>
        <w:tc>
          <w:tcPr>
            <w:tcW w:w="1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2,155</w:t>
            </w:r>
          </w:p>
        </w:tc>
        <w:tc>
          <w:tcPr>
            <w:tcW w:w="120" w:type="dxa"/>
            <w:vAlign w:val="bottom"/>
          </w:tcPr>
          <w:p>
            <w:pPr>
              <w:spacing w:after="0"/>
              <w:rPr>
                <w:sz w:val="23"/>
                <w:szCs w:val="23"/>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5"/>
                <w:szCs w:val="25"/>
                <w:color w:val="auto"/>
                <w:vertAlign w:val="superscript"/>
              </w:rPr>
              <w:t>(i)</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941</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2,429</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2,830</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7"/>
              </w:rPr>
              <w:t>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7,040</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0.5%</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(j)</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1,999</w:t>
            </w: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1,473</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6,370</w:t>
            </w: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jc w:val="center"/>
              <w:ind w:right="30"/>
              <w:spacing w:after="0"/>
              <w:rPr>
                <w:sz w:val="20"/>
                <w:szCs w:val="20"/>
                <w:color w:val="auto"/>
              </w:rPr>
            </w:pPr>
            <w:r>
              <w:rPr>
                <w:rFonts w:ascii="Arial" w:cs="Arial" w:eastAsia="Arial" w:hAnsi="Arial"/>
                <w:sz w:val="18"/>
                <w:szCs w:val="18"/>
                <w:color w:val="auto"/>
                <w:w w:val="87"/>
              </w:rPr>
              <w:t>0.4%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4,585</w:t>
            </w:r>
          </w:p>
        </w:tc>
        <w:tc>
          <w:tcPr>
            <w:tcW w:w="16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jc w:val="center"/>
              <w:ind w:right="70"/>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b w:val="1"/>
                <w:bCs w:val="1"/>
                <w:color w:val="auto"/>
              </w:rPr>
              <w:t>Adjusted EBITDA/ Adjusted EBITDA</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39,607</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28,717</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200,681</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174,365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Margin</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11.3%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Note: Percentages reflect line item as a percentage of net revenue</w:t>
      </w:r>
    </w:p>
    <w:p>
      <w:pPr>
        <w:sectPr>
          <w:pgSz w:w="11900" w:h="16838" w:orient="portrait"/>
          <w:cols w:equalWidth="0" w:num="1">
            <w:col w:w="11420"/>
          </w:cols>
          <w:pgMar w:left="240" w:top="553"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4300" w:type="dxa"/>
            <w:vAlign w:val="bottom"/>
            <w:gridSpan w:val="4"/>
          </w:tcPr>
          <w:p>
            <w:pPr>
              <w:spacing w:after="0"/>
              <w:rPr>
                <w:sz w:val="20"/>
                <w:szCs w:val="20"/>
                <w:color w:val="auto"/>
              </w:rPr>
            </w:pPr>
            <w:r>
              <w:rPr>
                <w:rFonts w:ascii="Arial" w:cs="Arial" w:eastAsia="Arial" w:hAnsi="Arial"/>
                <w:sz w:val="18"/>
                <w:szCs w:val="18"/>
                <w:b w:val="1"/>
                <w:bCs w:val="1"/>
                <w:color w:val="auto"/>
                <w:w w:val="94"/>
              </w:rPr>
              <w:t>Reconciliation of Adjusted Net Income to Net Income</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5"/>
          </w:tcPr>
          <w:p>
            <w:pPr>
              <w:jc w:val="right"/>
              <w:ind w:right="30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24"/>
                <w:szCs w:val="24"/>
                <w:color w:val="auto"/>
              </w:rPr>
            </w:pPr>
          </w:p>
        </w:tc>
        <w:tc>
          <w:tcPr>
            <w:tcW w:w="1800" w:type="dxa"/>
            <w:vAlign w:val="bottom"/>
            <w:gridSpan w:val="4"/>
          </w:tcPr>
          <w:p>
            <w:pPr>
              <w:jc w:val="right"/>
              <w:ind w:right="26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4"/>
          </w:tcPr>
          <w:p>
            <w:pPr>
              <w:ind w:left="160"/>
              <w:spacing w:after="0"/>
              <w:rPr>
                <w:sz w:val="20"/>
                <w:szCs w:val="20"/>
                <w:color w:val="auto"/>
              </w:rPr>
            </w:pPr>
            <w:r>
              <w:rPr>
                <w:rFonts w:ascii="Arial" w:cs="Arial" w:eastAsia="Arial" w:hAnsi="Arial"/>
                <w:sz w:val="17"/>
                <w:szCs w:val="17"/>
                <w:color w:val="auto"/>
              </w:rPr>
              <w:t>Fiscal Year</w:t>
            </w:r>
          </w:p>
        </w:tc>
        <w:tc>
          <w:tcPr>
            <w:tcW w:w="280" w:type="dxa"/>
            <w:vAlign w:val="bottom"/>
          </w:tcPr>
          <w:p>
            <w:pPr>
              <w:spacing w:after="0"/>
              <w:rPr>
                <w:sz w:val="24"/>
                <w:szCs w:val="24"/>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7"/>
                <w:szCs w:val="17"/>
                <w:color w:val="auto"/>
              </w:rPr>
              <w:t>Fiscal Year</w:t>
            </w: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840" w:type="dxa"/>
            <w:vAlign w:val="bottom"/>
            <w:gridSpan w:val="5"/>
          </w:tcPr>
          <w:p>
            <w:pPr>
              <w:jc w:val="right"/>
              <w:ind w:right="360"/>
              <w:spacing w:after="0"/>
              <w:rPr>
                <w:sz w:val="20"/>
                <w:szCs w:val="20"/>
                <w:color w:val="auto"/>
              </w:rPr>
            </w:pPr>
            <w:r>
              <w:rPr>
                <w:rFonts w:ascii="Arial" w:cs="Arial" w:eastAsia="Arial" w:hAnsi="Arial"/>
                <w:sz w:val="18"/>
                <w:szCs w:val="18"/>
                <w:color w:val="auto"/>
                <w:w w:val="92"/>
              </w:rPr>
              <w:t>December 28, 2019</w:t>
            </w:r>
          </w:p>
        </w:tc>
        <w:tc>
          <w:tcPr>
            <w:tcW w:w="100" w:type="dxa"/>
            <w:vAlign w:val="bottom"/>
          </w:tcPr>
          <w:p>
            <w:pPr>
              <w:spacing w:after="0"/>
              <w:rPr>
                <w:sz w:val="20"/>
                <w:szCs w:val="20"/>
                <w:color w:val="auto"/>
              </w:rPr>
            </w:pPr>
          </w:p>
        </w:tc>
        <w:tc>
          <w:tcPr>
            <w:tcW w:w="1800" w:type="dxa"/>
            <w:vAlign w:val="bottom"/>
            <w:gridSpan w:val="4"/>
          </w:tcPr>
          <w:p>
            <w:pPr>
              <w:jc w:val="right"/>
              <w:ind w:right="300"/>
              <w:spacing w:after="0"/>
              <w:rPr>
                <w:sz w:val="20"/>
                <w:szCs w:val="20"/>
                <w:color w:val="auto"/>
              </w:rPr>
            </w:pPr>
            <w:r>
              <w:rPr>
                <w:rFonts w:ascii="Arial" w:cs="Arial" w:eastAsia="Arial" w:hAnsi="Arial"/>
                <w:sz w:val="18"/>
                <w:szCs w:val="18"/>
                <w:color w:val="auto"/>
                <w:w w:val="93"/>
              </w:rPr>
              <w:t>December 29, 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631"/>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491"/>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20"/>
                <w:szCs w:val="20"/>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23,653</w:t>
            </w: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7,190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12,670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20,939</w:t>
            </w: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25"/>
                <w:szCs w:val="25"/>
                <w:color w:val="auto"/>
                <w:vertAlign w:val="superscript"/>
              </w:rPr>
              <w:t>(c)</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9,786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(d)</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17,630</w:t>
            </w: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(e)</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3,334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2,229</w:t>
            </w: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(f)</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w:t>
            </w: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(g)</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2,451</w:t>
            </w: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(h)</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5"/>
                <w:szCs w:val="25"/>
                <w:color w:val="auto"/>
                <w:vertAlign w:val="superscript"/>
              </w:rPr>
              <w:t>(i)</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2,830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7,040</w:t>
            </w: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(j)</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4,585</w:t>
            </w: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Amortization of acquisition intangibles and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7"/>
        </w:trPr>
        <w:tc>
          <w:tcPr>
            <w:tcW w:w="378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deferred financing costs </w:t>
            </w:r>
            <w:r>
              <w:rPr>
                <w:rFonts w:ascii="Arial" w:cs="Arial" w:eastAsia="Arial" w:hAnsi="Arial"/>
                <w:sz w:val="25"/>
                <w:szCs w:val="25"/>
                <w:color w:val="auto"/>
                <w:vertAlign w:val="superscript"/>
              </w:rPr>
              <w:t>(k)</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8,694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9,253</w:t>
            </w: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Tax benefit of stock option exercises</w:t>
            </w:r>
            <w:r>
              <w:rPr>
                <w:rFonts w:ascii="Arial" w:cs="Arial" w:eastAsia="Arial" w:hAnsi="Arial"/>
                <w:sz w:val="25"/>
                <w:szCs w:val="25"/>
                <w:color w:val="auto"/>
                <w:vertAlign w:val="superscript"/>
              </w:rPr>
              <w:t>(l)</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(25,544)</w:t>
            </w:r>
          </w:p>
        </w:tc>
      </w:tr>
      <w:tr>
        <w:trPr>
          <w:trHeight w:val="270"/>
        </w:trPr>
        <w:tc>
          <w:tcPr>
            <w:tcW w:w="37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(m)</w:t>
            </w:r>
          </w:p>
        </w:tc>
        <w:tc>
          <w:tcPr>
            <w:tcW w:w="1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(14,933)</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(13,309)</w:t>
            </w:r>
          </w:p>
        </w:tc>
      </w:tr>
      <w:tr>
        <w:trPr>
          <w:trHeight w:val="269"/>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66,118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51,928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4300" w:type="dxa"/>
            <w:vAlign w:val="bottom"/>
            <w:gridSpan w:val="4"/>
          </w:tcPr>
          <w:p>
            <w:pPr>
              <w:spacing w:after="0"/>
              <w:rPr>
                <w:sz w:val="20"/>
                <w:szCs w:val="20"/>
                <w:color w:val="auto"/>
              </w:rPr>
            </w:pPr>
            <w:r>
              <w:rPr>
                <w:rFonts w:ascii="Arial" w:cs="Arial" w:eastAsia="Arial" w:hAnsi="Arial"/>
                <w:sz w:val="18"/>
                <w:szCs w:val="18"/>
                <w:b w:val="1"/>
                <w:bCs w:val="1"/>
                <w:color w:val="auto"/>
                <w:w w:val="92"/>
              </w:rPr>
              <w:t>Reconciliation of Adjusted Diluted EPS to Diluted EPS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37"/>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w w:val="93"/>
              </w:rPr>
              <w:t>Three Months Ended</w:t>
            </w:r>
          </w:p>
        </w:tc>
        <w:tc>
          <w:tcPr>
            <w:tcW w:w="120" w:type="dxa"/>
            <w:vAlign w:val="bottom"/>
          </w:tcPr>
          <w:p>
            <w:pPr>
              <w:spacing w:after="0"/>
              <w:rPr>
                <w:sz w:val="24"/>
                <w:szCs w:val="24"/>
                <w:color w:val="auto"/>
              </w:rPr>
            </w:pP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Three Months Ended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4"/>
          </w:tcPr>
          <w:p>
            <w:pPr>
              <w:ind w:left="200"/>
              <w:spacing w:after="0"/>
              <w:rPr>
                <w:sz w:val="20"/>
                <w:szCs w:val="20"/>
                <w:color w:val="auto"/>
              </w:rPr>
            </w:pPr>
            <w:r>
              <w:rPr>
                <w:rFonts w:ascii="Arial" w:cs="Arial" w:eastAsia="Arial" w:hAnsi="Arial"/>
                <w:sz w:val="17"/>
                <w:szCs w:val="17"/>
                <w:color w:val="auto"/>
              </w:rPr>
              <w:t>Fiscal Year</w:t>
            </w:r>
          </w:p>
        </w:tc>
        <w:tc>
          <w:tcPr>
            <w:tcW w:w="280" w:type="dxa"/>
            <w:vAlign w:val="bottom"/>
          </w:tcPr>
          <w:p>
            <w:pPr>
              <w:spacing w:after="0"/>
              <w:rPr>
                <w:sz w:val="24"/>
                <w:szCs w:val="2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7"/>
                <w:szCs w:val="17"/>
                <w:color w:val="auto"/>
              </w:rPr>
              <w:t>Fiscal Year</w:t>
            </w: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December 28, 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December 29, 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591"/>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591"/>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20"/>
                <w:szCs w:val="20"/>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21"/>
                <w:szCs w:val="21"/>
                <w:color w:val="auto"/>
              </w:rPr>
            </w:pP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23"/>
                <w:szCs w:val="23"/>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25"/>
                <w:szCs w:val="25"/>
                <w:color w:val="auto"/>
                <w:vertAlign w:val="superscript"/>
              </w:rPr>
              <w:t>(c)</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3"/>
                <w:szCs w:val="23"/>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(d)</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23"/>
                <w:szCs w:val="23"/>
                <w:color w:val="auto"/>
              </w:rPr>
            </w:pP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(e)</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3"/>
                <w:szCs w:val="23"/>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(f)</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3"/>
                <w:szCs w:val="23"/>
                <w:color w:val="auto"/>
              </w:rPr>
            </w:pP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(g)</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3"/>
                <w:szCs w:val="23"/>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(h)</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5"/>
                <w:szCs w:val="25"/>
                <w:color w:val="auto"/>
                <w:vertAlign w:val="superscript"/>
              </w:rPr>
              <w:t>(i)</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3"/>
                <w:szCs w:val="23"/>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(j)</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23"/>
                <w:szCs w:val="23"/>
                <w:color w:val="auto"/>
              </w:rPr>
            </w:pPr>
          </w:p>
        </w:tc>
      </w:tr>
      <w:tr>
        <w:trPr>
          <w:trHeight w:val="229"/>
        </w:trPr>
        <w:tc>
          <w:tcPr>
            <w:tcW w:w="3920" w:type="dxa"/>
            <w:vAlign w:val="bottom"/>
            <w:gridSpan w:val="2"/>
          </w:tcPr>
          <w:p>
            <w:pPr>
              <w:ind w:left="40"/>
              <w:spacing w:after="0"/>
              <w:rPr>
                <w:sz w:val="20"/>
                <w:szCs w:val="20"/>
                <w:color w:val="auto"/>
              </w:rPr>
            </w:pPr>
            <w:r>
              <w:rPr>
                <w:rFonts w:ascii="Arial" w:cs="Arial" w:eastAsia="Arial" w:hAnsi="Arial"/>
                <w:sz w:val="18"/>
                <w:szCs w:val="18"/>
                <w:color w:val="auto"/>
                <w:w w:val="94"/>
              </w:rPr>
              <w:t>Amortization of acquisition intangibles and deferred</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7"/>
        </w:trPr>
        <w:tc>
          <w:tcPr>
            <w:tcW w:w="378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financing costs </w:t>
            </w:r>
            <w:r>
              <w:rPr>
                <w:rFonts w:ascii="Arial" w:cs="Arial" w:eastAsia="Arial" w:hAnsi="Arial"/>
                <w:sz w:val="25"/>
                <w:szCs w:val="25"/>
                <w:color w:val="auto"/>
                <w:vertAlign w:val="superscript"/>
              </w:rPr>
              <w:t>(k)</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22"/>
                <w:szCs w:val="22"/>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Tax benefit of stock option exercises</w:t>
            </w:r>
            <w:r>
              <w:rPr>
                <w:rFonts w:ascii="Arial" w:cs="Arial" w:eastAsia="Arial" w:hAnsi="Arial"/>
                <w:sz w:val="25"/>
                <w:szCs w:val="25"/>
                <w:color w:val="auto"/>
                <w:vertAlign w:val="superscript"/>
              </w:rPr>
              <w:t>(l)</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23"/>
                <w:szCs w:val="23"/>
                <w:color w:val="auto"/>
              </w:rPr>
            </w:pPr>
          </w:p>
        </w:tc>
      </w:tr>
      <w:tr>
        <w:trPr>
          <w:trHeight w:val="270"/>
        </w:trPr>
        <w:tc>
          <w:tcPr>
            <w:tcW w:w="37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(m)</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23"/>
                <w:szCs w:val="23"/>
                <w:color w:val="auto"/>
              </w:rPr>
            </w:pPr>
          </w:p>
        </w:tc>
      </w:tr>
      <w:tr>
        <w:trPr>
          <w:trHeight w:val="257"/>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Diluted EPS</w:t>
            </w:r>
          </w:p>
        </w:tc>
        <w:tc>
          <w:tcPr>
            <w:tcW w:w="1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0.66</w:t>
            </w:r>
          </w:p>
        </w:tc>
        <w:tc>
          <w:tcPr>
            <w:tcW w:w="160" w:type="dxa"/>
            <w:vAlign w:val="bottom"/>
          </w:tcPr>
          <w:p>
            <w:pPr>
              <w:spacing w:after="0"/>
              <w:rPr>
                <w:sz w:val="22"/>
                <w:szCs w:val="22"/>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84"/>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5"/>
              </w:rPr>
              <w:t>Weighted average diluted shares outstanding</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C2C2C"/>
              </w:rPr>
              <w:t>81,785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C2C2C"/>
              </w:rPr>
              <w:t>77,526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2C2C2C"/>
              </w:rPr>
              <w:t>81,683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2C2C2C"/>
              </w:rPr>
              <w:t>79,041</w:t>
            </w:r>
          </w:p>
        </w:tc>
        <w:tc>
          <w:tcPr>
            <w:tcW w:w="160" w:type="dxa"/>
            <w:vAlign w:val="bottom"/>
          </w:tcPr>
          <w:p>
            <w:pPr>
              <w:spacing w:after="0"/>
              <w:rPr>
                <w:sz w:val="21"/>
                <w:szCs w:val="21"/>
                <w:color w:val="auto"/>
              </w:rPr>
            </w:pPr>
          </w:p>
        </w:tc>
      </w:tr>
      <w:tr>
        <w:trPr>
          <w:trHeight w:val="27"/>
        </w:trPr>
        <w:tc>
          <w:tcPr>
            <w:tcW w:w="3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r>
    </w:tbl>
    <w:p>
      <w:pPr>
        <w:spacing w:after="0" w:line="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Note: Some of the totals in the table above do not foot due to rounding differences</w:t>
      </w:r>
    </w:p>
    <w:p>
      <w:pPr>
        <w:sectPr>
          <w:pgSz w:w="11900" w:h="16838" w:orient="portrait"/>
          <w:cols w:equalWidth="0" w:num="1">
            <w:col w:w="11420"/>
          </w:cols>
          <w:pgMar w:left="240" w:top="54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700" w:type="dxa"/>
            <w:vAlign w:val="bottom"/>
            <w:gridSpan w:val="7"/>
          </w:tcPr>
          <w:p>
            <w:pPr>
              <w:spacing w:after="0"/>
              <w:rPr>
                <w:sz w:val="20"/>
                <w:szCs w:val="20"/>
                <w:color w:val="auto"/>
              </w:rPr>
            </w:pPr>
            <w:r>
              <w:rPr>
                <w:rFonts w:ascii="Arial" w:cs="Arial" w:eastAsia="Arial" w:hAnsi="Arial"/>
                <w:sz w:val="18"/>
                <w:szCs w:val="18"/>
                <w:b w:val="1"/>
                <w:bCs w:val="1"/>
                <w:color w:val="auto"/>
                <w:w w:val="93"/>
              </w:rPr>
              <w:t>Reconciliation of Adjusted SG&amp;A and Adjusted SG&amp;A Percent of Revenue to SG&amp;A</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24"/>
                <w:szCs w:val="24"/>
                <w:color w:val="auto"/>
              </w:rPr>
            </w:pPr>
          </w:p>
        </w:tc>
        <w:tc>
          <w:tcPr>
            <w:tcW w:w="180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7"/>
                <w:szCs w:val="17"/>
                <w:color w:val="auto"/>
                <w:w w:val="89"/>
              </w:rPr>
              <w:t>Fiscal Year</w:t>
            </w:r>
          </w:p>
        </w:tc>
        <w:tc>
          <w:tcPr>
            <w:tcW w:w="240" w:type="dxa"/>
            <w:vAlign w:val="bottom"/>
          </w:tcPr>
          <w:p>
            <w:pPr>
              <w:spacing w:after="0"/>
              <w:rPr>
                <w:sz w:val="24"/>
                <w:szCs w:val="24"/>
                <w:color w:val="auto"/>
              </w:rPr>
            </w:pPr>
          </w:p>
        </w:tc>
        <w:tc>
          <w:tcPr>
            <w:tcW w:w="1140" w:type="dxa"/>
            <w:vAlign w:val="bottom"/>
            <w:gridSpan w:val="2"/>
          </w:tcPr>
          <w:p>
            <w:pPr>
              <w:jc w:val="center"/>
              <w:ind w:left="231"/>
              <w:spacing w:after="0"/>
              <w:rPr>
                <w:sz w:val="20"/>
                <w:szCs w:val="20"/>
                <w:color w:val="auto"/>
              </w:rPr>
            </w:pPr>
            <w:r>
              <w:rPr>
                <w:rFonts w:ascii="Arial" w:cs="Arial" w:eastAsia="Arial" w:hAnsi="Arial"/>
                <w:sz w:val="17"/>
                <w:szCs w:val="17"/>
                <w:color w:val="auto"/>
                <w:w w:val="91"/>
              </w:rPr>
              <w:t>Fiscal Year</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December 28, 2019</w:t>
            </w:r>
          </w:p>
        </w:tc>
        <w:tc>
          <w:tcPr>
            <w:tcW w:w="140" w:type="dxa"/>
            <w:vAlign w:val="bottom"/>
          </w:tcPr>
          <w:p>
            <w:pPr>
              <w:spacing w:after="0"/>
              <w:rPr>
                <w:sz w:val="20"/>
                <w:szCs w:val="20"/>
                <w:color w:val="auto"/>
              </w:rPr>
            </w:pPr>
          </w:p>
        </w:tc>
        <w:tc>
          <w:tcPr>
            <w:tcW w:w="18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December 29, 2018</w:t>
            </w: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2018</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SG&amp;A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178,044</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166,132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744,488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687,476</w:t>
            </w: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44.7%</w:t>
            </w: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1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1,830</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7,190</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12,670</w:t>
            </w:r>
          </w:p>
        </w:tc>
        <w:tc>
          <w:tcPr>
            <w:tcW w:w="120" w:type="dxa"/>
            <w:vAlign w:val="bottom"/>
          </w:tcPr>
          <w:p>
            <w:pPr>
              <w:spacing w:after="0"/>
              <w:rPr>
                <w:sz w:val="23"/>
                <w:szCs w:val="23"/>
                <w:color w:val="auto"/>
              </w:rPr>
            </w:pP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2"/>
              </w:rPr>
              <w:t>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20,939</w:t>
            </w:r>
          </w:p>
        </w:tc>
        <w:tc>
          <w:tcPr>
            <w:tcW w:w="3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(e)</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487</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3,334</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2"/>
              </w:rPr>
              <w:t>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2,229</w:t>
            </w:r>
          </w:p>
        </w:tc>
        <w:tc>
          <w:tcPr>
            <w:tcW w:w="3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(f)</w:t>
            </w:r>
          </w:p>
        </w:tc>
        <w:tc>
          <w:tcPr>
            <w:tcW w:w="1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823</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867</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3,208</w:t>
            </w:r>
          </w:p>
        </w:tc>
        <w:tc>
          <w:tcPr>
            <w:tcW w:w="120" w:type="dxa"/>
            <w:vAlign w:val="bottom"/>
          </w:tcPr>
          <w:p>
            <w:pPr>
              <w:spacing w:after="0"/>
              <w:rPr>
                <w:sz w:val="23"/>
                <w:szCs w:val="23"/>
                <w:color w:val="auto"/>
              </w:rPr>
            </w:pP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2"/>
              </w:rPr>
              <w:t>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2,801</w:t>
            </w:r>
          </w:p>
        </w:tc>
        <w:tc>
          <w:tcPr>
            <w:tcW w:w="3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(g)</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2,451</w:t>
            </w:r>
          </w:p>
        </w:tc>
        <w:tc>
          <w:tcPr>
            <w:tcW w:w="3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(h)</w:t>
            </w:r>
          </w:p>
        </w:tc>
        <w:tc>
          <w:tcPr>
            <w:tcW w:w="1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2,155</w:t>
            </w:r>
          </w:p>
        </w:tc>
        <w:tc>
          <w:tcPr>
            <w:tcW w:w="120" w:type="dxa"/>
            <w:vAlign w:val="bottom"/>
          </w:tcPr>
          <w:p>
            <w:pPr>
              <w:spacing w:after="0"/>
              <w:rPr>
                <w:sz w:val="23"/>
                <w:szCs w:val="23"/>
                <w:color w:val="auto"/>
              </w:rPr>
            </w:pP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2"/>
              </w:rPr>
              <w:t>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5"/>
                <w:szCs w:val="25"/>
                <w:color w:val="auto"/>
                <w:vertAlign w:val="superscript"/>
              </w:rPr>
              <w:t>(i)</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2,429</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2,830</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2"/>
              </w:rPr>
              <w:t>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7,040</w:t>
            </w:r>
          </w:p>
        </w:tc>
        <w:tc>
          <w:tcPr>
            <w:tcW w:w="3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3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(n)</w:t>
            </w: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1,432</w:t>
            </w: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784</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4,565</w:t>
            </w: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jc w:val="center"/>
              <w:ind w:right="10"/>
              <w:spacing w:after="0"/>
              <w:rPr>
                <w:sz w:val="20"/>
                <w:szCs w:val="20"/>
                <w:color w:val="auto"/>
              </w:rPr>
            </w:pPr>
            <w:r>
              <w:rPr>
                <w:rFonts w:ascii="Arial" w:cs="Arial" w:eastAsia="Arial" w:hAnsi="Arial"/>
                <w:sz w:val="18"/>
                <w:szCs w:val="18"/>
                <w:color w:val="auto"/>
                <w:w w:val="92"/>
              </w:rPr>
              <w:t>0.3%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2,591</w:t>
            </w:r>
          </w:p>
        </w:tc>
        <w:tc>
          <w:tcPr>
            <w:tcW w:w="340" w:type="dxa"/>
            <w:vAlign w:val="bottom"/>
            <w:tcBorders>
              <w:bottom w:val="single" w:sz="8" w:color="CCEEFF"/>
            </w:tcBorders>
          </w:tcPr>
          <w:p>
            <w:pPr>
              <w:spacing w:after="0"/>
              <w:rPr>
                <w:sz w:val="23"/>
                <w:szCs w:val="23"/>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b w:val="1"/>
                <w:bCs w:val="1"/>
                <w:color w:val="auto"/>
                <w:w w:val="95"/>
              </w:rPr>
              <w:t>Adjusted SG&amp;A/ Adjusted SG&amp;A Percent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172,545</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153,766</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715,325</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649,425</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41.5%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42.3%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months ended December 29, 2018 and fiscal year 2018, fees associated with the issuance of new term loans.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fiscal year 2019, reflects write-off of deferred financing fees related to the extinguishment of debt.</w:t>
      </w:r>
    </w:p>
    <w:p>
      <w:pPr>
        <w:spacing w:after="0" w:line="1" w:lineRule="exact"/>
        <w:rPr>
          <w:rFonts w:ascii="Arial" w:cs="Arial" w:eastAsia="Arial" w:hAnsi="Arial"/>
          <w:sz w:val="14"/>
          <w:szCs w:val="14"/>
          <w:color w:val="auto"/>
        </w:rPr>
      </w:pPr>
    </w:p>
    <w:p>
      <w:pPr>
        <w:jc w:val="both"/>
        <w:ind w:left="420" w:right="20" w:hanging="412"/>
        <w:spacing w:after="0" w:line="241"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write-off of property and equipment and lease-related assets on closed or underperforming stores for the three months ended December 28, 2019 and fiscal year 2019; additionally reflects non-cash charges related to impairment of long-lived assets, primarily goodwill in our Military and Fred Meyer brands for the three months ended December 29, 2018 and fiscal year 2018.</w:t>
      </w:r>
    </w:p>
    <w:p>
      <w:pPr>
        <w:spacing w:after="0" w:line="1"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are not indicative of ongoing core operating performance. We adjust for these costs to facilitate comparisons of store operating performance from period to period.</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w:t>
      </w:r>
    </w:p>
    <w:p>
      <w:pPr>
        <w:spacing w:after="0" w:line="12" w:lineRule="exact"/>
        <w:rPr>
          <w:rFonts w:ascii="Arial" w:cs="Arial" w:eastAsia="Arial" w:hAnsi="Arial"/>
          <w:sz w:val="13"/>
          <w:szCs w:val="13"/>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 during fiscal years 2018 and 2019.</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Expenses related to a non-recurring management realignment described in the Current Report on Form 8-K filed with the SEC on January 10, 2019.</w:t>
      </w:r>
    </w:p>
    <w:p>
      <w:pPr>
        <w:spacing w:after="0" w:line="1"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Expenses pursuant to a long-term incentive plan for non-executive employees who were not participants in the management equity plan for fiscal year 2019. This plan was effective in 2014 following the acquisition of the Company by affiliates of KKR &amp; Co. Inc. (the "KKR Acquisition"). During the third quarter of fiscal year 2018, $4.6 million cash payout was triggered as a result of the second secondary offering of common stock by KKR Sponsor and other selling shareholders. The remaining $2.4 million relates to the third secondary offering and is accrued but not paid as of fiscal year end 2018.</w:t>
      </w:r>
    </w:p>
    <w:p>
      <w:pPr>
        <w:spacing w:after="0" w:line="1" w:lineRule="exact"/>
        <w:rPr>
          <w:rFonts w:ascii="Arial" w:cs="Arial" w:eastAsia="Arial" w:hAnsi="Arial"/>
          <w:sz w:val="14"/>
          <w:szCs w:val="14"/>
          <w:color w:val="auto"/>
        </w:rPr>
      </w:pPr>
    </w:p>
    <w:p>
      <w:pPr>
        <w:jc w:val="both"/>
        <w:ind w:left="420" w:hanging="412"/>
        <w:spacing w:after="0" w:line="260" w:lineRule="auto"/>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Other adjustments include the following amounts that management believes are not representative of our operating performance (amounts in brackets represent reductions in Adjusted EBITDA and Adjusted Net Income) including our share of losses on equity method investments of $0.6 million and $0.3 million for the three months ended December 28, 2019 and December 29, 2018, and $1.8 million and $1.3 million for fiscal years 2019 and 2018, respectively; the amortization impact of the KKR Acquisition-related adjustments (e.g., fair value of leasehold interests) of $0.2 million, $0.1 million, $0.5 million and $0.4 million for the three months ended December 28, 2019 and December 29, 2018; differences between the timing of expense versus cash payments related to contributions to charitable organizations of $(0.2) million for three months ended December 29, 2018 and $(1.0) million for the fiscal year 2018; costs of severance and relocation of $0.6 million, $0.1 million, $2.3 million and $1.0 million for the three months ended December 28, 2019 and December 29, 2018 and fiscal years 2019 and 2018, respectively; excess payroll taxes related to stock option exercises of $0.2 million and $0.6 million for the three months ended December 28, 2019 and December 29, 2018, respectively and $0.8 million and $1.8 million for fiscal year 2019 and 2018, respectively; and other expenses and adjustments totaling $0.4 million and $0.6 million for the three months ended December 28, 2019 and December 29, 2018, respectively and $1.0 million and $1.1 million for fiscal years 2019 and 2018, respectively.</w:t>
      </w:r>
    </w:p>
    <w:p>
      <w:pPr>
        <w:jc w:val="both"/>
        <w:ind w:left="420" w:hanging="412"/>
        <w:spacing w:after="0" w:line="260" w:lineRule="auto"/>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Amortization of the increase in carrying values of definite-lived intangible assets resulting from the application of purchase accounting to the KKR Acquisition of $1.9 million for each of the three months ended December 28, 2019 and December 29, 2018 and $7.4 million for each of the fiscal years 2019 and 2018; and Amortization of debt discounts associated with the March 2014 term loan borrowings in connection with the KKR Acquisition and, to a lesser extent, amortization of debt discounts associated with the May 2015 and February 2017 incremental First Lien - Term Loan B and the November 2017 First Lien - Term Loan B refinancing, aggregating to $0.2 million and $0.5 million of additional expense for the three months ended December 28, 2019 and December 29, 2018, respectively and $1.3 million and $1.9 million of additional expense for fiscal years 2019 and 2018, respectively.</w:t>
      </w:r>
    </w:p>
    <w:p>
      <w:pPr>
        <w:ind w:left="420" w:hanging="412"/>
        <w:spacing w:after="0" w:line="241"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Tax benefit associated with accounting guidance adopted at the beginning of fiscal year 2017 (Accounting Standards Update 2016-09, Compensation - Stock Compensation), requiring excess tax benefits related to stock option exercises to be recorded in earnings as discrete items in the reporting period in which they occur.</w:t>
      </w: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 w:lineRule="exact"/>
        <w:rPr>
          <w:rFonts w:ascii="Arial" w:cs="Arial" w:eastAsia="Arial" w:hAnsi="Arial"/>
          <w:sz w:val="14"/>
          <w:szCs w:val="14"/>
          <w:color w:val="auto"/>
        </w:rPr>
      </w:pPr>
    </w:p>
    <w:p>
      <w:pPr>
        <w:jc w:val="both"/>
        <w:ind w:left="420" w:hanging="412"/>
        <w:spacing w:after="0" w:line="248"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other expenses in (j) above, except for our share of losses on equity method investments of $0.6 million and $0.3 million for the three months ended December 28, 2019 and December 29, 2018 and $1.8 million and $1.3 million for fiscal year 2019 and 2018, respectively; and facility opening expenses of $0.4 million for the three months ended December 29, 2018 and $0.7 million for fiscal year 2018, respectively; which are non-SG&amp;A expenses.</w:t>
      </w:r>
    </w:p>
    <w:p>
      <w:pPr>
        <w:sectPr>
          <w:pgSz w:w="11900" w:h="16838" w:orient="portrait"/>
          <w:cols w:equalWidth="0" w:num="1">
            <w:col w:w="11420"/>
          </w:cols>
          <w:pgMar w:left="240" w:top="553"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8760" w:type="dxa"/>
            <w:vAlign w:val="bottom"/>
            <w:gridSpan w:val="7"/>
          </w:tcPr>
          <w:p>
            <w:pPr>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6"/>
          </w:tcPr>
          <w:p>
            <w:pPr>
              <w:ind w:left="900"/>
              <w:spacing w:after="0"/>
              <w:rPr>
                <w:sz w:val="20"/>
                <w:szCs w:val="20"/>
                <w:color w:val="auto"/>
              </w:rPr>
            </w:pPr>
            <w:r>
              <w:rPr>
                <w:rFonts w:ascii="Arial" w:cs="Arial" w:eastAsia="Arial" w:hAnsi="Arial"/>
                <w:sz w:val="18"/>
                <w:szCs w:val="18"/>
                <w:color w:val="auto"/>
              </w:rPr>
              <w:t xml:space="preserve">Comparable store sales growth </w:t>
            </w:r>
            <w:r>
              <w:rPr>
                <w:rFonts w:ascii="Arial" w:cs="Arial" w:eastAsia="Arial" w:hAnsi="Arial"/>
                <w:sz w:val="25"/>
                <w:szCs w:val="25"/>
                <w:color w:val="auto"/>
                <w:vertAlign w:val="superscript"/>
              </w:rPr>
              <w:t>(a)</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Three Months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Three Months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Ended</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28,</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29,</w:t>
            </w:r>
          </w:p>
        </w:tc>
        <w:tc>
          <w:tcPr>
            <w:tcW w:w="1440" w:type="dxa"/>
            <w:vAlign w:val="bottom"/>
            <w:gridSpan w:val="2"/>
          </w:tcPr>
          <w:p>
            <w:pPr>
              <w:ind w:left="280"/>
              <w:spacing w:after="0"/>
              <w:rPr>
                <w:sz w:val="20"/>
                <w:szCs w:val="20"/>
                <w:color w:val="auto"/>
              </w:rPr>
            </w:pPr>
            <w:r>
              <w:rPr>
                <w:rFonts w:ascii="Arial" w:cs="Arial" w:eastAsia="Arial" w:hAnsi="Arial"/>
                <w:sz w:val="17"/>
                <w:szCs w:val="17"/>
                <w:color w:val="auto"/>
              </w:rPr>
              <w:t>Fiscal Year</w:t>
            </w:r>
          </w:p>
        </w:tc>
        <w:tc>
          <w:tcPr>
            <w:tcW w:w="1440" w:type="dxa"/>
            <w:vAlign w:val="bottom"/>
            <w:gridSpan w:val="2"/>
          </w:tcPr>
          <w:p>
            <w:pPr>
              <w:ind w:left="280"/>
              <w:spacing w:after="0"/>
              <w:rPr>
                <w:sz w:val="20"/>
                <w:szCs w:val="20"/>
                <w:color w:val="auto"/>
              </w:rPr>
            </w:pPr>
            <w:r>
              <w:rPr>
                <w:rFonts w:ascii="Arial" w:cs="Arial" w:eastAsia="Arial" w:hAnsi="Arial"/>
                <w:sz w:val="17"/>
                <w:szCs w:val="17"/>
                <w:color w:val="auto"/>
              </w:rPr>
              <w:t>Fiscal Year</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1340" w:type="dxa"/>
            <w:vAlign w:val="bottom"/>
          </w:tcPr>
          <w:p>
            <w:pPr>
              <w:jc w:val="right"/>
              <w:ind w:right="411"/>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20"/>
                <w:szCs w:val="20"/>
                <w:color w:val="auto"/>
              </w:rPr>
            </w:pPr>
          </w:p>
        </w:tc>
        <w:tc>
          <w:tcPr>
            <w:tcW w:w="1340" w:type="dxa"/>
            <w:vAlign w:val="bottom"/>
          </w:tcPr>
          <w:p>
            <w:pPr>
              <w:jc w:val="right"/>
              <w:ind w:right="411"/>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20"/>
                <w:szCs w:val="20"/>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2020 Outlook</w:t>
            </w:r>
          </w:p>
        </w:tc>
        <w:tc>
          <w:tcPr>
            <w:tcW w:w="0" w:type="dxa"/>
            <w:vAlign w:val="bottom"/>
          </w:tcPr>
          <w:p>
            <w:pPr>
              <w:spacing w:after="0"/>
              <w:rPr>
                <w:sz w:val="1"/>
                <w:szCs w:val="1"/>
                <w:color w:val="auto"/>
              </w:rPr>
            </w:pPr>
          </w:p>
        </w:tc>
      </w:tr>
      <w:tr>
        <w:trPr>
          <w:trHeight w:val="27"/>
        </w:trPr>
        <w:tc>
          <w:tcPr>
            <w:tcW w:w="4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Owned &amp; host segment</w:t>
            </w: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Best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Eyeglass World</w:t>
            </w: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Military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Fred Meyer</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Legacy segment </w:t>
            </w:r>
            <w:r>
              <w:rPr>
                <w:rFonts w:ascii="Arial" w:cs="Arial" w:eastAsia="Arial" w:hAnsi="Arial"/>
                <w:sz w:val="25"/>
                <w:szCs w:val="25"/>
                <w:b w:val="1"/>
                <w:bCs w:val="1"/>
                <w:color w:val="auto"/>
                <w:vertAlign w:val="superscript"/>
              </w:rPr>
              <w:t>(b)</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comparable store sales growth</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3.5 - 5.5%</w:t>
            </w:r>
          </w:p>
        </w:tc>
        <w:tc>
          <w:tcPr>
            <w:tcW w:w="0" w:type="dxa"/>
            <w:vAlign w:val="bottom"/>
          </w:tcPr>
          <w:p>
            <w:pPr>
              <w:spacing w:after="0"/>
              <w:rPr>
                <w:sz w:val="1"/>
                <w:szCs w:val="1"/>
                <w:color w:val="auto"/>
              </w:rPr>
            </w:pPr>
          </w:p>
        </w:tc>
      </w:tr>
      <w:tr>
        <w:trPr>
          <w:trHeight w:val="341"/>
        </w:trPr>
        <w:tc>
          <w:tcPr>
            <w:tcW w:w="4440" w:type="dxa"/>
            <w:vAlign w:val="bottom"/>
          </w:tcPr>
          <w:p>
            <w:pPr>
              <w:ind w:left="40"/>
              <w:spacing w:after="0"/>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5"/>
                <w:szCs w:val="25"/>
                <w:color w:val="auto"/>
                <w:vertAlign w:val="superscript"/>
              </w:rPr>
              <w:t>(c)</w:t>
            </w:r>
          </w:p>
        </w:tc>
        <w:tc>
          <w:tcPr>
            <w:tcW w:w="13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4"/>
                <w:szCs w:val="24"/>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3 - 5%</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Total comparable store sales is calculated based on consolidated net revenue excluding the impact of (i) corporate/other segment net revenue, (ii) sales from stores opened less than 13 months,</w:t>
      </w:r>
    </w:p>
    <w:p>
      <w:pPr>
        <w:spacing w:after="0" w:line="36" w:lineRule="exact"/>
        <w:rPr>
          <w:rFonts w:ascii="Arial" w:cs="Arial" w:eastAsia="Arial" w:hAnsi="Arial"/>
          <w:sz w:val="12"/>
          <w:szCs w:val="12"/>
          <w:color w:val="auto"/>
        </w:rPr>
      </w:pPr>
    </w:p>
    <w:p>
      <w:pPr>
        <w:jc w:val="both"/>
        <w:ind w:left="340" w:hanging="8"/>
        <w:spacing w:after="0" w:line="260" w:lineRule="auto"/>
        <w:tabs>
          <w:tab w:leader="none" w:pos="595" w:val="left"/>
        </w:tabs>
        <w:numPr>
          <w:ilvl w:val="1"/>
          <w:numId w:val="10"/>
        </w:numPr>
        <w:rPr>
          <w:rFonts w:ascii="Arial" w:cs="Arial" w:eastAsia="Arial" w:hAnsi="Arial"/>
          <w:sz w:val="13"/>
          <w:szCs w:val="13"/>
          <w:color w:val="auto"/>
        </w:rPr>
      </w:pPr>
      <w:r>
        <w:rPr>
          <w:rFonts w:ascii="Arial" w:cs="Arial" w:eastAsia="Arial" w:hAnsi="Arial"/>
          <w:sz w:val="13"/>
          <w:szCs w:val="13"/>
          <w:color w:val="auto"/>
        </w:rPr>
        <w:t>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Chief Operating Decision Maker reviews, and consistent with reportable segment revenues presented in Note 16. "Segment Reporting" in our consolidated financial statements, with the exception of the Legacy segment, which is adjusted as noted in</w:t>
      </w:r>
    </w:p>
    <w:p>
      <w:pPr>
        <w:ind w:left="520" w:hanging="188"/>
        <w:spacing w:after="0"/>
        <w:tabs>
          <w:tab w:leader="none" w:pos="5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(ii) below.</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a result of changes in applicable California law, certain optometrists employed by FirstSight Vision Services Inc. (“FirstSight”) were transferred to a professional corporation that contracts directly with our legacy segment in the fourth quarter of 2018, similar to optometrist transfers that occurred in the third quarter of 2017. Incremental eye exam revenue as a result of these changes in operations at FirstSight drove a favorable impact to comparable store sales growth in the Legacy segment of approximately 140 basis points for the three months ended December 28, 2019, and favorable impact of 180 basis points and 120 basis points for fiscal year 2019 and fiscal year 2018, respectively.</w:t>
      </w:r>
    </w:p>
    <w:p>
      <w:pPr>
        <w:spacing w:after="0" w:line="1" w:lineRule="exact"/>
        <w:rPr>
          <w:rFonts w:ascii="Arial" w:cs="Arial" w:eastAsia="Arial" w:hAnsi="Arial"/>
          <w:sz w:val="14"/>
          <w:szCs w:val="14"/>
          <w:color w:val="auto"/>
        </w:rPr>
      </w:pPr>
    </w:p>
    <w:p>
      <w:pPr>
        <w:jc w:val="both"/>
        <w:ind w:left="340" w:hanging="332"/>
        <w:spacing w:after="0" w:line="24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differences between total comparable store sales growth based on consolidated net revenue and Adjusted Comparable Store Sales Growth are: (i) Adjusted Comparable Store Sales Growth includes the effect of deferred and unearned revenue as if such revenues were earned at the point of sale, resulting in a decrease of 1.9% and 1.1% from total comparable store sales growth based on consolidated net revenue for the three months ended December 28, 2019 and December 29, 2018, respectively, and a decrease of 0.1% and 0.8% from total comparable store sales growth based on consolidated net revenue for fiscal year 2019 and fiscal year 2018, respectively, (ii) Adjusted Comparable Store Sales Growth includes retail sales to the Legacy partner’s customers (rather than the revenues recognized consistent with the management &amp; services agreement), resulting in a decrease of 0.1% and 0.3% from total comparable store sales growth based on consolidated net revenue for the three months ended December 28, 2019 and December 29, 2018, respectively, and a decrease of 0.2% from total comparable store sales growth based on consolidated net revenue for each of the fiscal years 2019 and 2018, and (iii) with respect to the Company's 2020 Outlook, Adjusted Comparable Store Sales Growth includes an estimated 0.5% impact for the effect of deferred and unearned income as if such revenues were earned at the point of sale and retail sales to the Legacy partner's customers (rather than the revenues recognized consistent with the management &amp; services agreement).</w:t>
      </w:r>
    </w:p>
    <w:p>
      <w:pPr>
        <w:sectPr>
          <w:pgSz w:w="11900" w:h="16838" w:orient="portrait"/>
          <w:cols w:equalWidth="0" w:num="1">
            <w:col w:w="11420"/>
          </w:cols>
          <w:pgMar w:left="240" w:top="55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Investors: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David Mann, CFA, Vice President of Investor Relations</w:t>
      </w:r>
    </w:p>
    <w:p>
      <w:pPr>
        <w:spacing w:after="0" w:line="32" w:lineRule="exact"/>
        <w:rPr>
          <w:sz w:val="20"/>
          <w:szCs w:val="20"/>
          <w:color w:val="auto"/>
        </w:rPr>
      </w:pPr>
    </w:p>
    <w:p>
      <w:pPr>
        <w:ind w:right="7439" w:firstLine="8"/>
        <w:spacing w:after="0" w:line="323" w:lineRule="auto"/>
        <w:tabs>
          <w:tab w:leader="none" w:pos="4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Kristina Gross, Vice President of Communications</w:t>
      </w:r>
    </w:p>
    <w:p>
      <w:pPr>
        <w:spacing w:after="0" w:line="9" w:lineRule="exact"/>
        <w:rPr>
          <w:sz w:val="20"/>
          <w:szCs w:val="20"/>
          <w:color w:val="auto"/>
        </w:rPr>
      </w:pPr>
    </w:p>
    <w:p>
      <w:pPr>
        <w:ind w:right="8239" w:firstLine="8"/>
        <w:spacing w:after="0" w:line="323" w:lineRule="auto"/>
        <w:tabs>
          <w:tab w:leader="none" w:pos="4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448-2355 media@nationalvision.com</w:t>
      </w:r>
    </w:p>
    <w:p>
      <w:pPr>
        <w:sectPr>
          <w:pgSz w:w="11900" w:h="16838" w:orient="portrait"/>
          <w:cols w:equalWidth="0" w:num="1">
            <w:col w:w="10219"/>
          </w:cols>
          <w:pgMar w:left="240" w:top="634" w:right="1440" w:bottom="1440" w:gutter="0" w:footer="0" w:header="0"/>
        </w:sectPr>
      </w:pPr>
    </w:p>
    <w:bookmarkStart w:id="18" w:name="page19"/>
    <w:bookmarkEnd w:id="18"/>
    <w:p>
      <w:pPr>
        <w:ind w:left="3900"/>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1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Reconciliation of GAAP and Non-GAAP Financial Measures</w:t>
      </w:r>
    </w:p>
    <w:p>
      <w:pPr>
        <w:jc w:val="center"/>
        <w:spacing w:after="0" w:line="219" w:lineRule="auto"/>
        <w:rPr>
          <w:sz w:val="20"/>
          <w:szCs w:val="20"/>
          <w:color w:val="auto"/>
        </w:rPr>
      </w:pPr>
      <w:r>
        <w:rPr>
          <w:rFonts w:ascii="Arial" w:cs="Arial" w:eastAsia="Arial" w:hAnsi="Arial"/>
          <w:sz w:val="18"/>
          <w:szCs w:val="18"/>
          <w:b w:val="1"/>
          <w:bCs w:val="1"/>
          <w:color w:val="auto"/>
        </w:rPr>
        <w:t>Reconciliation of Adjusted Operating Income to Operating Income (new non-GAAP measure)</w:t>
      </w:r>
    </w:p>
    <w:p>
      <w:pPr>
        <w:jc w:val="center"/>
        <w:spacing w:after="0"/>
        <w:rPr>
          <w:sz w:val="20"/>
          <w:szCs w:val="20"/>
          <w:color w:val="auto"/>
        </w:rPr>
      </w:pPr>
      <w:r>
        <w:rPr>
          <w:rFonts w:ascii="Arial" w:cs="Arial" w:eastAsia="Arial" w:hAnsi="Arial"/>
          <w:sz w:val="18"/>
          <w:szCs w:val="18"/>
          <w:b w:val="1"/>
          <w:bCs w:val="1"/>
          <w:color w:val="auto"/>
        </w:rPr>
        <w:t>For the Three Months and Fiscal Years Ended December 28, 2019 and December 29, 2018</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0" w:type="dxa"/>
            <w:vAlign w:val="bottom"/>
            <w:gridSpan w:val="12"/>
          </w:tcPr>
          <w:p>
            <w:pPr>
              <w:ind w:left="40"/>
              <w:spacing w:after="0"/>
              <w:rPr>
                <w:sz w:val="20"/>
                <w:szCs w:val="20"/>
                <w:color w:val="auto"/>
              </w:rPr>
            </w:pPr>
            <w:r>
              <w:rPr>
                <w:rFonts w:ascii="Arial" w:cs="Arial" w:eastAsia="Arial" w:hAnsi="Arial"/>
                <w:sz w:val="18"/>
                <w:szCs w:val="18"/>
                <w:b w:val="1"/>
                <w:bCs w:val="1"/>
                <w:color w:val="auto"/>
                <w:w w:val="92"/>
              </w:rPr>
              <w:t>Three Months Ended Three Months Ended Three Months Ended Three Months Ended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gridSpan w:val="5"/>
          </w:tcPr>
          <w:p>
            <w:pPr>
              <w:ind w:left="40"/>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 31, 2018</w:t>
            </w:r>
          </w:p>
        </w:tc>
        <w:tc>
          <w:tcPr>
            <w:tcW w:w="26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 30, 2018</w:t>
            </w:r>
          </w:p>
        </w:tc>
        <w:tc>
          <w:tcPr>
            <w:tcW w:w="2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 29, 2018</w:t>
            </w:r>
          </w:p>
        </w:tc>
        <w:tc>
          <w:tcPr>
            <w:tcW w:w="240" w:type="dxa"/>
            <w:vAlign w:val="bottom"/>
          </w:tcPr>
          <w:p>
            <w:pPr>
              <w:spacing w:after="0"/>
              <w:rPr>
                <w:sz w:val="20"/>
                <w:szCs w:val="20"/>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 29, 2018</w:t>
            </w:r>
          </w:p>
        </w:tc>
        <w:tc>
          <w:tcPr>
            <w:tcW w:w="160" w:type="dxa"/>
            <w:vAlign w:val="bottom"/>
          </w:tcPr>
          <w:p>
            <w:pPr>
              <w:spacing w:after="0"/>
              <w:rPr>
                <w:sz w:val="20"/>
                <w:szCs w:val="20"/>
                <w:color w:val="auto"/>
              </w:rPr>
            </w:pPr>
          </w:p>
        </w:tc>
        <w:tc>
          <w:tcPr>
            <w:tcW w:w="16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7"/>
              </w:rPr>
              <w:t>Fiscal Year 2018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38,848</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9.5%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24,973</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6.5%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(19,387)</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42,351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70"/>
        </w:trPr>
        <w:tc>
          <w:tcPr>
            <w:tcW w:w="2820" w:type="dxa"/>
            <w:vAlign w:val="bottom"/>
            <w:gridSpan w:val="5"/>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0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1,596</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26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1,524</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2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10,629</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2.7%</w:t>
            </w:r>
          </w:p>
        </w:tc>
        <w:tc>
          <w:tcPr>
            <w:tcW w:w="24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7,190</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2.0%</w:t>
            </w:r>
          </w:p>
        </w:tc>
        <w:tc>
          <w:tcPr>
            <w:tcW w:w="160" w:type="dxa"/>
            <w:vAlign w:val="bottom"/>
          </w:tcPr>
          <w:p>
            <w:pPr>
              <w:spacing w:after="0"/>
              <w:rPr>
                <w:sz w:val="23"/>
                <w:szCs w:val="23"/>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20,939</w:t>
            </w: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3"/>
                <w:shd w:val="clear" w:color="auto" w:fill="CCEEFF"/>
              </w:rPr>
              <w:t>Asset impairment</w:t>
            </w:r>
          </w:p>
        </w:tc>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(d)</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2,137</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0.6%</w:t>
            </w: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15,493</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4.4%</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17,630</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gridSpan w:val="2"/>
            <w:vMerge w:val="continue"/>
            <w:shd w:val="clear" w:color="auto" w:fill="CCEEFF"/>
          </w:tcPr>
          <w:p>
            <w:pPr>
              <w:spacing w:after="0"/>
              <w:rPr>
                <w:sz w:val="6"/>
                <w:szCs w:val="6"/>
                <w:color w:val="auto"/>
              </w:rPr>
            </w:pPr>
          </w:p>
        </w:tc>
        <w:tc>
          <w:tcPr>
            <w:tcW w:w="126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vMerge w:val="continue"/>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780" w:type="dxa"/>
            <w:vAlign w:val="bottom"/>
            <w:tcBorders>
              <w:bottom w:val="single" w:sz="8" w:color="CCEEFF"/>
            </w:tcBorders>
            <w:vMerge w:val="continue"/>
            <w:shd w:val="clear" w:color="auto" w:fill="CCEEFF"/>
          </w:tcPr>
          <w:p>
            <w:pPr>
              <w:spacing w:after="0"/>
              <w:rPr>
                <w:sz w:val="6"/>
                <w:szCs w:val="6"/>
                <w:color w:val="auto"/>
              </w:rPr>
            </w:pPr>
          </w:p>
        </w:tc>
        <w:tc>
          <w:tcPr>
            <w:tcW w:w="740" w:type="dxa"/>
            <w:vAlign w:val="bottom"/>
            <w:tcBorders>
              <w:bottom w:val="single" w:sz="8" w:color="CCEEFF"/>
            </w:tcBorders>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820" w:type="dxa"/>
            <w:vAlign w:val="bottom"/>
            <w:gridSpan w:val="5"/>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(g)</w:t>
            </w:r>
          </w:p>
        </w:tc>
        <w:tc>
          <w:tcPr>
            <w:tcW w:w="20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963</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26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177</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2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702</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24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609</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60" w:type="dxa"/>
            <w:vAlign w:val="bottom"/>
          </w:tcPr>
          <w:p>
            <w:pPr>
              <w:spacing w:after="0"/>
              <w:rPr>
                <w:sz w:val="23"/>
                <w:szCs w:val="23"/>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2,451</w:t>
            </w: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25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Management realignment expenses</w:t>
            </w: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(h)</w:t>
            </w: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2580" w:type="dxa"/>
            <w:vAlign w:val="bottom"/>
            <w:tcBorders>
              <w:bottom w:val="single" w:sz="8" w:color="CCEEFF"/>
            </w:tcBorders>
            <w:gridSpan w:val="3"/>
            <w:vMerge w:val="continue"/>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vMerge w:val="continue"/>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780" w:type="dxa"/>
            <w:vAlign w:val="bottom"/>
            <w:tcBorders>
              <w:bottom w:val="single" w:sz="8" w:color="CCEEFF"/>
            </w:tcBorders>
            <w:vMerge w:val="continue"/>
            <w:shd w:val="clear" w:color="auto" w:fill="CCEEFF"/>
          </w:tcPr>
          <w:p>
            <w:pPr>
              <w:spacing w:after="0"/>
              <w:rPr>
                <w:sz w:val="6"/>
                <w:szCs w:val="6"/>
                <w:color w:val="auto"/>
              </w:rPr>
            </w:pPr>
          </w:p>
        </w:tc>
        <w:tc>
          <w:tcPr>
            <w:tcW w:w="740" w:type="dxa"/>
            <w:vAlign w:val="bottom"/>
            <w:tcBorders>
              <w:bottom w:val="single" w:sz="8" w:color="CCEEFF"/>
            </w:tcBorders>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820" w:type="dxa"/>
            <w:vAlign w:val="bottom"/>
            <w:gridSpan w:val="5"/>
          </w:tcPr>
          <w:p>
            <w:pPr>
              <w:ind w:left="40"/>
              <w:spacing w:after="0" w:line="270" w:lineRule="exact"/>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5"/>
                <w:szCs w:val="25"/>
                <w:color w:val="auto"/>
                <w:vertAlign w:val="superscript"/>
              </w:rPr>
              <w:t>(i)</w:t>
            </w:r>
          </w:p>
        </w:tc>
        <w:tc>
          <w:tcPr>
            <w:tcW w:w="20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26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2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4,611</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1.2%</w:t>
            </w:r>
          </w:p>
        </w:tc>
        <w:tc>
          <w:tcPr>
            <w:tcW w:w="24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2,429</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0.7%</w:t>
            </w:r>
          </w:p>
        </w:tc>
        <w:tc>
          <w:tcPr>
            <w:tcW w:w="160" w:type="dxa"/>
            <w:vAlign w:val="bottom"/>
          </w:tcPr>
          <w:p>
            <w:pPr>
              <w:spacing w:after="0"/>
              <w:rPr>
                <w:sz w:val="23"/>
                <w:szCs w:val="23"/>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7,040</w:t>
            </w: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7"/>
                <w:shd w:val="clear" w:color="auto" w:fill="CCEEFF"/>
              </w:rPr>
              <w:t>Other</w:t>
            </w:r>
          </w:p>
        </w:tc>
        <w:tc>
          <w:tcPr>
            <w:tcW w:w="86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(j)</w:t>
            </w: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726</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1,927</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1,473</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4,585</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vMerge w:val="continue"/>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126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vMerge w:val="continue"/>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780" w:type="dxa"/>
            <w:vAlign w:val="bottom"/>
            <w:tcBorders>
              <w:bottom w:val="single" w:sz="8" w:color="CCEEFF"/>
            </w:tcBorders>
            <w:vMerge w:val="continue"/>
            <w:shd w:val="clear" w:color="auto" w:fill="CCEEFF"/>
          </w:tcPr>
          <w:p>
            <w:pPr>
              <w:spacing w:after="0"/>
              <w:rPr>
                <w:sz w:val="6"/>
                <w:szCs w:val="6"/>
                <w:color w:val="auto"/>
              </w:rPr>
            </w:pPr>
          </w:p>
        </w:tc>
        <w:tc>
          <w:tcPr>
            <w:tcW w:w="740" w:type="dxa"/>
            <w:vAlign w:val="bottom"/>
            <w:tcBorders>
              <w:bottom w:val="single" w:sz="8" w:color="CCEEFF"/>
            </w:tcBorders>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820" w:type="dxa"/>
            <w:vAlign w:val="bottom"/>
            <w:gridSpan w:val="5"/>
          </w:tcPr>
          <w:p>
            <w:pPr>
              <w:ind w:left="40"/>
              <w:spacing w:after="0"/>
              <w:rPr>
                <w:sz w:val="20"/>
                <w:szCs w:val="20"/>
                <w:color w:val="auto"/>
              </w:rPr>
            </w:pPr>
            <w:r>
              <w:rPr>
                <w:rFonts w:ascii="Arial" w:cs="Arial" w:eastAsia="Arial" w:hAnsi="Arial"/>
                <w:sz w:val="18"/>
                <w:szCs w:val="18"/>
                <w:color w:val="auto"/>
              </w:rPr>
              <w:t>Amortization of acquisition</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20" w:type="dxa"/>
            <w:vAlign w:val="bottom"/>
            <w:tcBorders>
              <w:bottom w:val="single" w:sz="8" w:color="CCEEFF"/>
            </w:tcBorders>
            <w:gridSpan w:val="5"/>
          </w:tcPr>
          <w:p>
            <w:pPr>
              <w:ind w:left="40"/>
              <w:spacing w:after="0" w:line="257" w:lineRule="exact"/>
              <w:rPr>
                <w:sz w:val="20"/>
                <w:szCs w:val="20"/>
                <w:color w:val="auto"/>
              </w:rPr>
            </w:pPr>
            <w:r>
              <w:rPr>
                <w:rFonts w:ascii="Arial" w:cs="Arial" w:eastAsia="Arial" w:hAnsi="Arial"/>
                <w:sz w:val="18"/>
                <w:szCs w:val="18"/>
                <w:color w:val="auto"/>
              </w:rPr>
              <w:t xml:space="preserve">intangibles </w:t>
            </w:r>
            <w:r>
              <w:rPr>
                <w:rFonts w:ascii="Arial" w:cs="Arial" w:eastAsia="Arial" w:hAnsi="Arial"/>
                <w:sz w:val="25"/>
                <w:szCs w:val="25"/>
                <w:color w:val="auto"/>
                <w:vertAlign w:val="superscript"/>
              </w:rPr>
              <w:t>(o)</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1,851</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0.5%</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1,851</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0.5%</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1,851</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0.5%</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1,852</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0.5%</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7,405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Adjusted Operating Income /</w:t>
            </w:r>
          </w:p>
        </w:tc>
        <w:tc>
          <w:tcPr>
            <w:tcW w:w="2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43,717</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10.7%</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29,251</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7.6%</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19,774</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5.1%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9,659</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5"/>
              </w:rPr>
              <w:t>102,401</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Adjusted Operating Margin</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vMerge w:val="continue"/>
            <w:shd w:val="clear" w:color="auto" w:fill="CCEEFF"/>
          </w:tcPr>
          <w:p>
            <w:pPr>
              <w:spacing w:after="0"/>
              <w:rPr>
                <w:sz w:val="21"/>
                <w:szCs w:val="21"/>
                <w:color w:val="auto"/>
              </w:rPr>
            </w:pPr>
          </w:p>
        </w:tc>
        <w:tc>
          <w:tcPr>
            <w:tcW w:w="720" w:type="dxa"/>
            <w:vAlign w:val="bottom"/>
            <w:tcBorders>
              <w:bottom w:val="single" w:sz="8" w:color="CCEEFF"/>
            </w:tcBorders>
            <w:vMerge w:val="continue"/>
            <w:shd w:val="clear" w:color="auto" w:fill="CCEEFF"/>
          </w:tcPr>
          <w:p>
            <w:pPr>
              <w:spacing w:after="0"/>
              <w:rPr>
                <w:sz w:val="21"/>
                <w:szCs w:val="21"/>
                <w:color w:val="auto"/>
              </w:rPr>
            </w:pPr>
          </w:p>
        </w:tc>
        <w:tc>
          <w:tcPr>
            <w:tcW w:w="720" w:type="dxa"/>
            <w:vAlign w:val="bottom"/>
            <w:tcBorders>
              <w:bottom w:val="single" w:sz="8" w:color="CCEEFF"/>
            </w:tcBorders>
            <w:vMerge w:val="continue"/>
            <w:shd w:val="clear" w:color="auto" w:fill="CCEEFF"/>
          </w:tcPr>
          <w:p>
            <w:pPr>
              <w:spacing w:after="0"/>
              <w:rPr>
                <w:sz w:val="21"/>
                <w:szCs w:val="21"/>
                <w:color w:val="auto"/>
              </w:rPr>
            </w:pPr>
          </w:p>
        </w:tc>
        <w:tc>
          <w:tcPr>
            <w:tcW w:w="260" w:type="dxa"/>
            <w:vAlign w:val="bottom"/>
            <w:tcBorders>
              <w:bottom w:val="single" w:sz="8" w:color="CCEEFF"/>
            </w:tcBorders>
            <w:vMerge w:val="continue"/>
            <w:shd w:val="clear" w:color="auto" w:fill="CCEEFF"/>
          </w:tcPr>
          <w:p>
            <w:pPr>
              <w:spacing w:after="0"/>
              <w:rPr>
                <w:sz w:val="21"/>
                <w:szCs w:val="21"/>
                <w:color w:val="auto"/>
              </w:rPr>
            </w:pPr>
          </w:p>
        </w:tc>
        <w:tc>
          <w:tcPr>
            <w:tcW w:w="740" w:type="dxa"/>
            <w:vAlign w:val="bottom"/>
            <w:tcBorders>
              <w:bottom w:val="single" w:sz="8" w:color="CCEEFF"/>
            </w:tcBorders>
            <w:vMerge w:val="continue"/>
            <w:shd w:val="clear" w:color="auto" w:fill="CCEEFF"/>
          </w:tcPr>
          <w:p>
            <w:pPr>
              <w:spacing w:after="0"/>
              <w:rPr>
                <w:sz w:val="21"/>
                <w:szCs w:val="21"/>
                <w:color w:val="auto"/>
              </w:rPr>
            </w:pPr>
          </w:p>
        </w:tc>
        <w:tc>
          <w:tcPr>
            <w:tcW w:w="680" w:type="dxa"/>
            <w:vAlign w:val="bottom"/>
            <w:tcBorders>
              <w:bottom w:val="single" w:sz="8" w:color="CCEEFF"/>
            </w:tcBorders>
            <w:vMerge w:val="continue"/>
            <w:shd w:val="clear" w:color="auto" w:fill="CCEEFF"/>
          </w:tcPr>
          <w:p>
            <w:pPr>
              <w:spacing w:after="0"/>
              <w:rPr>
                <w:sz w:val="21"/>
                <w:szCs w:val="21"/>
                <w:color w:val="auto"/>
              </w:rPr>
            </w:pPr>
          </w:p>
        </w:tc>
        <w:tc>
          <w:tcPr>
            <w:tcW w:w="280" w:type="dxa"/>
            <w:vAlign w:val="bottom"/>
            <w:tcBorders>
              <w:bottom w:val="single" w:sz="8" w:color="CCEEFF"/>
            </w:tcBorders>
            <w:vMerge w:val="continue"/>
            <w:shd w:val="clear" w:color="auto" w:fill="CCEEFF"/>
          </w:tcPr>
          <w:p>
            <w:pPr>
              <w:spacing w:after="0"/>
              <w:rPr>
                <w:sz w:val="21"/>
                <w:szCs w:val="21"/>
                <w:color w:val="auto"/>
              </w:rPr>
            </w:pPr>
          </w:p>
        </w:tc>
        <w:tc>
          <w:tcPr>
            <w:tcW w:w="740" w:type="dxa"/>
            <w:vAlign w:val="bottom"/>
            <w:tcBorders>
              <w:bottom w:val="single" w:sz="8" w:color="CCEEFF"/>
            </w:tcBorders>
            <w:vMerge w:val="continue"/>
            <w:shd w:val="clear" w:color="auto" w:fill="CCEEFF"/>
          </w:tcPr>
          <w:p>
            <w:pPr>
              <w:spacing w:after="0"/>
              <w:rPr>
                <w:sz w:val="21"/>
                <w:szCs w:val="21"/>
                <w:color w:val="auto"/>
              </w:rPr>
            </w:pPr>
          </w:p>
        </w:tc>
        <w:tc>
          <w:tcPr>
            <w:tcW w:w="700" w:type="dxa"/>
            <w:vAlign w:val="bottom"/>
            <w:tcBorders>
              <w:bottom w:val="single" w:sz="8" w:color="CCEEFF"/>
            </w:tcBorders>
            <w:vMerge w:val="continue"/>
            <w:shd w:val="clear" w:color="auto" w:fill="CCEEFF"/>
          </w:tcPr>
          <w:p>
            <w:pPr>
              <w:spacing w:after="0"/>
              <w:rPr>
                <w:sz w:val="21"/>
                <w:szCs w:val="21"/>
                <w:color w:val="auto"/>
              </w:rPr>
            </w:pPr>
          </w:p>
        </w:tc>
        <w:tc>
          <w:tcPr>
            <w:tcW w:w="240" w:type="dxa"/>
            <w:vAlign w:val="bottom"/>
            <w:tcBorders>
              <w:bottom w:val="single" w:sz="8" w:color="CCEEFF"/>
            </w:tcBorders>
            <w:vMerge w:val="continue"/>
            <w:shd w:val="clear" w:color="auto" w:fill="CCEEFF"/>
          </w:tcPr>
          <w:p>
            <w:pPr>
              <w:spacing w:after="0"/>
              <w:rPr>
                <w:sz w:val="21"/>
                <w:szCs w:val="21"/>
                <w:color w:val="auto"/>
              </w:rPr>
            </w:pPr>
          </w:p>
        </w:tc>
        <w:tc>
          <w:tcPr>
            <w:tcW w:w="780" w:type="dxa"/>
            <w:vAlign w:val="bottom"/>
            <w:tcBorders>
              <w:bottom w:val="single" w:sz="8" w:color="CCEEFF"/>
            </w:tcBorders>
            <w:vMerge w:val="continue"/>
            <w:shd w:val="clear" w:color="auto" w:fill="CCEEFF"/>
          </w:tcPr>
          <w:p>
            <w:pPr>
              <w:spacing w:after="0"/>
              <w:rPr>
                <w:sz w:val="21"/>
                <w:szCs w:val="21"/>
                <w:color w:val="auto"/>
              </w:rPr>
            </w:pPr>
          </w:p>
        </w:tc>
        <w:tc>
          <w:tcPr>
            <w:tcW w:w="740" w:type="dxa"/>
            <w:vAlign w:val="bottom"/>
            <w:tcBorders>
              <w:bottom w:val="single" w:sz="8" w:color="CCEEFF"/>
            </w:tcBorders>
            <w:vMerge w:val="continue"/>
            <w:shd w:val="clear" w:color="auto" w:fill="CCEEFF"/>
          </w:tcPr>
          <w:p>
            <w:pPr>
              <w:spacing w:after="0"/>
              <w:rPr>
                <w:sz w:val="21"/>
                <w:szCs w:val="21"/>
                <w:color w:val="auto"/>
              </w:rPr>
            </w:pPr>
          </w:p>
        </w:tc>
        <w:tc>
          <w:tcPr>
            <w:tcW w:w="160" w:type="dxa"/>
            <w:vAlign w:val="bottom"/>
            <w:tcBorders>
              <w:bottom w:val="single" w:sz="8" w:color="CCEEFF"/>
            </w:tcBorders>
            <w:vMerge w:val="continue"/>
            <w:shd w:val="clear" w:color="auto" w:fill="CCEEFF"/>
          </w:tcPr>
          <w:p>
            <w:pPr>
              <w:spacing w:after="0"/>
              <w:rPr>
                <w:sz w:val="21"/>
                <w:szCs w:val="21"/>
                <w:color w:val="auto"/>
              </w:rPr>
            </w:pPr>
          </w:p>
        </w:tc>
        <w:tc>
          <w:tcPr>
            <w:tcW w:w="920" w:type="dxa"/>
            <w:vAlign w:val="bottom"/>
            <w:tcBorders>
              <w:bottom w:val="single" w:sz="8" w:color="CCEEFF"/>
            </w:tcBorders>
            <w:vMerge w:val="continue"/>
            <w:shd w:val="clear" w:color="auto" w:fill="CCEEFF"/>
          </w:tcPr>
          <w:p>
            <w:pPr>
              <w:spacing w:after="0"/>
              <w:rPr>
                <w:sz w:val="21"/>
                <w:szCs w:val="21"/>
                <w:color w:val="auto"/>
              </w:rPr>
            </w:pPr>
          </w:p>
        </w:tc>
        <w:tc>
          <w:tcPr>
            <w:tcW w:w="72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auto"/>
              <w:bottom w:val="single" w:sz="8" w:color="auto"/>
            </w:tcBorders>
            <w:gridSpan w:val="1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0" w:type="dxa"/>
            <w:vAlign w:val="bottom"/>
            <w:gridSpan w:val="12"/>
          </w:tcPr>
          <w:p>
            <w:pPr>
              <w:ind w:left="40"/>
              <w:spacing w:after="0"/>
              <w:rPr>
                <w:sz w:val="20"/>
                <w:szCs w:val="20"/>
                <w:color w:val="auto"/>
              </w:rPr>
            </w:pPr>
            <w:r>
              <w:rPr>
                <w:rFonts w:ascii="Arial" w:cs="Arial" w:eastAsia="Arial" w:hAnsi="Arial"/>
                <w:sz w:val="18"/>
                <w:szCs w:val="18"/>
                <w:b w:val="1"/>
                <w:bCs w:val="1"/>
                <w:color w:val="auto"/>
                <w:w w:val="92"/>
              </w:rPr>
              <w:t>Three Months Ended Three Months Ended Three Months Ended Three Months Ended</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20" w:type="dxa"/>
            <w:vAlign w:val="bottom"/>
            <w:gridSpan w:val="5"/>
          </w:tcPr>
          <w:p>
            <w:pPr>
              <w:ind w:left="40"/>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 30, 2019</w:t>
            </w:r>
          </w:p>
        </w:tc>
        <w:tc>
          <w:tcPr>
            <w:tcW w:w="26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 29, 2019</w:t>
            </w:r>
          </w:p>
        </w:tc>
        <w:tc>
          <w:tcPr>
            <w:tcW w:w="2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 28, 2019</w:t>
            </w:r>
          </w:p>
        </w:tc>
        <w:tc>
          <w:tcPr>
            <w:tcW w:w="240" w:type="dxa"/>
            <w:vAlign w:val="bottom"/>
          </w:tcPr>
          <w:p>
            <w:pPr>
              <w:spacing w:after="0"/>
              <w:rPr>
                <w:sz w:val="20"/>
                <w:szCs w:val="20"/>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 28, 2019</w:t>
            </w:r>
          </w:p>
        </w:tc>
        <w:tc>
          <w:tcPr>
            <w:tcW w:w="160" w:type="dxa"/>
            <w:vAlign w:val="bottom"/>
          </w:tcPr>
          <w:p>
            <w:pPr>
              <w:spacing w:after="0"/>
              <w:rPr>
                <w:sz w:val="20"/>
                <w:szCs w:val="20"/>
                <w:color w:val="auto"/>
              </w:rPr>
            </w:pPr>
          </w:p>
        </w:tc>
        <w:tc>
          <w:tcPr>
            <w:tcW w:w="16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7"/>
              </w:rPr>
              <w:t>Fiscal Year 2019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32,400</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21,702</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5.1%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11,112</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8,361</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73,575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70"/>
        </w:trPr>
        <w:tc>
          <w:tcPr>
            <w:tcW w:w="2820" w:type="dxa"/>
            <w:vAlign w:val="bottom"/>
            <w:gridSpan w:val="5"/>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0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2,976</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26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1,741</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2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6,123</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1.4%</w:t>
            </w:r>
          </w:p>
        </w:tc>
        <w:tc>
          <w:tcPr>
            <w:tcW w:w="24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1,830</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0.5%</w:t>
            </w:r>
          </w:p>
        </w:tc>
        <w:tc>
          <w:tcPr>
            <w:tcW w:w="160" w:type="dxa"/>
            <w:vAlign w:val="bottom"/>
          </w:tcPr>
          <w:p>
            <w:pPr>
              <w:spacing w:after="0"/>
              <w:rPr>
                <w:sz w:val="23"/>
                <w:szCs w:val="23"/>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12,670</w:t>
            </w: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2820" w:type="dxa"/>
            <w:vAlign w:val="bottom"/>
            <w:gridSpan w:val="5"/>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(d)</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2,082</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1,790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3,516</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0.8%</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1,506</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8,894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2820" w:type="dxa"/>
            <w:vAlign w:val="bottom"/>
            <w:gridSpan w:val="5"/>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(g)</w:t>
            </w:r>
          </w:p>
        </w:tc>
        <w:tc>
          <w:tcPr>
            <w:tcW w:w="20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26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2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401</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24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401</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20" w:type="dxa"/>
            <w:vAlign w:val="bottom"/>
            <w:gridSpan w:val="5"/>
            <w:shd w:val="clear" w:color="auto" w:fill="CCEEFF"/>
          </w:tcPr>
          <w:p>
            <w:pPr>
              <w:ind w:left="40"/>
              <w:spacing w:after="0" w:line="270" w:lineRule="exact"/>
              <w:rPr>
                <w:sz w:val="20"/>
                <w:szCs w:val="20"/>
                <w:color w:val="auto"/>
              </w:rPr>
            </w:pPr>
            <w:r>
              <w:rPr>
                <w:rFonts w:ascii="Arial" w:cs="Arial" w:eastAsia="Arial" w:hAnsi="Arial"/>
                <w:sz w:val="18"/>
                <w:szCs w:val="18"/>
                <w:color w:val="auto"/>
                <w:w w:val="88"/>
              </w:rPr>
              <w:t xml:space="preserve">Management realignment expenses </w:t>
            </w:r>
            <w:r>
              <w:rPr>
                <w:rFonts w:ascii="Arial" w:cs="Arial" w:eastAsia="Arial" w:hAnsi="Arial"/>
                <w:sz w:val="25"/>
                <w:szCs w:val="25"/>
                <w:color w:val="auto"/>
                <w:w w:val="88"/>
                <w:vertAlign w:val="superscript"/>
              </w:rPr>
              <w:t>(h)</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2,155</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2,155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2820" w:type="dxa"/>
            <w:vAlign w:val="bottom"/>
            <w:gridSpan w:val="5"/>
          </w:tcPr>
          <w:p>
            <w:pPr>
              <w:ind w:left="40"/>
              <w:spacing w:after="0" w:line="270" w:lineRule="exact"/>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5"/>
                <w:szCs w:val="25"/>
                <w:color w:val="auto"/>
                <w:vertAlign w:val="superscript"/>
              </w:rPr>
              <w:t>(i)</w:t>
            </w:r>
          </w:p>
        </w:tc>
        <w:tc>
          <w:tcPr>
            <w:tcW w:w="20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26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781</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2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1,108</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24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941</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60" w:type="dxa"/>
            <w:vAlign w:val="bottom"/>
          </w:tcPr>
          <w:p>
            <w:pPr>
              <w:spacing w:after="0"/>
              <w:rPr>
                <w:sz w:val="23"/>
                <w:szCs w:val="23"/>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2,830</w:t>
            </w: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2820" w:type="dxa"/>
            <w:vAlign w:val="bottom"/>
            <w:gridSpan w:val="5"/>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(j)</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1,192</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1,223</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1,956</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1,999</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6,370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2820" w:type="dxa"/>
            <w:vAlign w:val="bottom"/>
            <w:gridSpan w:val="5"/>
          </w:tcPr>
          <w:p>
            <w:pPr>
              <w:ind w:left="40"/>
              <w:spacing w:after="0"/>
              <w:rPr>
                <w:sz w:val="20"/>
                <w:szCs w:val="20"/>
                <w:color w:val="auto"/>
              </w:rPr>
            </w:pPr>
            <w:r>
              <w:rPr>
                <w:rFonts w:ascii="Arial" w:cs="Arial" w:eastAsia="Arial" w:hAnsi="Arial"/>
                <w:sz w:val="18"/>
                <w:szCs w:val="18"/>
                <w:color w:val="auto"/>
              </w:rPr>
              <w:t>Amortization of acquisition</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20" w:type="dxa"/>
            <w:vAlign w:val="bottom"/>
            <w:tcBorders>
              <w:bottom w:val="single" w:sz="8" w:color="CCEEFF"/>
            </w:tcBorders>
            <w:gridSpan w:val="5"/>
          </w:tcPr>
          <w:p>
            <w:pPr>
              <w:ind w:left="40"/>
              <w:spacing w:after="0" w:line="257" w:lineRule="exact"/>
              <w:rPr>
                <w:sz w:val="20"/>
                <w:szCs w:val="20"/>
                <w:color w:val="auto"/>
              </w:rPr>
            </w:pPr>
            <w:r>
              <w:rPr>
                <w:rFonts w:ascii="Arial" w:cs="Arial" w:eastAsia="Arial" w:hAnsi="Arial"/>
                <w:sz w:val="18"/>
                <w:szCs w:val="18"/>
                <w:color w:val="auto"/>
              </w:rPr>
              <w:t xml:space="preserve">intangibles </w:t>
            </w:r>
            <w:r>
              <w:rPr>
                <w:rFonts w:ascii="Arial" w:cs="Arial" w:eastAsia="Arial" w:hAnsi="Arial"/>
                <w:sz w:val="25"/>
                <w:szCs w:val="25"/>
                <w:color w:val="auto"/>
                <w:vertAlign w:val="superscript"/>
              </w:rPr>
              <w:t>(o)</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1,851</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0.4%</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1,851</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0.4%</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1,851</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0.4%</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1,852</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0.5%</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7,405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5"/>
        </w:trPr>
        <w:tc>
          <w:tcPr>
            <w:tcW w:w="2820" w:type="dxa"/>
            <w:vAlign w:val="bottom"/>
            <w:gridSpan w:val="5"/>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Adjusted Operating Income /</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42,656</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9.2%</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29,088</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6.8%</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26,067</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6.0%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16,489</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5"/>
              </w:rPr>
              <w:t>114,300</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41"/>
        </w:trPr>
        <w:tc>
          <w:tcPr>
            <w:tcW w:w="2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Margin</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5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Reconciliation of Adjusted EBITDA to Net Income (2019 Definition and 2020 Definition) (Unaudited)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w:t>
            </w:r>
          </w:p>
        </w:tc>
        <w:tc>
          <w:tcPr>
            <w:tcW w:w="16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Three</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Three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Three</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w:t>
            </w:r>
          </w:p>
        </w:tc>
        <w:tc>
          <w:tcPr>
            <w:tcW w:w="140" w:type="dxa"/>
            <w:vAlign w:val="bottom"/>
          </w:tcPr>
          <w:p>
            <w:pPr>
              <w:spacing w:after="0"/>
              <w:rPr>
                <w:sz w:val="18"/>
                <w:szCs w:val="18"/>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Three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Months</w:t>
            </w:r>
          </w:p>
        </w:tc>
        <w:tc>
          <w:tcPr>
            <w:tcW w:w="16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Months</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Months</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Months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Months</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Months</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Months</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Months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7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Mar 31,</w:t>
            </w:r>
          </w:p>
        </w:tc>
        <w:tc>
          <w:tcPr>
            <w:tcW w:w="16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Jun 30,</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Sep 29,</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 29,</w:t>
            </w:r>
          </w:p>
        </w:tc>
        <w:tc>
          <w:tcPr>
            <w:tcW w:w="18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Fiscal</w:t>
            </w:r>
          </w:p>
        </w:tc>
        <w:tc>
          <w:tcPr>
            <w:tcW w:w="140" w:type="dxa"/>
            <w:vAlign w:val="bottom"/>
          </w:tcPr>
          <w:p>
            <w:pPr>
              <w:spacing w:after="0"/>
              <w:rPr>
                <w:sz w:val="18"/>
                <w:szCs w:val="18"/>
                <w:color w:val="auto"/>
              </w:rPr>
            </w:pPr>
          </w:p>
        </w:tc>
        <w:tc>
          <w:tcPr>
            <w:tcW w:w="7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Mar 30,</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Jun 29,</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Sep 28,</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 28,</w:t>
            </w:r>
          </w:p>
        </w:tc>
        <w:tc>
          <w:tcPr>
            <w:tcW w:w="18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Fiscal</w:t>
            </w:r>
          </w:p>
        </w:tc>
        <w:tc>
          <w:tcPr>
            <w:tcW w:w="0" w:type="dxa"/>
            <w:vAlign w:val="bottom"/>
          </w:tcPr>
          <w:p>
            <w:pPr>
              <w:spacing w:after="0"/>
              <w:rPr>
                <w:sz w:val="1"/>
                <w:szCs w:val="1"/>
                <w:color w:val="auto"/>
              </w:rPr>
            </w:pPr>
          </w:p>
        </w:tc>
      </w:tr>
      <w:tr>
        <w:trPr>
          <w:trHeight w:val="234"/>
        </w:trPr>
        <w:tc>
          <w:tcPr>
            <w:tcW w:w="2300" w:type="dxa"/>
            <w:vAlign w:val="bottom"/>
          </w:tcPr>
          <w:p>
            <w:pPr>
              <w:ind w:left="40"/>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Year 2018</w:t>
            </w:r>
          </w:p>
        </w:tc>
        <w:tc>
          <w:tcPr>
            <w:tcW w:w="140" w:type="dxa"/>
            <w:vAlign w:val="bottom"/>
          </w:tcPr>
          <w:p>
            <w:pPr>
              <w:spacing w:after="0"/>
              <w:rPr>
                <w:sz w:val="20"/>
                <w:szCs w:val="20"/>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Year 2019</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24,455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12,467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5,171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23,653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17,429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10,257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32,798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9,313</w:t>
            </w: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9,424</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9,407</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9,139</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37,283</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9,061</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8,968</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7,873</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7,397</w:t>
            </w:r>
          </w:p>
        </w:tc>
        <w:tc>
          <w:tcPr>
            <w:tcW w:w="1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33,300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5,080</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3,082</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(16,661)</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(18,785)</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2,477</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w w:val="93"/>
              </w:rPr>
              <w:t>Depreciation and amortization</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17,862</w:t>
            </w: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17,577</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19,344</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19,556</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74,339</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20,415</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20,819</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22,336</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23,674</w:t>
            </w:r>
          </w:p>
        </w:tc>
        <w:tc>
          <w:tcPr>
            <w:tcW w:w="1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87,244</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56,710</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42,550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17,261</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116,490</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52,815</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42,521</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23,662</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32,035</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151,033</w:t>
            </w:r>
          </w:p>
        </w:tc>
        <w:tc>
          <w:tcPr>
            <w:tcW w:w="0" w:type="dxa"/>
            <w:vAlign w:val="bottom"/>
          </w:tcPr>
          <w:p>
            <w:pPr>
              <w:spacing w:after="0"/>
              <w:rPr>
                <w:sz w:val="1"/>
                <w:szCs w:val="1"/>
                <w:color w:val="auto"/>
              </w:rPr>
            </w:pPr>
          </w:p>
        </w:tc>
      </w:tr>
      <w:tr>
        <w:trPr>
          <w:trHeight w:val="284"/>
        </w:trPr>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Stock compensation expense</w:t>
            </w:r>
          </w:p>
        </w:tc>
        <w:tc>
          <w:tcPr>
            <w:tcW w:w="14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1,596</w:t>
            </w:r>
          </w:p>
        </w:tc>
        <w:tc>
          <w:tcPr>
            <w:tcW w:w="16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10,629</w:t>
            </w: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7,190</w:t>
            </w:r>
          </w:p>
        </w:tc>
        <w:tc>
          <w:tcPr>
            <w:tcW w:w="18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20,939</w:t>
            </w:r>
          </w:p>
        </w:tc>
        <w:tc>
          <w:tcPr>
            <w:tcW w:w="1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2,976</w:t>
            </w: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6,123</w:t>
            </w: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1,830</w:t>
            </w:r>
          </w:p>
        </w:tc>
        <w:tc>
          <w:tcPr>
            <w:tcW w:w="18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12,670</w:t>
            </w:r>
          </w:p>
        </w:tc>
        <w:tc>
          <w:tcPr>
            <w:tcW w:w="0" w:type="dxa"/>
            <w:vAlign w:val="bottom"/>
          </w:tcPr>
          <w:p>
            <w:pPr>
              <w:spacing w:after="0"/>
              <w:rPr>
                <w:sz w:val="1"/>
                <w:szCs w:val="1"/>
                <w:color w:val="auto"/>
              </w:rPr>
            </w:pPr>
          </w:p>
        </w:tc>
      </w:tr>
      <w:tr>
        <w:trPr>
          <w:trHeight w:val="1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w:t>
            </w: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1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extinguishment of</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5"/>
                <w:szCs w:val="25"/>
                <w:color w:val="auto"/>
                <w:vertAlign w:val="superscript"/>
              </w:rPr>
              <w:t>(c)</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9,786</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70"/>
        </w:trPr>
        <w:tc>
          <w:tcPr>
            <w:tcW w:w="2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(d)</w:t>
            </w:r>
          </w:p>
        </w:tc>
        <w:tc>
          <w:tcPr>
            <w:tcW w:w="1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2,137</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15,493</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17,630</w:t>
            </w: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2,082</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1,790</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3,516</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1,506</w:t>
            </w:r>
          </w:p>
        </w:tc>
        <w:tc>
          <w:tcPr>
            <w:tcW w:w="1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8,894</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New store pre-opening</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(e)</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2,229</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70"/>
        </w:trPr>
        <w:tc>
          <w:tcPr>
            <w:tcW w:w="2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(f)</w:t>
            </w:r>
          </w:p>
        </w:tc>
        <w:tc>
          <w:tcPr>
            <w:tcW w:w="1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1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867</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2,801</w:t>
            </w: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1,198</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823</w:t>
            </w:r>
          </w:p>
        </w:tc>
        <w:tc>
          <w:tcPr>
            <w:tcW w:w="1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Secondary offering expenses</w:t>
            </w:r>
          </w:p>
        </w:tc>
        <w:tc>
          <w:tcPr>
            <w:tcW w:w="14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2,451</w:t>
            </w:r>
          </w:p>
        </w:tc>
        <w:tc>
          <w:tcPr>
            <w:tcW w:w="1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1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(g)</w:t>
            </w: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Management realignment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(h)</w:t>
            </w:r>
          </w:p>
        </w:tc>
        <w:tc>
          <w:tcPr>
            <w:tcW w:w="14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2,155</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5"/>
                <w:szCs w:val="25"/>
                <w:color w:val="auto"/>
                <w:vertAlign w:val="superscript"/>
              </w:rPr>
              <w:t>(i)</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2,429</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7,040</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1,108</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70"/>
        </w:trPr>
        <w:tc>
          <w:tcPr>
            <w:tcW w:w="23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(j)</w:t>
            </w: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459</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726</w:t>
            </w: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1,927</w:t>
            </w: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1,473</w:t>
            </w: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4,585</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1,192</w:t>
            </w: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1,223</w:t>
            </w: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1,956</w:t>
            </w: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1,999</w:t>
            </w: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Adjusted EBITDA - 2019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60,730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46,478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38,440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28,717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2"/>
              </w:rPr>
              <w:t>174,365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63,303</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49,834</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47,937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39,607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5"/>
              </w:rPr>
              <w:t>200,681</w:t>
            </w:r>
          </w:p>
        </w:tc>
        <w:tc>
          <w:tcPr>
            <w:tcW w:w="0" w:type="dxa"/>
            <w:vAlign w:val="bottom"/>
          </w:tcPr>
          <w:p>
            <w:pPr>
              <w:spacing w:after="0"/>
              <w:rPr>
                <w:sz w:val="1"/>
                <w:szCs w:val="1"/>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Definition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 longer adjusting for:</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New store pre-opening</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(e)</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(2,229)</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(1,128)</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(848)</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(f)</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05"/>
        </w:trPr>
        <w:tc>
          <w:tcPr>
            <w:tcW w:w="23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Adjusted EBITDA - 2020</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59,728</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44,977</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37,267</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27,363</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2"/>
              </w:rPr>
              <w:t>169,335</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61,220</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48,056</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46,552</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38,311</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5"/>
              </w:rPr>
              <w:t>194,139</w:t>
            </w:r>
          </w:p>
        </w:tc>
        <w:tc>
          <w:tcPr>
            <w:tcW w:w="0" w:type="dxa"/>
            <w:vAlign w:val="bottom"/>
          </w:tcPr>
          <w:p>
            <w:pPr>
              <w:spacing w:after="0"/>
              <w:rPr>
                <w:sz w:val="1"/>
                <w:szCs w:val="1"/>
                <w:color w:val="auto"/>
              </w:rPr>
            </w:pPr>
          </w:p>
        </w:tc>
      </w:tr>
      <w:tr>
        <w:trPr>
          <w:trHeight w:val="246"/>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Definition</w:t>
            </w:r>
          </w:p>
        </w:tc>
        <w:tc>
          <w:tcPr>
            <w:tcW w:w="1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26"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Reconciliation of Adjusted Net Income to Net Income (2019 Definition and 2020 Definition) (Unaudited)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w:t>
            </w:r>
          </w:p>
        </w:tc>
        <w:tc>
          <w:tcPr>
            <w:tcW w:w="16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w:t>
            </w:r>
          </w:p>
        </w:tc>
        <w:tc>
          <w:tcPr>
            <w:tcW w:w="16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Three</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w:t>
            </w:r>
          </w:p>
        </w:tc>
        <w:tc>
          <w:tcPr>
            <w:tcW w:w="140" w:type="dxa"/>
            <w:vAlign w:val="bottom"/>
          </w:tcPr>
          <w:p>
            <w:pPr>
              <w:spacing w:after="0"/>
              <w:rPr>
                <w:sz w:val="18"/>
                <w:szCs w:val="18"/>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Three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Months</w:t>
            </w:r>
          </w:p>
        </w:tc>
        <w:tc>
          <w:tcPr>
            <w:tcW w:w="16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Months</w:t>
            </w:r>
          </w:p>
        </w:tc>
        <w:tc>
          <w:tcPr>
            <w:tcW w:w="16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Months</w:t>
            </w:r>
          </w:p>
        </w:tc>
        <w:tc>
          <w:tcPr>
            <w:tcW w:w="18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Three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Months</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Months</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Months</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Months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8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Months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for</w:t>
            </w:r>
          </w:p>
        </w:tc>
        <w:tc>
          <w:tcPr>
            <w:tcW w:w="14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Mar 31,</w:t>
            </w:r>
          </w:p>
        </w:tc>
        <w:tc>
          <w:tcPr>
            <w:tcW w:w="16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Jun 30,</w:t>
            </w:r>
          </w:p>
        </w:tc>
        <w:tc>
          <w:tcPr>
            <w:tcW w:w="16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Sep 29,</w:t>
            </w:r>
          </w:p>
        </w:tc>
        <w:tc>
          <w:tcPr>
            <w:tcW w:w="180" w:type="dxa"/>
            <w:vAlign w:val="bottom"/>
          </w:tcPr>
          <w:p>
            <w:pPr>
              <w:spacing w:after="0"/>
              <w:rPr>
                <w:sz w:val="18"/>
                <w:szCs w:val="18"/>
                <w:color w:val="auto"/>
              </w:rPr>
            </w:pPr>
          </w:p>
        </w:tc>
        <w:tc>
          <w:tcPr>
            <w:tcW w:w="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Fiscal</w:t>
            </w:r>
          </w:p>
        </w:tc>
        <w:tc>
          <w:tcPr>
            <w:tcW w:w="140" w:type="dxa"/>
            <w:vAlign w:val="bottom"/>
          </w:tcPr>
          <w:p>
            <w:pPr>
              <w:spacing w:after="0"/>
              <w:rPr>
                <w:sz w:val="18"/>
                <w:szCs w:val="18"/>
                <w:color w:val="auto"/>
              </w:rPr>
            </w:pPr>
          </w:p>
        </w:tc>
        <w:tc>
          <w:tcPr>
            <w:tcW w:w="7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Mar 30,</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Jun 29,</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Sep 28,</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 28,</w:t>
            </w:r>
          </w:p>
        </w:tc>
        <w:tc>
          <w:tcPr>
            <w:tcW w:w="18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Fiscal</w:t>
            </w:r>
          </w:p>
        </w:tc>
        <w:tc>
          <w:tcPr>
            <w:tcW w:w="0" w:type="dxa"/>
            <w:vAlign w:val="bottom"/>
          </w:tcPr>
          <w:p>
            <w:pPr>
              <w:spacing w:after="0"/>
              <w:rPr>
                <w:sz w:val="1"/>
                <w:szCs w:val="1"/>
                <w:color w:val="auto"/>
              </w:rPr>
            </w:pPr>
          </w:p>
        </w:tc>
      </w:tr>
      <w:tr>
        <w:trPr>
          <w:trHeight w:val="234"/>
        </w:trPr>
        <w:tc>
          <w:tcPr>
            <w:tcW w:w="2180" w:type="dxa"/>
            <w:vAlign w:val="bottom"/>
          </w:tcPr>
          <w:p>
            <w:pPr>
              <w:ind w:left="40"/>
              <w:spacing w:after="0"/>
              <w:rPr>
                <w:sz w:val="20"/>
                <w:szCs w:val="20"/>
                <w:color w:val="auto"/>
              </w:rPr>
            </w:pPr>
            <w:r>
              <w:rPr>
                <w:rFonts w:ascii="Arial" w:cs="Arial" w:eastAsia="Arial" w:hAnsi="Arial"/>
                <w:sz w:val="18"/>
                <w:szCs w:val="18"/>
                <w:i w:val="1"/>
                <w:iCs w:val="1"/>
                <w:color w:val="auto"/>
              </w:rPr>
              <w:t>Diluted EPS)</w:t>
            </w:r>
          </w:p>
        </w:tc>
        <w:tc>
          <w:tcPr>
            <w:tcW w:w="14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w w:val="88"/>
              </w:rPr>
              <w:t>Dec 29, 2018</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Year 2018</w:t>
            </w:r>
          </w:p>
        </w:tc>
        <w:tc>
          <w:tcPr>
            <w:tcW w:w="140" w:type="dxa"/>
            <w:vAlign w:val="bottom"/>
          </w:tcPr>
          <w:p>
            <w:pPr>
              <w:spacing w:after="0"/>
              <w:rPr>
                <w:sz w:val="20"/>
                <w:szCs w:val="20"/>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Year 2019</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24,455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5,171</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23,653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17,429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10,257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32,798</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w w:val="90"/>
              </w:rPr>
              <w:t>Stock compensation expense</w:t>
            </w:r>
          </w:p>
        </w:tc>
        <w:tc>
          <w:tcPr>
            <w:tcW w:w="140" w:type="dxa"/>
            <w:vAlign w:val="bottom"/>
          </w:tcPr>
          <w:p>
            <w:pPr>
              <w:spacing w:after="0"/>
              <w:rPr>
                <w:sz w:val="19"/>
                <w:szCs w:val="19"/>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1,596</w:t>
            </w:r>
          </w:p>
        </w:tc>
        <w:tc>
          <w:tcPr>
            <w:tcW w:w="16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1,524</w:t>
            </w:r>
          </w:p>
        </w:tc>
        <w:tc>
          <w:tcPr>
            <w:tcW w:w="16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10,629</w:t>
            </w:r>
          </w:p>
        </w:tc>
        <w:tc>
          <w:tcPr>
            <w:tcW w:w="180" w:type="dxa"/>
            <w:vAlign w:val="bottom"/>
          </w:tcPr>
          <w:p>
            <w:pPr>
              <w:spacing w:after="0"/>
              <w:rPr>
                <w:sz w:val="19"/>
                <w:szCs w:val="19"/>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8"/>
                <w:szCs w:val="18"/>
                <w:color w:val="auto"/>
              </w:rPr>
              <w:t>7,190</w:t>
            </w:r>
          </w:p>
        </w:tc>
        <w:tc>
          <w:tcPr>
            <w:tcW w:w="180" w:type="dxa"/>
            <w:vAlign w:val="bottom"/>
          </w:tcPr>
          <w:p>
            <w:pPr>
              <w:spacing w:after="0"/>
              <w:rPr>
                <w:sz w:val="19"/>
                <w:szCs w:val="19"/>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20,939</w:t>
            </w:r>
          </w:p>
        </w:tc>
        <w:tc>
          <w:tcPr>
            <w:tcW w:w="140" w:type="dxa"/>
            <w:vAlign w:val="bottom"/>
          </w:tcPr>
          <w:p>
            <w:pPr>
              <w:spacing w:after="0"/>
              <w:rPr>
                <w:sz w:val="19"/>
                <w:szCs w:val="19"/>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2,976</w:t>
            </w:r>
          </w:p>
        </w:tc>
        <w:tc>
          <w:tcPr>
            <w:tcW w:w="14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1,741</w:t>
            </w:r>
          </w:p>
        </w:tc>
        <w:tc>
          <w:tcPr>
            <w:tcW w:w="14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6,123</w:t>
            </w:r>
          </w:p>
        </w:tc>
        <w:tc>
          <w:tcPr>
            <w:tcW w:w="14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1,830</w:t>
            </w:r>
          </w:p>
        </w:tc>
        <w:tc>
          <w:tcPr>
            <w:tcW w:w="180" w:type="dxa"/>
            <w:vAlign w:val="bottom"/>
          </w:tcPr>
          <w:p>
            <w:pPr>
              <w:spacing w:after="0"/>
              <w:rPr>
                <w:sz w:val="19"/>
                <w:szCs w:val="19"/>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12,670</w:t>
            </w:r>
          </w:p>
        </w:tc>
        <w:tc>
          <w:tcPr>
            <w:tcW w:w="0" w:type="dxa"/>
            <w:vAlign w:val="bottom"/>
          </w:tcPr>
          <w:p>
            <w:pPr>
              <w:spacing w:after="0"/>
              <w:rPr>
                <w:sz w:val="1"/>
                <w:szCs w:val="1"/>
                <w:color w:val="auto"/>
              </w:rPr>
            </w:pPr>
          </w:p>
        </w:tc>
      </w:tr>
      <w:tr>
        <w:trPr>
          <w:trHeight w:val="163"/>
        </w:trPr>
        <w:tc>
          <w:tcPr>
            <w:tcW w:w="2180" w:type="dxa"/>
            <w:vAlign w:val="bottom"/>
          </w:tcPr>
          <w:p>
            <w:pPr>
              <w:ind w:left="40"/>
              <w:spacing w:after="0"/>
              <w:rPr>
                <w:sz w:val="20"/>
                <w:szCs w:val="20"/>
                <w:color w:val="auto"/>
              </w:rPr>
            </w:pPr>
            <w:r>
              <w:rPr>
                <w:rFonts w:ascii="Arial" w:cs="Arial" w:eastAsia="Arial" w:hAnsi="Arial"/>
                <w:sz w:val="13"/>
                <w:szCs w:val="13"/>
                <w:color w:val="auto"/>
              </w:rPr>
              <w:t>(a)</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Loss on extinguishment of</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8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5"/>
                <w:szCs w:val="25"/>
                <w:color w:val="auto"/>
                <w:vertAlign w:val="superscript"/>
              </w:rPr>
              <w:t>(c)</w:t>
            </w:r>
          </w:p>
        </w:tc>
        <w:tc>
          <w:tcPr>
            <w:tcW w:w="14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9,786</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(d)</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2,137</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15,493</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17,630</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3,516</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1,506</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8,894</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New store pre-opening</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8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(e)</w:t>
            </w:r>
          </w:p>
        </w:tc>
        <w:tc>
          <w:tcPr>
            <w:tcW w:w="14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2,229</w:t>
            </w:r>
          </w:p>
        </w:tc>
        <w:tc>
          <w:tcPr>
            <w:tcW w:w="1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1,128</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848</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(f)</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2,801</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w w:val="90"/>
              </w:rPr>
              <w:t>Secondary offering expenses</w:t>
            </w:r>
          </w:p>
        </w:tc>
        <w:tc>
          <w:tcPr>
            <w:tcW w:w="140" w:type="dxa"/>
            <w:vAlign w:val="bottom"/>
          </w:tcPr>
          <w:p>
            <w:pPr>
              <w:spacing w:after="0"/>
              <w:rPr>
                <w:sz w:val="19"/>
                <w:szCs w:val="19"/>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963</w:t>
            </w:r>
          </w:p>
        </w:tc>
        <w:tc>
          <w:tcPr>
            <w:tcW w:w="16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702</w:t>
            </w:r>
          </w:p>
        </w:tc>
        <w:tc>
          <w:tcPr>
            <w:tcW w:w="180" w:type="dxa"/>
            <w:vAlign w:val="bottom"/>
          </w:tcPr>
          <w:p>
            <w:pPr>
              <w:spacing w:after="0"/>
              <w:rPr>
                <w:sz w:val="19"/>
                <w:szCs w:val="19"/>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19"/>
                <w:szCs w:val="19"/>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2,451</w:t>
            </w:r>
          </w:p>
        </w:tc>
        <w:tc>
          <w:tcPr>
            <w:tcW w:w="140" w:type="dxa"/>
            <w:vAlign w:val="bottom"/>
          </w:tcPr>
          <w:p>
            <w:pPr>
              <w:spacing w:after="0"/>
              <w:rPr>
                <w:sz w:val="19"/>
                <w:szCs w:val="19"/>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163"/>
        </w:trPr>
        <w:tc>
          <w:tcPr>
            <w:tcW w:w="2180" w:type="dxa"/>
            <w:vAlign w:val="bottom"/>
          </w:tcPr>
          <w:p>
            <w:pPr>
              <w:ind w:left="40"/>
              <w:spacing w:after="0"/>
              <w:rPr>
                <w:sz w:val="20"/>
                <w:szCs w:val="20"/>
                <w:color w:val="auto"/>
              </w:rPr>
            </w:pPr>
            <w:r>
              <w:rPr>
                <w:rFonts w:ascii="Arial" w:cs="Arial" w:eastAsia="Arial" w:hAnsi="Arial"/>
                <w:sz w:val="13"/>
                <w:szCs w:val="13"/>
                <w:color w:val="auto"/>
              </w:rPr>
              <w:t>(g)</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Management realignment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(h)</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2,155</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line="270" w:lineRule="exact"/>
              <w:rPr>
                <w:sz w:val="20"/>
                <w:szCs w:val="20"/>
                <w:color w:val="auto"/>
              </w:rPr>
            </w:pPr>
            <w:r>
              <w:rPr>
                <w:rFonts w:ascii="Arial" w:cs="Arial" w:eastAsia="Arial" w:hAnsi="Arial"/>
                <w:sz w:val="18"/>
                <w:szCs w:val="18"/>
                <w:color w:val="auto"/>
                <w:w w:val="97"/>
              </w:rPr>
              <w:t xml:space="preserve">Long-term incentive plan </w:t>
            </w:r>
            <w:r>
              <w:rPr>
                <w:rFonts w:ascii="Arial" w:cs="Arial" w:eastAsia="Arial" w:hAnsi="Arial"/>
                <w:sz w:val="25"/>
                <w:szCs w:val="25"/>
                <w:color w:val="auto"/>
                <w:w w:val="97"/>
                <w:vertAlign w:val="superscript"/>
              </w:rPr>
              <w:t>(i)</w:t>
            </w:r>
          </w:p>
        </w:tc>
        <w:tc>
          <w:tcPr>
            <w:tcW w:w="1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4,611</w:t>
            </w:r>
          </w:p>
        </w:tc>
        <w:tc>
          <w:tcPr>
            <w:tcW w:w="1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2,429</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7,040</w:t>
            </w: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941</w:t>
            </w:r>
          </w:p>
        </w:tc>
        <w:tc>
          <w:tcPr>
            <w:tcW w:w="1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(j)</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1,927</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1,473</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4,585</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1,192</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1,956</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1,999</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Amortization of acquisition</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intangibles and deferred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18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financing costs </w:t>
            </w:r>
            <w:r>
              <w:rPr>
                <w:rFonts w:ascii="Arial" w:cs="Arial" w:eastAsia="Arial" w:hAnsi="Arial"/>
                <w:sz w:val="25"/>
                <w:szCs w:val="25"/>
                <w:color w:val="auto"/>
                <w:vertAlign w:val="superscript"/>
              </w:rPr>
              <w:t>(k)</w:t>
            </w:r>
          </w:p>
        </w:tc>
        <w:tc>
          <w:tcPr>
            <w:tcW w:w="14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2,281</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2,281</w:t>
            </w:r>
          </w:p>
        </w:tc>
        <w:tc>
          <w:tcPr>
            <w:tcW w:w="16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2,279</w:t>
            </w:r>
          </w:p>
        </w:tc>
        <w:tc>
          <w:tcPr>
            <w:tcW w:w="18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2,412</w:t>
            </w:r>
          </w:p>
        </w:tc>
        <w:tc>
          <w:tcPr>
            <w:tcW w:w="18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9,253</w:t>
            </w:r>
          </w:p>
        </w:tc>
        <w:tc>
          <w:tcPr>
            <w:tcW w:w="1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2,258</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2,336</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2,031</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2,069</w:t>
            </w:r>
          </w:p>
        </w:tc>
        <w:tc>
          <w:tcPr>
            <w:tcW w:w="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8,694</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benefit of stock option</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exercises </w:t>
            </w:r>
            <w:r>
              <w:rPr>
                <w:rFonts w:ascii="Arial" w:cs="Arial" w:eastAsia="Arial" w:hAnsi="Arial"/>
                <w:sz w:val="25"/>
                <w:szCs w:val="25"/>
                <w:color w:val="auto"/>
                <w:vertAlign w:val="superscript"/>
              </w:rPr>
              <w:t>(l)</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(25,544)</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Tax effect of total</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(m)</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(13,309)</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(14,933)</w:t>
            </w:r>
          </w:p>
        </w:tc>
        <w:tc>
          <w:tcPr>
            <w:tcW w:w="0" w:type="dxa"/>
            <w:vAlign w:val="bottom"/>
          </w:tcPr>
          <w:p>
            <w:pPr>
              <w:spacing w:after="0"/>
              <w:rPr>
                <w:sz w:val="1"/>
                <w:szCs w:val="1"/>
                <w:color w:val="auto"/>
              </w:rPr>
            </w:pPr>
          </w:p>
        </w:tc>
      </w:tr>
      <w:tr>
        <w:trPr>
          <w:trHeight w:val="205"/>
        </w:trPr>
        <w:tc>
          <w:tcPr>
            <w:tcW w:w="21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Adjusted Net Income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26,448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15,716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8,724</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51,928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26,682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16,286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14,461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8,689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66,118</w:t>
            </w: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 Definition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 longer adjusting for:</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New store pre-opening</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8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(e)</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(2,229)</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(1,128)</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(848)</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(f)</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Associated tax effect</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1,288</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1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Adjusted Net Income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25,703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14,599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7,851</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48,186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25,132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14,963</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7,725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61,251</w:t>
            </w: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2020 Definition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26"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Reconciliation of Adjusted Diluted EPS to Diluted EPS (2019 Definition and 2020 Definition) (Unaudited)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w:t>
            </w:r>
          </w:p>
        </w:tc>
        <w:tc>
          <w:tcPr>
            <w:tcW w:w="16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Three</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Three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Three</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w:t>
            </w:r>
          </w:p>
        </w:tc>
        <w:tc>
          <w:tcPr>
            <w:tcW w:w="140" w:type="dxa"/>
            <w:vAlign w:val="bottom"/>
          </w:tcPr>
          <w:p>
            <w:pPr>
              <w:spacing w:after="0"/>
              <w:rPr>
                <w:sz w:val="18"/>
                <w:szCs w:val="18"/>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Three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Months</w:t>
            </w:r>
          </w:p>
        </w:tc>
        <w:tc>
          <w:tcPr>
            <w:tcW w:w="16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Months</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Months</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Months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Months</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Months</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Months</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Months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7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Mar 31,</w:t>
            </w:r>
          </w:p>
        </w:tc>
        <w:tc>
          <w:tcPr>
            <w:tcW w:w="16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Jun 30,</w:t>
            </w: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Sep 29,</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 29,</w:t>
            </w:r>
          </w:p>
        </w:tc>
        <w:tc>
          <w:tcPr>
            <w:tcW w:w="18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Fiscal</w:t>
            </w:r>
          </w:p>
        </w:tc>
        <w:tc>
          <w:tcPr>
            <w:tcW w:w="140" w:type="dxa"/>
            <w:vAlign w:val="bottom"/>
          </w:tcPr>
          <w:p>
            <w:pPr>
              <w:spacing w:after="0"/>
              <w:rPr>
                <w:sz w:val="18"/>
                <w:szCs w:val="18"/>
                <w:color w:val="auto"/>
              </w:rPr>
            </w:pPr>
          </w:p>
        </w:tc>
        <w:tc>
          <w:tcPr>
            <w:tcW w:w="7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Mar 30,</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Jun 29,</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Sep 28,</w:t>
            </w: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 28,</w:t>
            </w:r>
          </w:p>
        </w:tc>
        <w:tc>
          <w:tcPr>
            <w:tcW w:w="18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Fiscal</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Year 2018</w:t>
            </w:r>
          </w:p>
        </w:tc>
        <w:tc>
          <w:tcPr>
            <w:tcW w:w="140" w:type="dxa"/>
            <w:vAlign w:val="bottom"/>
          </w:tcPr>
          <w:p>
            <w:pPr>
              <w:spacing w:after="0"/>
              <w:rPr>
                <w:sz w:val="20"/>
                <w:szCs w:val="20"/>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Year 2019</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0.40</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w w:val="95"/>
              </w:rPr>
              <w:t>Stock compensation expense</w:t>
            </w:r>
          </w:p>
        </w:tc>
        <w:tc>
          <w:tcPr>
            <w:tcW w:w="140" w:type="dxa"/>
            <w:vAlign w:val="bottom"/>
          </w:tcPr>
          <w:p>
            <w:pPr>
              <w:spacing w:after="0"/>
              <w:rPr>
                <w:sz w:val="19"/>
                <w:szCs w:val="19"/>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9"/>
                <w:szCs w:val="19"/>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19"/>
                <w:szCs w:val="19"/>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9"/>
                <w:szCs w:val="19"/>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63"/>
        </w:trPr>
        <w:tc>
          <w:tcPr>
            <w:tcW w:w="2300" w:type="dxa"/>
            <w:vAlign w:val="bottom"/>
          </w:tcPr>
          <w:p>
            <w:pPr>
              <w:ind w:left="40"/>
              <w:spacing w:after="0"/>
              <w:rPr>
                <w:sz w:val="20"/>
                <w:szCs w:val="20"/>
                <w:color w:val="auto"/>
              </w:rPr>
            </w:pPr>
            <w:r>
              <w:rPr>
                <w:rFonts w:ascii="Arial" w:cs="Arial" w:eastAsia="Arial" w:hAnsi="Arial"/>
                <w:sz w:val="13"/>
                <w:szCs w:val="13"/>
                <w:color w:val="auto"/>
              </w:rPr>
              <w:t>(a)</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Loss on extinguishment of</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5"/>
                <w:szCs w:val="25"/>
                <w:color w:val="auto"/>
                <w:vertAlign w:val="superscript"/>
              </w:rPr>
              <w:t>(c)</w:t>
            </w:r>
          </w:p>
        </w:tc>
        <w:tc>
          <w:tcPr>
            <w:tcW w:w="14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(d)</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New store pre-opening</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(e)</w:t>
            </w:r>
          </w:p>
        </w:tc>
        <w:tc>
          <w:tcPr>
            <w:tcW w:w="14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(f)</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Secondary offering</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(g)</w:t>
            </w:r>
          </w:p>
        </w:tc>
        <w:tc>
          <w:tcPr>
            <w:tcW w:w="14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Management realignment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(h)</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2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5"/>
                <w:szCs w:val="25"/>
                <w:color w:val="auto"/>
                <w:vertAlign w:val="superscript"/>
              </w:rPr>
              <w:t>(i)</w:t>
            </w:r>
          </w:p>
        </w:tc>
        <w:tc>
          <w:tcPr>
            <w:tcW w:w="1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(j)</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Amortization of acquisition</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8"/>
                <w:szCs w:val="18"/>
                <w:color w:val="auto"/>
              </w:rPr>
              <w:t>intangibles and deferred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financing costs </w:t>
            </w:r>
            <w:r>
              <w:rPr>
                <w:rFonts w:ascii="Arial" w:cs="Arial" w:eastAsia="Arial" w:hAnsi="Arial"/>
                <w:sz w:val="25"/>
                <w:szCs w:val="25"/>
                <w:color w:val="auto"/>
                <w:vertAlign w:val="superscript"/>
              </w:rPr>
              <w:t>(k)</w:t>
            </w:r>
          </w:p>
        </w:tc>
        <w:tc>
          <w:tcPr>
            <w:tcW w:w="14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benefit of stock option</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exercises </w:t>
            </w:r>
            <w:r>
              <w:rPr>
                <w:rFonts w:ascii="Arial" w:cs="Arial" w:eastAsia="Arial" w:hAnsi="Arial"/>
                <w:sz w:val="25"/>
                <w:szCs w:val="25"/>
                <w:color w:val="auto"/>
                <w:vertAlign w:val="superscript"/>
              </w:rPr>
              <w:t>(l)</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w w:val="93"/>
              </w:rPr>
              <w:t>Tax effect of total adjustments</w:t>
            </w:r>
          </w:p>
        </w:tc>
        <w:tc>
          <w:tcPr>
            <w:tcW w:w="14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63"/>
        </w:trPr>
        <w:tc>
          <w:tcPr>
            <w:tcW w:w="2300" w:type="dxa"/>
            <w:vAlign w:val="bottom"/>
          </w:tcPr>
          <w:p>
            <w:pPr>
              <w:ind w:left="40"/>
              <w:spacing w:after="0"/>
              <w:rPr>
                <w:sz w:val="20"/>
                <w:szCs w:val="20"/>
                <w:color w:val="auto"/>
              </w:rPr>
            </w:pPr>
            <w:r>
              <w:rPr>
                <w:rFonts w:ascii="Arial" w:cs="Arial" w:eastAsia="Arial" w:hAnsi="Arial"/>
                <w:sz w:val="13"/>
                <w:szCs w:val="13"/>
                <w:color w:val="auto"/>
              </w:rPr>
              <w:t>(m)</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3"/>
              </w:rPr>
              <w:t>Adjusted Diluted EPS - 2019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0.33</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0.81</w:t>
            </w:r>
          </w:p>
        </w:tc>
        <w:tc>
          <w:tcPr>
            <w:tcW w:w="0" w:type="dxa"/>
            <w:vAlign w:val="bottom"/>
          </w:tcPr>
          <w:p>
            <w:pPr>
              <w:spacing w:after="0"/>
              <w:rPr>
                <w:sz w:val="1"/>
                <w:szCs w:val="1"/>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Definition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 longer adjusting for:</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00" w:type="dxa"/>
            <w:vAlign w:val="bottom"/>
          </w:tcPr>
          <w:p>
            <w:pPr>
              <w:ind w:left="80"/>
              <w:spacing w:after="0"/>
              <w:rPr>
                <w:sz w:val="20"/>
                <w:szCs w:val="20"/>
                <w:color w:val="auto"/>
              </w:rPr>
            </w:pPr>
            <w:r>
              <w:rPr>
                <w:rFonts w:ascii="Arial" w:cs="Arial" w:eastAsia="Arial" w:hAnsi="Arial"/>
                <w:sz w:val="18"/>
                <w:szCs w:val="18"/>
                <w:color w:val="auto"/>
              </w:rPr>
              <w:t>New store pre-opening</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(e)</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8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(f)</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2300" w:type="dxa"/>
            <w:vAlign w:val="bottom"/>
          </w:tcPr>
          <w:p>
            <w:pPr>
              <w:ind w:left="80"/>
              <w:spacing w:after="0"/>
              <w:rPr>
                <w:sz w:val="20"/>
                <w:szCs w:val="20"/>
                <w:color w:val="auto"/>
              </w:rPr>
            </w:pPr>
            <w:r>
              <w:rPr>
                <w:rFonts w:ascii="Arial" w:cs="Arial" w:eastAsia="Arial" w:hAnsi="Arial"/>
                <w:sz w:val="18"/>
                <w:szCs w:val="18"/>
                <w:color w:val="auto"/>
              </w:rPr>
              <w:t>Associated tax effect</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3"/>
              </w:rPr>
              <w:t>Adjusted Diluted EPS - 2020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0.75</w:t>
            </w:r>
          </w:p>
        </w:tc>
        <w:tc>
          <w:tcPr>
            <w:tcW w:w="0" w:type="dxa"/>
            <w:vAlign w:val="bottom"/>
          </w:tcPr>
          <w:p>
            <w:pPr>
              <w:spacing w:after="0"/>
              <w:rPr>
                <w:sz w:val="1"/>
                <w:szCs w:val="1"/>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Definition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shares outstanding</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77,837</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77,858</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79,710</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77,526</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79,041</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81,466</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81,424</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81,561</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81,785</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81,683</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Note: Some of the totals in the table above do not foot due to rounding differences</w:t>
      </w:r>
    </w:p>
    <w:p>
      <w:pPr>
        <w:sectPr>
          <w:pgSz w:w="11900" w:h="16838" w:orient="portrait"/>
          <w:cols w:equalWidth="0" w:num="1">
            <w:col w:w="11420"/>
          </w:cols>
          <w:pgMar w:left="240" w:top="526" w:right="239" w:bottom="1440" w:gutter="0" w:footer="0" w:header="0"/>
        </w:sectPr>
      </w:pPr>
    </w:p>
    <w:bookmarkStart w:id="22" w:name="page23"/>
    <w:bookmarkEnd w:id="22"/>
    <w:p>
      <w:pPr>
        <w:ind w:left="2132"/>
        <w:spacing w:after="0"/>
        <w:rPr>
          <w:sz w:val="20"/>
          <w:szCs w:val="20"/>
          <w:color w:val="auto"/>
        </w:rPr>
      </w:pPr>
      <w:r>
        <w:rPr>
          <w:rFonts w:ascii="Arial" w:cs="Arial" w:eastAsia="Arial" w:hAnsi="Arial"/>
          <w:sz w:val="18"/>
          <w:szCs w:val="18"/>
          <w:b w:val="1"/>
          <w:bCs w:val="1"/>
          <w:color w:val="auto"/>
        </w:rPr>
        <w:t>Reconciliation of Adjusted Operating Income, Adjusted EBITDA, Adjusted Net Income and Adjusted</w:t>
      </w:r>
    </w:p>
    <w:p>
      <w:pPr>
        <w:ind w:left="4832"/>
        <w:spacing w:after="0"/>
        <w:rPr>
          <w:sz w:val="20"/>
          <w:szCs w:val="20"/>
          <w:color w:val="auto"/>
        </w:rPr>
      </w:pPr>
      <w:r>
        <w:rPr>
          <w:rFonts w:ascii="Arial" w:cs="Arial" w:eastAsia="Arial" w:hAnsi="Arial"/>
          <w:sz w:val="18"/>
          <w:szCs w:val="18"/>
          <w:b w:val="1"/>
          <w:bCs w:val="1"/>
          <w:color w:val="auto"/>
        </w:rPr>
        <w:t>Diluted EPS Footnotes</w:t>
      </w:r>
    </w:p>
    <w:p>
      <w:pPr>
        <w:spacing w:after="0" w:line="178" w:lineRule="exact"/>
        <w:rPr>
          <w:sz w:val="20"/>
          <w:szCs w:val="20"/>
          <w:color w:val="auto"/>
        </w:rPr>
      </w:pPr>
    </w:p>
    <w:p>
      <w:pPr>
        <w:ind w:left="412" w:hanging="412"/>
        <w:spacing w:after="0"/>
        <w:tabs>
          <w:tab w:leader="none" w:pos="4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13" w:lineRule="exact"/>
        <w:rPr>
          <w:rFonts w:ascii="Arial" w:cs="Arial" w:eastAsia="Arial" w:hAnsi="Arial"/>
          <w:sz w:val="14"/>
          <w:szCs w:val="14"/>
          <w:color w:val="auto"/>
        </w:rPr>
      </w:pPr>
    </w:p>
    <w:p>
      <w:pPr>
        <w:ind w:left="412" w:hanging="412"/>
        <w:spacing w:after="0"/>
        <w:tabs>
          <w:tab w:leader="none" w:pos="4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Fees associated with the issuance of the new term loans.</w:t>
      </w:r>
    </w:p>
    <w:p>
      <w:pPr>
        <w:spacing w:after="0" w:line="1" w:lineRule="exact"/>
        <w:rPr>
          <w:rFonts w:ascii="Arial" w:cs="Arial" w:eastAsia="Arial" w:hAnsi="Arial"/>
          <w:sz w:val="14"/>
          <w:szCs w:val="14"/>
          <w:color w:val="auto"/>
        </w:rPr>
      </w:pPr>
    </w:p>
    <w:p>
      <w:pPr>
        <w:ind w:left="412" w:hanging="412"/>
        <w:spacing w:after="0"/>
        <w:tabs>
          <w:tab w:leader="none" w:pos="4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fiscal year 2019, reflects write-off of deferred financing fees related to the extinguishment of debt.</w:t>
      </w:r>
    </w:p>
    <w:p>
      <w:pPr>
        <w:spacing w:after="0" w:line="1" w:lineRule="exact"/>
        <w:rPr>
          <w:rFonts w:ascii="Arial" w:cs="Arial" w:eastAsia="Arial" w:hAnsi="Arial"/>
          <w:sz w:val="14"/>
          <w:szCs w:val="14"/>
          <w:color w:val="auto"/>
        </w:rPr>
      </w:pPr>
    </w:p>
    <w:p>
      <w:pPr>
        <w:ind w:left="412" w:hanging="412"/>
        <w:spacing w:after="0" w:line="241" w:lineRule="auto"/>
        <w:tabs>
          <w:tab w:leader="none" w:pos="4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write-off of property and equipment and lease-related assets on closed or underperforming stores; additionally reflects non-cash charges related to impairment of long-lived assets, primarily goodwill in our Military and Fred Meyer brands for the three months ended December 29, 2018 and fiscal year 2018.</w:t>
      </w:r>
    </w:p>
    <w:p>
      <w:pPr>
        <w:ind w:left="412" w:right="20" w:hanging="412"/>
        <w:spacing w:after="0" w:line="241" w:lineRule="auto"/>
        <w:tabs>
          <w:tab w:leader="none" w:pos="4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w:t>
      </w:r>
    </w:p>
    <w:p>
      <w:pPr>
        <w:ind w:left="412" w:hanging="412"/>
        <w:spacing w:after="0"/>
        <w:tabs>
          <w:tab w:leader="none" w:pos="412"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w:t>
      </w:r>
    </w:p>
    <w:p>
      <w:pPr>
        <w:spacing w:after="0" w:line="12" w:lineRule="exact"/>
        <w:rPr>
          <w:rFonts w:ascii="Arial" w:cs="Arial" w:eastAsia="Arial" w:hAnsi="Arial"/>
          <w:sz w:val="13"/>
          <w:szCs w:val="13"/>
          <w:color w:val="auto"/>
        </w:rPr>
      </w:pPr>
    </w:p>
    <w:p>
      <w:pPr>
        <w:ind w:left="412" w:hanging="412"/>
        <w:spacing w:after="0"/>
        <w:tabs>
          <w:tab w:leader="none" w:pos="4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 during fiscal years 2018 and 2019.</w:t>
      </w:r>
    </w:p>
    <w:p>
      <w:pPr>
        <w:spacing w:after="0" w:line="1" w:lineRule="exact"/>
        <w:rPr>
          <w:rFonts w:ascii="Arial" w:cs="Arial" w:eastAsia="Arial" w:hAnsi="Arial"/>
          <w:sz w:val="14"/>
          <w:szCs w:val="14"/>
          <w:color w:val="auto"/>
        </w:rPr>
      </w:pPr>
    </w:p>
    <w:p>
      <w:pPr>
        <w:ind w:left="412" w:hanging="412"/>
        <w:spacing w:after="0"/>
        <w:tabs>
          <w:tab w:leader="none" w:pos="4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Expenses related to a non-recurring management realignment described in our Form 8-K filed with the SEC on January 10, 2019.</w:t>
      </w:r>
    </w:p>
    <w:p>
      <w:pPr>
        <w:spacing w:after="0" w:line="1" w:lineRule="exact"/>
        <w:rPr>
          <w:rFonts w:ascii="Arial" w:cs="Arial" w:eastAsia="Arial" w:hAnsi="Arial"/>
          <w:sz w:val="14"/>
          <w:szCs w:val="14"/>
          <w:color w:val="auto"/>
        </w:rPr>
      </w:pPr>
    </w:p>
    <w:p>
      <w:pPr>
        <w:jc w:val="both"/>
        <w:ind w:left="412" w:hanging="412"/>
        <w:spacing w:after="0" w:line="241" w:lineRule="auto"/>
        <w:tabs>
          <w:tab w:leader="none" w:pos="4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Expenses pursuant to a long-term incentive plan for non-executive employees who were not participants in the management equity plan for fiscal year 2019. This plan was effective in 2014 following the acquisition of the Company by affiliates of KKR &amp; Co. Inc. (the "KKR Acquisition"). During the third quarter of fiscal year 2018, $4.6 million cash payout was triggered as a result of the second secondary offering of common stock by KKR and other selling shareholders. The remaining $2.4 million relates to the third secondary offering and is accrued but not paid as of fiscal year end 2018.</w:t>
      </w:r>
    </w:p>
    <w:p>
      <w:pPr>
        <w:spacing w:after="0" w:line="1" w:lineRule="exact"/>
        <w:rPr>
          <w:rFonts w:ascii="Arial" w:cs="Arial" w:eastAsia="Arial" w:hAnsi="Arial"/>
          <w:sz w:val="14"/>
          <w:szCs w:val="14"/>
          <w:color w:val="auto"/>
        </w:rPr>
      </w:pPr>
    </w:p>
    <w:p>
      <w:pPr>
        <w:jc w:val="both"/>
        <w:ind w:left="412" w:hanging="412"/>
        <w:spacing w:after="0" w:line="260" w:lineRule="auto"/>
        <w:tabs>
          <w:tab w:leader="none" w:pos="412" w:val="left"/>
        </w:tabs>
        <w:numPr>
          <w:ilvl w:val="0"/>
          <w:numId w:val="15"/>
        </w:numPr>
        <w:rPr>
          <w:rFonts w:ascii="Arial" w:cs="Arial" w:eastAsia="Arial" w:hAnsi="Arial"/>
          <w:sz w:val="13"/>
          <w:szCs w:val="13"/>
          <w:color w:val="auto"/>
        </w:rPr>
      </w:pPr>
      <w:r>
        <w:rPr>
          <w:rFonts w:ascii="Arial" w:cs="Arial" w:eastAsia="Arial" w:hAnsi="Arial"/>
          <w:sz w:val="13"/>
          <w:szCs w:val="13"/>
          <w:color w:val="auto"/>
        </w:rPr>
        <w:t>Other adjustments include the following amounts that management believes are not representative of our operating performance (amounts in brackets represent reductions in Adjusted EBITDA and Adjusted Net Income) including our share of losses on equity method investments of $0.6 million and $0.3 million for the three months ended December 28, 2019 and December 29, 2018, and $1.8 million and $1.3 million for fiscal years 2019 and 2018, respectively; the amortization impact of the KKR Acquisition-related adjustments (e.g., fair value of leasehold interests) of $0.2 million, $0.1 million, $0.5 million and $0.4 million for the three months ended December 28, 2019 and December 29, 2018; differences between the timing of expense versus cash payments related to contributions to charitable organizations of $(0.2) million for three months ended December 29, 2018 and $(1.0) million for the fiscal year 2018; costs of severance and relocation of $0.6 million, $0.1 million, $2.3 million and $1.0 million for the three months ended December 28, 2019 and December 29, 2018 and fiscal years 2019 and 2018, respectively; excess payroll taxes related to stock option exercises of $0.2 million and $0.6 million for the three months ended December 28, 2019 and December 29, 2018, respectively and $0.8 million and $1.8 million for fiscal year 2019 and 2018, respectively; and other expenses and adjustments totaling $0.4 million and $0.6 million for the three months ended December 28, 2019 and December 29, 2018, respectively and $1.0 million and $1.1 million for fiscal years 2019 and 2018, respectively. Refer to our Form 8-Ks filed with the SEC on May 9, 2019, August 6, 2019 and November 7, 2019 for information on adjustments recognized in the other periods presented.</w:t>
      </w:r>
    </w:p>
    <w:p>
      <w:pPr>
        <w:spacing w:after="0" w:line="1" w:lineRule="exact"/>
        <w:rPr>
          <w:rFonts w:ascii="Arial" w:cs="Arial" w:eastAsia="Arial" w:hAnsi="Arial"/>
          <w:sz w:val="13"/>
          <w:szCs w:val="13"/>
          <w:color w:val="auto"/>
        </w:rPr>
      </w:pPr>
    </w:p>
    <w:p>
      <w:pPr>
        <w:jc w:val="both"/>
        <w:ind w:left="412" w:hanging="412"/>
        <w:spacing w:after="0" w:line="260" w:lineRule="auto"/>
        <w:tabs>
          <w:tab w:leader="none" w:pos="412" w:val="left"/>
        </w:tabs>
        <w:numPr>
          <w:ilvl w:val="0"/>
          <w:numId w:val="15"/>
        </w:numPr>
        <w:rPr>
          <w:rFonts w:ascii="Arial" w:cs="Arial" w:eastAsia="Arial" w:hAnsi="Arial"/>
          <w:sz w:val="13"/>
          <w:szCs w:val="13"/>
          <w:color w:val="auto"/>
        </w:rPr>
      </w:pPr>
      <w:r>
        <w:rPr>
          <w:rFonts w:ascii="Arial" w:cs="Arial" w:eastAsia="Arial" w:hAnsi="Arial"/>
          <w:sz w:val="13"/>
          <w:szCs w:val="13"/>
          <w:color w:val="auto"/>
        </w:rPr>
        <w:t>1) Amortization of the increase in carrying values of finite-lived intangible assets resulting from the application of purchase accounting to the KKR Acquisition of $1.9 million for each of the three months ended December 28, 2019 and December 29, 2018 and $7.4 million for each of the fiscal years 2019 and 2018; and 2) Amortization of debt discounts associated with the March 2014 term loan borrowings in connection with the KKR Acquisition and, to a lesser extent, amortization of debt discounts associated with the May 2015 and February 2017 incremental First Lien - Term Loan B and the November 2017 First Lien - Term Loan B refinancing, aggregating to $0.2 million and $0.5 million of additional expense for the three months ended December 28, 2019 and December 29, 2018, respectively and $1.3 million and $1.9 million of additional expense for fiscal years 2019 and 2018, respectively. Refer to our Form 8-K's filed with the SEC on May 9, 2019, August 6, 2019 and November 7, 2019 for information on adjustments recognized in the other periods presented.</w:t>
      </w:r>
    </w:p>
    <w:p>
      <w:pPr>
        <w:ind w:left="412" w:hanging="412"/>
        <w:spacing w:after="0" w:line="241" w:lineRule="auto"/>
        <w:tabs>
          <w:tab w:leader="none" w:pos="4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Tax benefit associated with accounting guidance adopted at the beginning of fiscal year 2017 (ASU 2016-09, Compensation - Stock Compensation), requiring excess tax benefits related to stock option exercises be recorded in earnings as discrete items in the reporting period in which they occur.</w:t>
      </w:r>
    </w:p>
    <w:p>
      <w:pPr>
        <w:ind w:left="412" w:hanging="412"/>
        <w:spacing w:after="0"/>
        <w:tabs>
          <w:tab w:leader="none" w:pos="4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 w:lineRule="exact"/>
        <w:rPr>
          <w:rFonts w:ascii="Arial" w:cs="Arial" w:eastAsia="Arial" w:hAnsi="Arial"/>
          <w:sz w:val="14"/>
          <w:szCs w:val="14"/>
          <w:color w:val="auto"/>
        </w:rPr>
      </w:pPr>
    </w:p>
    <w:p>
      <w:pPr>
        <w:jc w:val="both"/>
        <w:ind w:left="412" w:hanging="412"/>
        <w:spacing w:after="0" w:line="241" w:lineRule="auto"/>
        <w:tabs>
          <w:tab w:leader="none" w:pos="4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other expenses in (j) above, except for our share of losses on equity method investments of $0.6 million and $0.3 million for the three months ended December 28, 2019 and December 29, 2018 and $1.8 million and $1.3 million for fiscal year 2019 and 2018, respectively; and facility opening expenses of $0.4 million for the three months ended December 29, 2018 and $0.7 million for fiscal year 2018, respectively, which are non-SG&amp;A expenses.</w:t>
      </w:r>
    </w:p>
    <w:p>
      <w:pPr>
        <w:spacing w:after="0" w:line="1" w:lineRule="exact"/>
        <w:rPr>
          <w:rFonts w:ascii="Arial" w:cs="Arial" w:eastAsia="Arial" w:hAnsi="Arial"/>
          <w:sz w:val="14"/>
          <w:szCs w:val="14"/>
          <w:color w:val="auto"/>
        </w:rPr>
      </w:pPr>
    </w:p>
    <w:p>
      <w:pPr>
        <w:ind w:left="412" w:hanging="412"/>
        <w:spacing w:after="0"/>
        <w:tabs>
          <w:tab w:leader="none" w:pos="4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KKR Acquisition.</w:t>
      </w:r>
    </w:p>
    <w:sectPr>
      <w:pgSz w:w="11900" w:h="16838" w:orient="portrait"/>
      <w:cols w:equalWidth="0" w:num="1">
        <w:col w:w="11412"/>
      </w:cols>
      <w:pgMar w:left="248" w:top="5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lvl w:ilvl="1">
      <w:lvlJc w:val="left"/>
      <w:lvlText w:val="(%2)"/>
      <w:numFmt w:val="lowerLetter"/>
      <w:start w:val="61"/>
    </w:lvl>
  </w:abstractNum>
  <w:abstractNum w:abstractNumId="10">
    <w:nsid w:val="3352255A"/>
    <w:multiLevelType w:val="hybridMultilevel"/>
    <w:lvl w:ilvl="0">
      <w:lvlJc w:val="left"/>
      <w:lvlText w:val="%1"/>
      <w:numFmt w:val="lowerLetter"/>
      <w:start w:val="1"/>
    </w:lvl>
    <w:lvl w:ilvl="1">
      <w:lvlJc w:val="left"/>
      <w:lvlText w:val="(%2)"/>
      <w:numFmt w:val="lowerLetter"/>
      <w:start w:val="3"/>
    </w:lvl>
  </w:abstractNum>
  <w:abstractNum w:abstractNumId="11">
    <w:nsid w:val="109CF92E"/>
    <w:multiLevelType w:val="hybridMultilevel"/>
    <w:lvl w:ilvl="0">
      <w:lvlJc w:val="left"/>
      <w:lvlText w:val="(%1)"/>
      <w:numFmt w:val="lowerLetter"/>
      <w:start w:val="2"/>
    </w:lvl>
    <w:lvl w:ilvl="1">
      <w:lvlJc w:val="left"/>
      <w:lvlText w:val="%2"/>
      <w:numFmt w:val="lowerLetter"/>
      <w:start w:val="1"/>
    </w:lvl>
  </w:abstractNum>
  <w:abstractNum w:abstractNumId="12">
    <w:nsid w:val="DED7263"/>
    <w:multiLevelType w:val="hybridMultilevel"/>
    <w:lvl w:ilvl="0">
      <w:lvlJc w:val="left"/>
      <w:lvlText w:val="(%1)"/>
      <w:numFmt w:val="decimal"/>
      <w:start w:val="470"/>
    </w:lvl>
  </w:abstractNum>
  <w:abstractNum w:abstractNumId="13">
    <w:nsid w:val="7FDCC233"/>
    <w:multiLevelType w:val="hybridMultilevel"/>
    <w:lvl w:ilvl="0">
      <w:lvlJc w:val="left"/>
      <w:lvlText w:val="(%1)"/>
      <w:numFmt w:val="decimal"/>
      <w:start w:val="470"/>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2020-02-26T05:22:01Z</dcterms:created>
  <dcterms:modified xsi:type="dcterms:W3CDTF">2020-02-26T05:22:01Z</dcterms:modified>
</cp:coreProperties>
</file>