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NELSON MARC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296 GRAYSON HIGHWAY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NATIONAL VISION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NVI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LAWRENCEVILLE GA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08/27/2004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1.18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08/27/2004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08/27/2004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3.53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1.18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05/23/2012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Option vests 50% after two years and an additional 25% on each of the third and fourth anniversaries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Mitchell Goodman, as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698" TargetMode="External"/><Relationship Id="rId13" Type="http://schemas.openxmlformats.org/officeDocument/2006/relationships/hyperlink" Target="http://www.sec.gov/cgi-bin/browse-edgar?action=getcompany&amp;CIK=0000868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2020-02-17T11:11:30Z</dcterms:created>
  <dcterms:modified xsi:type="dcterms:W3CDTF">2020-02-17T11:11:30Z</dcterms:modified>
</cp:coreProperties>
</file>