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40" w:val="left"/>
          <w:tab w:leader="none" w:pos="4620" w:val="left"/>
          <w:tab w:leader="none" w:pos="536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7</w:t>
      </w:r>
    </w:p>
    <w:p>
      <w:pPr>
        <w:spacing w:after="0" w:line="255"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UNITED STATES</w:t>
      </w:r>
    </w:p>
    <w:p>
      <w:pPr>
        <w:spacing w:after="0" w:line="44" w:lineRule="exact"/>
        <w:rPr>
          <w:sz w:val="24"/>
          <w:szCs w:val="24"/>
          <w:color w:val="auto"/>
        </w:rPr>
      </w:pPr>
    </w:p>
    <w:p>
      <w:pPr>
        <w:ind w:left="266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ind w:left="3400"/>
        <w:spacing w:after="0"/>
        <w:rPr>
          <w:sz w:val="20"/>
          <w:szCs w:val="20"/>
          <w:color w:val="auto"/>
        </w:rPr>
      </w:pPr>
      <w:r>
        <w:rPr>
          <w:rFonts w:ascii="Courier New" w:cs="Courier New" w:eastAsia="Courier New" w:hAnsi="Courier New"/>
          <w:sz w:val="18"/>
          <w:szCs w:val="18"/>
          <w:color w:val="auto"/>
        </w:rPr>
        <w:t>Washington, D.C. 20549</w:t>
      </w:r>
    </w:p>
    <w:p>
      <w:pPr>
        <w:spacing w:after="0" w:line="22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55" w:lineRule="exact"/>
        <w:rPr>
          <w:sz w:val="24"/>
          <w:szCs w:val="24"/>
          <w:color w:val="auto"/>
        </w:rPr>
      </w:pPr>
    </w:p>
    <w:p>
      <w:pPr>
        <w:jc w:val="center"/>
        <w:ind w:right="6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44" w:lineRule="exact"/>
        <w:rPr>
          <w:sz w:val="24"/>
          <w:szCs w:val="24"/>
          <w:color w:val="auto"/>
        </w:rPr>
      </w:pPr>
    </w:p>
    <w:p>
      <w:pPr>
        <w:jc w:val="center"/>
        <w:ind w:right="819"/>
        <w:spacing w:after="0"/>
        <w:rPr>
          <w:sz w:val="20"/>
          <w:szCs w:val="20"/>
          <w:color w:val="auto"/>
        </w:rPr>
      </w:pPr>
      <w:r>
        <w:rPr>
          <w:rFonts w:ascii="Courier New" w:cs="Courier New" w:eastAsia="Courier New" w:hAnsi="Courier New"/>
          <w:sz w:val="18"/>
          <w:szCs w:val="18"/>
          <w:color w:val="auto"/>
        </w:rPr>
        <w:t>(Amendment No.1)*</w:t>
      </w:r>
    </w:p>
    <w:p>
      <w:pPr>
        <w:spacing w:after="0" w:line="223" w:lineRule="exact"/>
        <w:rPr>
          <w:sz w:val="24"/>
          <w:szCs w:val="24"/>
          <w:color w:val="auto"/>
        </w:rPr>
      </w:pPr>
    </w:p>
    <w:p>
      <w:pPr>
        <w:jc w:val="center"/>
        <w:ind w:right="759"/>
        <w:spacing w:after="0"/>
        <w:rPr>
          <w:sz w:val="20"/>
          <w:szCs w:val="20"/>
          <w:color w:val="auto"/>
        </w:rPr>
      </w:pPr>
      <w:r>
        <w:rPr>
          <w:rFonts w:ascii="Courier New" w:cs="Courier New" w:eastAsia="Courier New" w:hAnsi="Courier New"/>
          <w:sz w:val="18"/>
          <w:szCs w:val="18"/>
          <w:color w:val="auto"/>
        </w:rPr>
        <w:t>National Vision Holdings, Inc.</w:t>
      </w:r>
    </w:p>
    <w:p>
      <w:pPr>
        <w:spacing w:after="0" w:line="44" w:lineRule="exact"/>
        <w:rPr>
          <w:sz w:val="24"/>
          <w:szCs w:val="24"/>
          <w:color w:val="auto"/>
        </w:rPr>
      </w:pPr>
    </w:p>
    <w:p>
      <w:pPr>
        <w:jc w:val="center"/>
        <w:ind w:right="819"/>
        <w:spacing w:after="0"/>
        <w:rPr>
          <w:sz w:val="20"/>
          <w:szCs w:val="20"/>
          <w:color w:val="auto"/>
        </w:rPr>
      </w:pPr>
      <w:r>
        <w:rPr>
          <w:rFonts w:ascii="Courier New" w:cs="Courier New" w:eastAsia="Courier New" w:hAnsi="Courier New"/>
          <w:sz w:val="18"/>
          <w:szCs w:val="18"/>
          <w:color w:val="auto"/>
        </w:rPr>
        <w:t>(Name of Issuer)</w:t>
      </w:r>
    </w:p>
    <w:p>
      <w:pPr>
        <w:spacing w:after="0" w:line="223" w:lineRule="exact"/>
        <w:rPr>
          <w:sz w:val="24"/>
          <w:szCs w:val="24"/>
          <w:color w:val="auto"/>
        </w:rPr>
      </w:pPr>
    </w:p>
    <w:p>
      <w:pPr>
        <w:ind w:left="256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55" w:lineRule="exact"/>
        <w:rPr>
          <w:sz w:val="24"/>
          <w:szCs w:val="24"/>
          <w:color w:val="auto"/>
        </w:rPr>
      </w:pPr>
    </w:p>
    <w:p>
      <w:pPr>
        <w:ind w:left="3100"/>
        <w:spacing w:after="0"/>
        <w:rPr>
          <w:sz w:val="20"/>
          <w:szCs w:val="20"/>
          <w:color w:val="auto"/>
        </w:rPr>
      </w:pPr>
      <w:r>
        <w:rPr>
          <w:rFonts w:ascii="Courier New" w:cs="Courier New" w:eastAsia="Courier New" w:hAnsi="Courier New"/>
          <w:sz w:val="18"/>
          <w:szCs w:val="18"/>
          <w:color w:val="auto"/>
        </w:rPr>
        <w:t>(Title of Class of Securities)</w:t>
      </w:r>
    </w:p>
    <w:p>
      <w:pPr>
        <w:spacing w:after="0" w:line="255" w:lineRule="exact"/>
        <w:rPr>
          <w:sz w:val="24"/>
          <w:szCs w:val="24"/>
          <w:color w:val="auto"/>
        </w:rPr>
      </w:pPr>
    </w:p>
    <w:p>
      <w:pPr>
        <w:jc w:val="center"/>
        <w:ind w:right="859"/>
        <w:spacing w:after="0"/>
        <w:rPr>
          <w:sz w:val="20"/>
          <w:szCs w:val="20"/>
          <w:color w:val="auto"/>
        </w:rPr>
      </w:pPr>
      <w:r>
        <w:rPr>
          <w:rFonts w:ascii="Courier New" w:cs="Courier New" w:eastAsia="Courier New" w:hAnsi="Courier New"/>
          <w:sz w:val="18"/>
          <w:szCs w:val="18"/>
          <w:color w:val="auto"/>
        </w:rPr>
        <w:t>63845R107</w:t>
      </w:r>
    </w:p>
    <w:p>
      <w:pPr>
        <w:spacing w:after="0" w:line="44"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(CUSIP Number)</w:t>
      </w:r>
    </w:p>
    <w:p>
      <w:pPr>
        <w:spacing w:after="0" w:line="223"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December 31, 2022</w:t>
      </w:r>
    </w:p>
    <w:p>
      <w:pPr>
        <w:spacing w:after="0" w:line="44" w:lineRule="exact"/>
        <w:rPr>
          <w:sz w:val="24"/>
          <w:szCs w:val="24"/>
          <w:color w:val="auto"/>
        </w:rPr>
      </w:pPr>
    </w:p>
    <w:p>
      <w:pPr>
        <w:ind w:left="21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23" w:lineRule="exact"/>
        <w:rPr>
          <w:sz w:val="24"/>
          <w:szCs w:val="24"/>
          <w:color w:val="auto"/>
        </w:rPr>
      </w:pPr>
    </w:p>
    <w:p>
      <w:pPr>
        <w:ind w:left="100" w:right="999"/>
        <w:spacing w:after="0" w:line="371"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7" w:lineRule="exact"/>
        <w:rPr>
          <w:sz w:val="24"/>
          <w:szCs w:val="24"/>
          <w:color w:val="auto"/>
        </w:rPr>
      </w:pPr>
    </w:p>
    <w:p>
      <w:pPr>
        <w:jc w:val="both"/>
        <w:ind w:left="100" w:right="7879" w:firstLine="8"/>
        <w:spacing w:after="0" w:line="254" w:lineRule="exact"/>
        <w:tabs>
          <w:tab w:leader="none" w:pos="5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157" w:lineRule="exact"/>
        <w:rPr>
          <w:sz w:val="24"/>
          <w:szCs w:val="24"/>
          <w:color w:val="auto"/>
        </w:rPr>
      </w:pPr>
    </w:p>
    <w:p>
      <w:pPr>
        <w:ind w:left="100" w:right="1199"/>
        <w:spacing w:after="0" w:line="29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ind w:left="100" w:right="879"/>
        <w:spacing w:after="0" w:line="29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wp:posOffset>
            </wp:positionH>
            <wp:positionV relativeFrom="paragraph">
              <wp:posOffset>149860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714" w:right="1440" w:bottom="1440" w:gutter="0" w:footer="0" w:header="0"/>
        </w:sectPr>
      </w:pPr>
    </w:p>
    <w:bookmarkStart w:id="1" w:name="page2"/>
    <w:bookmarkEnd w:id="1"/>
    <w:p>
      <w:pPr>
        <w:spacing w:after="0"/>
        <w:tabs>
          <w:tab w:leader="none" w:pos="1140" w:val="left"/>
          <w:tab w:leader="none" w:pos="4620" w:val="left"/>
          <w:tab w:leader="none" w:pos="536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7</w:t>
      </w:r>
    </w:p>
    <w:p>
      <w:pPr>
        <w:spacing w:after="0" w:line="255" w:lineRule="exact"/>
        <w:rPr>
          <w:sz w:val="20"/>
          <w:szCs w:val="20"/>
          <w:color w:val="auto"/>
        </w:rPr>
      </w:pPr>
    </w:p>
    <w:p>
      <w:pPr>
        <w:ind w:left="660" w:right="6139" w:hanging="552"/>
        <w:spacing w:after="0" w:line="572" w:lineRule="auto"/>
        <w:tabs>
          <w:tab w:leader="none" w:pos="63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ClearBridge Investments, LLC</w:t>
      </w:r>
    </w:p>
    <w:p>
      <w:pPr>
        <w:ind w:left="640" w:hanging="5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(a)</w:t>
      </w:r>
    </w:p>
    <w:p>
      <w:pPr>
        <w:spacing w:after="0" w:line="44" w:lineRule="exact"/>
        <w:rPr>
          <w:sz w:val="20"/>
          <w:szCs w:val="20"/>
          <w:color w:val="auto"/>
        </w:rPr>
      </w:pPr>
    </w:p>
    <w:p>
      <w:pPr>
        <w:ind w:left="1080" w:hanging="422"/>
        <w:spacing w:after="0"/>
        <w:tabs>
          <w:tab w:leader="none" w:pos="10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23"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5" w:lineRule="exact"/>
        <w:rPr>
          <w:rFonts w:ascii="Courier New" w:cs="Courier New" w:eastAsia="Courier New" w:hAnsi="Courier New"/>
          <w:sz w:val="18"/>
          <w:szCs w:val="18"/>
          <w:color w:val="auto"/>
        </w:rPr>
      </w:pPr>
    </w:p>
    <w:p>
      <w:pPr>
        <w:ind w:left="660" w:right="5319" w:hanging="552"/>
        <w:spacing w:after="0" w:line="540" w:lineRule="auto"/>
        <w:tabs>
          <w:tab w:leader="none" w:pos="6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1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66" w:lineRule="exact"/>
        <w:rPr>
          <w:sz w:val="20"/>
          <w:szCs w:val="20"/>
          <w:color w:val="auto"/>
        </w:rPr>
      </w:pPr>
    </w:p>
    <w:p>
      <w:pPr>
        <w:ind w:left="1200" w:right="6759" w:hanging="542"/>
        <w:spacing w:after="0" w:line="572" w:lineRule="auto"/>
        <w:tabs>
          <w:tab w:leader="none" w:pos="1177"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559" w:hanging="542"/>
        <w:spacing w:after="0" w:line="540" w:lineRule="auto"/>
        <w:tabs>
          <w:tab w:leader="none" w:pos="117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239" w:hanging="542"/>
        <w:spacing w:after="0" w:line="540" w:lineRule="auto"/>
        <w:tabs>
          <w:tab w:leader="none" w:pos="117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6019" w:hanging="542"/>
        <w:spacing w:after="0" w:line="540" w:lineRule="auto"/>
        <w:tabs>
          <w:tab w:leader="none" w:pos="117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600" w:right="2779" w:hanging="492"/>
        <w:spacing w:after="0" w:line="540" w:lineRule="auto"/>
        <w:tabs>
          <w:tab w:leader="none" w:pos="6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4,236,366</w:t>
      </w:r>
    </w:p>
    <w:p>
      <w:pPr>
        <w:ind w:left="640" w:hanging="5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71" w:lineRule="exact"/>
        <w:rPr>
          <w:sz w:val="20"/>
          <w:szCs w:val="20"/>
          <w:color w:val="auto"/>
        </w:rPr>
      </w:pPr>
    </w:p>
    <w:p>
      <w:pPr>
        <w:ind w:left="660" w:right="3939" w:hanging="552"/>
        <w:spacing w:after="0" w:line="540" w:lineRule="auto"/>
        <w:tabs>
          <w:tab w:leader="none" w:pos="6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ind w:left="640" w:hanging="5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55"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241300</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849" w:right="1440" w:bottom="1440" w:gutter="0" w:footer="0" w:header="0"/>
        </w:sectPr>
      </w:pPr>
    </w:p>
    <w:bookmarkStart w:id="2" w:name="page3"/>
    <w:bookmarkEnd w:id="2"/>
    <w:p>
      <w:pPr>
        <w:spacing w:after="0"/>
        <w:tabs>
          <w:tab w:leader="none" w:pos="1140" w:val="left"/>
          <w:tab w:leader="none" w:pos="4620" w:val="left"/>
          <w:tab w:leader="none" w:pos="536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7</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w:t>
      </w:r>
    </w:p>
    <w:p>
      <w:pPr>
        <w:spacing w:after="0" w:line="255" w:lineRule="exact"/>
        <w:rPr>
          <w:sz w:val="20"/>
          <w:szCs w:val="20"/>
          <w:color w:val="auto"/>
        </w:rPr>
      </w:pPr>
    </w:p>
    <w:p>
      <w:pPr>
        <w:ind w:left="740" w:hanging="632"/>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4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National Vision Holdings, Inc.</w:t>
      </w:r>
    </w:p>
    <w:p>
      <w:pPr>
        <w:spacing w:after="0" w:line="223" w:lineRule="exact"/>
        <w:rPr>
          <w:sz w:val="20"/>
          <w:szCs w:val="20"/>
          <w:color w:val="auto"/>
        </w:rPr>
      </w:pPr>
    </w:p>
    <w:p>
      <w:pPr>
        <w:ind w:left="740" w:hanging="632"/>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2435 Commerce Ave</w:t>
      </w:r>
    </w:p>
    <w:p>
      <w:pPr>
        <w:spacing w:after="0" w:line="4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Building 2200</w:t>
      </w:r>
    </w:p>
    <w:p>
      <w:pPr>
        <w:spacing w:after="0" w:line="12"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Duluth, Georgia 30096-4980</w:t>
      </w:r>
    </w:p>
    <w:p>
      <w:pPr>
        <w:spacing w:after="0" w:line="38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2.</w:t>
      </w:r>
    </w:p>
    <w:p>
      <w:pPr>
        <w:spacing w:after="0" w:line="255" w:lineRule="exact"/>
        <w:rPr>
          <w:sz w:val="20"/>
          <w:szCs w:val="20"/>
          <w:color w:val="auto"/>
        </w:rPr>
      </w:pPr>
    </w:p>
    <w:p>
      <w:pPr>
        <w:ind w:left="700" w:right="6079" w:hanging="592"/>
        <w:spacing w:after="0" w:line="572" w:lineRule="auto"/>
        <w:tabs>
          <w:tab w:leader="none" w:pos="73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 Filing ClearBridge Investments, LLC</w:t>
      </w:r>
    </w:p>
    <w:p>
      <w:pPr>
        <w:ind w:left="740" w:hanging="632"/>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99"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620 8</w:t>
      </w:r>
      <w:r>
        <w:rPr>
          <w:rFonts w:ascii="Courier New" w:cs="Courier New" w:eastAsia="Courier New" w:hAnsi="Courier New"/>
          <w:sz w:val="29"/>
          <w:szCs w:val="29"/>
          <w:color w:val="auto"/>
          <w:vertAlign w:val="superscript"/>
        </w:rPr>
        <w:t>th</w:t>
      </w:r>
      <w:r>
        <w:rPr>
          <w:rFonts w:ascii="Courier New" w:cs="Courier New" w:eastAsia="Courier New" w:hAnsi="Courier New"/>
          <w:sz w:val="18"/>
          <w:szCs w:val="18"/>
          <w:color w:val="auto"/>
        </w:rPr>
        <w:t xml:space="preserve"> Ave.</w:t>
      </w:r>
    </w:p>
    <w:p>
      <w:pPr>
        <w:ind w:left="760"/>
        <w:spacing w:after="0"/>
        <w:rPr>
          <w:sz w:val="20"/>
          <w:szCs w:val="20"/>
          <w:color w:val="auto"/>
        </w:rPr>
      </w:pPr>
      <w:r>
        <w:rPr>
          <w:rFonts w:ascii="Courier New" w:cs="Courier New" w:eastAsia="Courier New" w:hAnsi="Courier New"/>
          <w:sz w:val="18"/>
          <w:szCs w:val="18"/>
          <w:color w:val="auto"/>
        </w:rPr>
        <w:t>New York, NY 10018</w:t>
      </w:r>
    </w:p>
    <w:p>
      <w:pPr>
        <w:spacing w:after="0" w:line="223" w:lineRule="exact"/>
        <w:rPr>
          <w:sz w:val="20"/>
          <w:szCs w:val="20"/>
          <w:color w:val="auto"/>
        </w:rPr>
      </w:pPr>
    </w:p>
    <w:p>
      <w:pPr>
        <w:ind w:left="700" w:right="7839" w:hanging="592"/>
        <w:spacing w:after="0" w:line="572" w:lineRule="auto"/>
        <w:tabs>
          <w:tab w:leader="none" w:pos="73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Delaware</w:t>
      </w:r>
    </w:p>
    <w:p>
      <w:pPr>
        <w:ind w:left="740" w:hanging="632"/>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55" w:lineRule="exact"/>
        <w:rPr>
          <w:sz w:val="20"/>
          <w:szCs w:val="20"/>
          <w:color w:val="auto"/>
        </w:rPr>
      </w:pPr>
    </w:p>
    <w:p>
      <w:pPr>
        <w:ind w:left="700" w:right="7739" w:hanging="592"/>
        <w:spacing w:after="0" w:line="710" w:lineRule="auto"/>
        <w:tabs>
          <w:tab w:leader="none" w:pos="73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-60960</wp:posOffset>
            </wp:positionV>
            <wp:extent cx="71532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092" w:right="1440" w:bottom="1440" w:gutter="0" w:footer="0" w:header="0"/>
        </w:sectPr>
      </w:pPr>
    </w:p>
    <w:bookmarkStart w:id="3" w:name="page4"/>
    <w:bookmarkEnd w:id="3"/>
    <w:p>
      <w:pPr>
        <w:spacing w:after="0"/>
        <w:tabs>
          <w:tab w:leader="none" w:pos="1140" w:val="left"/>
          <w:tab w:leader="none" w:pos="4620" w:val="left"/>
          <w:tab w:leader="none" w:pos="536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7</w:t>
      </w:r>
    </w:p>
    <w:p>
      <w:pPr>
        <w:spacing w:after="0" w:line="228" w:lineRule="exact"/>
        <w:rPr>
          <w:sz w:val="20"/>
          <w:szCs w:val="20"/>
          <w:color w:val="auto"/>
        </w:rPr>
      </w:pPr>
    </w:p>
    <w:p>
      <w:pPr>
        <w:ind w:left="900" w:right="759" w:hanging="799"/>
        <w:spacing w:after="0" w:line="246"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 w:lineRule="exact"/>
        <w:rPr>
          <w:sz w:val="20"/>
          <w:szCs w:val="20"/>
          <w:color w:val="auto"/>
        </w:rPr>
      </w:pPr>
    </w:p>
    <w:p>
      <w:pPr>
        <w:ind w:left="1320" w:hanging="412"/>
        <w:spacing w:after="0"/>
        <w:tabs>
          <w:tab w:leader="none" w:pos="13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8o).</w:t>
      </w:r>
    </w:p>
    <w:p>
      <w:pPr>
        <w:spacing w:after="0" w:line="234" w:lineRule="exact"/>
        <w:rPr>
          <w:rFonts w:ascii="Courier New" w:cs="Courier New" w:eastAsia="Courier New" w:hAnsi="Courier New"/>
          <w:sz w:val="17"/>
          <w:szCs w:val="17"/>
          <w:color w:val="auto"/>
        </w:rPr>
      </w:pPr>
    </w:p>
    <w:p>
      <w:pPr>
        <w:ind w:left="1320" w:hanging="412"/>
        <w:spacing w:after="0"/>
        <w:tabs>
          <w:tab w:leader="none" w:pos="1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55" w:lineRule="exact"/>
        <w:rPr>
          <w:rFonts w:ascii="Courier New" w:cs="Courier New" w:eastAsia="Courier New" w:hAnsi="Courier New"/>
          <w:sz w:val="18"/>
          <w:szCs w:val="18"/>
          <w:color w:val="auto"/>
        </w:rPr>
      </w:pPr>
    </w:p>
    <w:p>
      <w:pPr>
        <w:ind w:left="1800" w:right="499" w:hanging="892"/>
        <w:spacing w:after="0" w:line="371" w:lineRule="auto"/>
        <w:tabs>
          <w:tab w:leader="none" w:pos="13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44" w:lineRule="exact"/>
        <w:rPr>
          <w:rFonts w:ascii="Courier New" w:cs="Courier New" w:eastAsia="Courier New" w:hAnsi="Courier New"/>
          <w:sz w:val="18"/>
          <w:szCs w:val="18"/>
          <w:color w:val="auto"/>
        </w:rPr>
      </w:pPr>
    </w:p>
    <w:p>
      <w:pPr>
        <w:ind w:left="1800" w:right="399" w:hanging="892"/>
        <w:spacing w:after="0" w:line="260" w:lineRule="exact"/>
        <w:tabs>
          <w:tab w:leader="none" w:pos="13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 Investment company registered under section 8 of the Investment Company Act of 1940 (15 U.S.C 80a </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28" w:lineRule="exact"/>
        <w:rPr>
          <w:rFonts w:ascii="Courier New" w:cs="Courier New" w:eastAsia="Courier New" w:hAnsi="Courier New"/>
          <w:sz w:val="18"/>
          <w:szCs w:val="18"/>
          <w:color w:val="auto"/>
        </w:rPr>
      </w:pPr>
    </w:p>
    <w:p>
      <w:pPr>
        <w:ind w:left="1320" w:hanging="412"/>
        <w:spacing w:after="0" w:line="209" w:lineRule="exact"/>
        <w:tabs>
          <w:tab w:leader="none" w:pos="1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77" w:lineRule="exact"/>
        <w:rPr>
          <w:rFonts w:ascii="Courier New" w:cs="Courier New" w:eastAsia="Courier New" w:hAnsi="Courier New"/>
          <w:sz w:val="18"/>
          <w:szCs w:val="18"/>
          <w:color w:val="auto"/>
        </w:rPr>
      </w:pPr>
    </w:p>
    <w:p>
      <w:pPr>
        <w:ind w:left="1320" w:hanging="412"/>
        <w:spacing w:after="0"/>
        <w:tabs>
          <w:tab w:leader="none" w:pos="1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7" w:lineRule="exact"/>
        <w:rPr>
          <w:sz w:val="20"/>
          <w:szCs w:val="20"/>
          <w:color w:val="auto"/>
        </w:rPr>
      </w:pPr>
    </w:p>
    <w:p>
      <w:pPr>
        <w:ind w:left="180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235" w:lineRule="exact"/>
        <w:rPr>
          <w:sz w:val="20"/>
          <w:szCs w:val="20"/>
          <w:color w:val="auto"/>
        </w:rPr>
      </w:pPr>
    </w:p>
    <w:p>
      <w:pPr>
        <w:ind w:left="1800" w:right="1459" w:hanging="892"/>
        <w:spacing w:after="0" w:line="260" w:lineRule="exact"/>
        <w:tabs>
          <w:tab w:leader="none" w:pos="13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spacing w:after="0" w:line="155" w:lineRule="exact"/>
        <w:rPr>
          <w:rFonts w:ascii="Courier New" w:cs="Courier New" w:eastAsia="Courier New" w:hAnsi="Courier New"/>
          <w:sz w:val="18"/>
          <w:szCs w:val="18"/>
          <w:color w:val="auto"/>
        </w:rPr>
      </w:pPr>
    </w:p>
    <w:p>
      <w:pPr>
        <w:ind w:left="1800" w:right="1139" w:hanging="892"/>
        <w:spacing w:after="0" w:line="371" w:lineRule="auto"/>
        <w:tabs>
          <w:tab w:leader="none" w:pos="13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800" w:right="759" w:hanging="892"/>
        <w:spacing w:after="0" w:line="245" w:lineRule="exact"/>
        <w:tabs>
          <w:tab w:leader="none" w:pos="13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29" w:lineRule="exact"/>
        <w:rPr>
          <w:rFonts w:ascii="Courier New" w:cs="Courier New" w:eastAsia="Courier New" w:hAnsi="Courier New"/>
          <w:sz w:val="18"/>
          <w:szCs w:val="18"/>
          <w:color w:val="auto"/>
        </w:rPr>
      </w:pPr>
    </w:p>
    <w:p>
      <w:pPr>
        <w:ind w:left="1320" w:hanging="412"/>
        <w:spacing w:after="0" w:line="209" w:lineRule="exact"/>
        <w:tabs>
          <w:tab w:leader="none" w:pos="1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50" w:lineRule="exact"/>
        <w:rPr>
          <w:rFonts w:ascii="Courier New" w:cs="Courier New" w:eastAsia="Courier New" w:hAnsi="Courier New"/>
          <w:sz w:val="18"/>
          <w:szCs w:val="18"/>
          <w:color w:val="auto"/>
        </w:rPr>
      </w:pPr>
    </w:p>
    <w:p>
      <w:pPr>
        <w:ind w:left="1320" w:hanging="412"/>
        <w:spacing w:after="0" w:line="209" w:lineRule="exact"/>
        <w:tabs>
          <w:tab w:leader="none" w:pos="1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1(b)(1)(ii)(K).</w:t>
      </w:r>
    </w:p>
    <w:p>
      <w:pPr>
        <w:spacing w:after="0" w:line="250" w:lineRule="exact"/>
        <w:rPr>
          <w:sz w:val="20"/>
          <w:szCs w:val="20"/>
          <w:color w:val="auto"/>
        </w:rPr>
      </w:pPr>
    </w:p>
    <w:p>
      <w:pPr>
        <w:ind w:left="900" w:right="579"/>
        <w:spacing w:after="0" w:line="274"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1(b)(1)(ii)(J), please specify the type of institution</w:t>
      </w:r>
    </w:p>
    <w:p>
      <w:pPr>
        <w:spacing w:after="0" w:line="15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4. Ownership</w:t>
      </w:r>
    </w:p>
    <w:p>
      <w:pPr>
        <w:spacing w:after="0" w:line="228" w:lineRule="exact"/>
        <w:rPr>
          <w:sz w:val="20"/>
          <w:szCs w:val="20"/>
          <w:color w:val="auto"/>
        </w:rPr>
      </w:pPr>
    </w:p>
    <w:p>
      <w:pPr>
        <w:ind w:left="100" w:right="219"/>
        <w:spacing w:after="0" w:line="217"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ClearBridge Investments, LLC ("CIL"), an indirect wholly owned subsidiary of Franklin Resources, Inc. ("FRI"). When an investment management contract (including a sub</w:t>
      </w:r>
      <w:r>
        <w:rPr>
          <w:rFonts w:ascii="MS PGothic" w:cs="MS PGothic" w:eastAsia="MS PGothic" w:hAnsi="MS PGothic"/>
          <w:sz w:val="18"/>
          <w:szCs w:val="18"/>
          <w:color w:val="auto"/>
        </w:rPr>
        <w:t>‑</w:t>
      </w:r>
      <w:r>
        <w:rPr>
          <w:rFonts w:ascii="Courier New" w:cs="Courier New" w:eastAsia="Courier New" w:hAnsi="Courier New"/>
          <w:sz w:val="18"/>
          <w:szCs w:val="18"/>
          <w:color w:val="auto"/>
        </w:rPr>
        <w:t>advisory agreement) delegates to CIL investment discretion or voting power over the securities held in the investment advisory accounts that are subject to that agreement, FRI treats CIL as having sole investment discretion or voting authority, as the case may be, unless the agreement specifies otherwise. Accordingly, CIL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3 under the Act, CIL may be deemed to be the beneficial owner of the securities reported in this Schedule 13G.</w:t>
      </w:r>
    </w:p>
    <w:p>
      <w:pPr>
        <w:spacing w:after="0" w:line="159" w:lineRule="exact"/>
        <w:rPr>
          <w:sz w:val="20"/>
          <w:szCs w:val="20"/>
          <w:color w:val="auto"/>
        </w:rPr>
      </w:pPr>
    </w:p>
    <w:p>
      <w:pPr>
        <w:ind w:left="100" w:right="359"/>
        <w:spacing w:after="0" w:line="218" w:lineRule="exact"/>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w:t>
      </w:r>
      <w:r>
        <w:rPr>
          <w:rFonts w:ascii="MS PGothic" w:cs="MS PGothic" w:eastAsia="MS PGothic" w:hAnsi="MS P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CIL are exercised independently from FRI (CIL’s parent holding company) and from all other investment management subsidiaries of FRI (FRI, its affiliates and investment management subsidiaries other than CIL are, collectively, “FRI affiliates”). Furthermore, internal policies and procedures of CIL and FRI affiliates establish informational barriers that prevent the flow between CIL and the FRI affiliates of information that relates to the voting and investment powers over the securities owned by their respective investment management clients. Consequently, CIL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27305</wp:posOffset>
            </wp:positionV>
            <wp:extent cx="71532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092" w:right="1440" w:bottom="831" w:gutter="0" w:footer="0" w:header="0"/>
        </w:sectPr>
      </w:pPr>
    </w:p>
    <w:bookmarkStart w:id="4" w:name="page5"/>
    <w:bookmarkEnd w:id="4"/>
    <w:p>
      <w:pPr>
        <w:spacing w:after="0"/>
        <w:tabs>
          <w:tab w:leader="none" w:pos="1140" w:val="left"/>
          <w:tab w:leader="none" w:pos="4620" w:val="left"/>
          <w:tab w:leader="none" w:pos="536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7</w:t>
      </w:r>
    </w:p>
    <w:p>
      <w:pPr>
        <w:spacing w:after="0" w:line="255" w:lineRule="exact"/>
        <w:rPr>
          <w:sz w:val="20"/>
          <w:szCs w:val="20"/>
          <w:color w:val="auto"/>
        </w:rPr>
      </w:pPr>
    </w:p>
    <w:p>
      <w:pPr>
        <w:ind w:left="100" w:right="159"/>
        <w:spacing w:after="0" w:line="271"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However, because CIL exercises voting and investment powers on behalf of its investment management clients independently of FRI affiliates, beneficial ownership of the securities reported by CIL is not attributed to the Principal Shareholders. CIL disclaims any pecuniary interest in any of the securities reported in this Schedule 13G. In addition, the filing of this Schedule 13G on behalf of CIL should not be construed as an admission that it is, and it disclaims that it is, the beneficial owner, as defined</w:t>
      </w:r>
    </w:p>
    <w:p>
      <w:pPr>
        <w:spacing w:after="0" w:line="3" w:lineRule="exact"/>
        <w:rPr>
          <w:sz w:val="20"/>
          <w:szCs w:val="20"/>
          <w:color w:val="auto"/>
        </w:rPr>
      </w:pPr>
    </w:p>
    <w:p>
      <w:pPr>
        <w:ind w:left="100"/>
        <w:spacing w:after="0" w:line="209" w:lineRule="exact"/>
        <w:rPr>
          <w:sz w:val="20"/>
          <w:szCs w:val="20"/>
          <w:color w:val="auto"/>
        </w:rPr>
      </w:pPr>
      <w:r>
        <w:rPr>
          <w:rFonts w:ascii="Courier New" w:cs="Courier New" w:eastAsia="Courier New" w:hAnsi="Courier New"/>
          <w:sz w:val="18"/>
          <w:szCs w:val="18"/>
          <w:color w:val="auto"/>
        </w:rPr>
        <w:t>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such securities.</w:t>
      </w:r>
    </w:p>
    <w:p>
      <w:pPr>
        <w:spacing w:after="0" w:line="235" w:lineRule="exact"/>
        <w:rPr>
          <w:sz w:val="20"/>
          <w:szCs w:val="20"/>
          <w:color w:val="auto"/>
        </w:rPr>
      </w:pPr>
    </w:p>
    <w:p>
      <w:pPr>
        <w:ind w:left="100" w:right="499"/>
        <w:spacing w:after="0" w:line="231" w:lineRule="exact"/>
        <w:rPr>
          <w:sz w:val="20"/>
          <w:szCs w:val="20"/>
          <w:color w:val="auto"/>
        </w:rPr>
      </w:pPr>
      <w:r>
        <w:rPr>
          <w:rFonts w:ascii="Courier New" w:cs="Courier New" w:eastAsia="Courier New" w:hAnsi="Courier New"/>
          <w:sz w:val="18"/>
          <w:szCs w:val="18"/>
          <w:color w:val="auto"/>
        </w:rPr>
        <w:t>Furthermore, CIL believes that it is not a "group" with FRI affiliates, the Principal Shareholders, or their respective affiliates within the meaning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5 under the Act and that none of them is otherwise required to attribute to any other the beneficial ownership of the securities held by such person or by any persons or entities for whom or for which CIL or the FRI affiliates provide investment management services.</w:t>
      </w:r>
    </w:p>
    <w:p>
      <w:pPr>
        <w:spacing w:after="0" w:line="157" w:lineRule="exact"/>
        <w:rPr>
          <w:sz w:val="20"/>
          <w:szCs w:val="20"/>
          <w:color w:val="auto"/>
        </w:rPr>
      </w:pPr>
    </w:p>
    <w:p>
      <w:pPr>
        <w:ind w:left="1100" w:right="5839" w:hanging="792"/>
        <w:spacing w:after="0" w:line="540" w:lineRule="auto"/>
        <w:tabs>
          <w:tab w:leader="none" w:pos="11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4,236,366</w:t>
      </w:r>
    </w:p>
    <w:p>
      <w:pPr>
        <w:ind w:left="1160" w:hanging="852"/>
        <w:spacing w:after="0"/>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5.4%</w:t>
      </w:r>
    </w:p>
    <w:p>
      <w:pPr>
        <w:spacing w:after="0" w:line="255" w:lineRule="exact"/>
        <w:rPr>
          <w:sz w:val="20"/>
          <w:szCs w:val="20"/>
          <w:color w:val="auto"/>
        </w:rPr>
      </w:pPr>
    </w:p>
    <w:p>
      <w:pPr>
        <w:ind w:left="1160" w:hanging="852"/>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55" w:lineRule="exact"/>
        <w:rPr>
          <w:sz w:val="20"/>
          <w:szCs w:val="20"/>
          <w:color w:val="auto"/>
        </w:rPr>
      </w:pPr>
    </w:p>
    <w:p>
      <w:pPr>
        <w:ind w:left="1500" w:hanging="737"/>
        <w:spacing w:after="0"/>
        <w:tabs>
          <w:tab w:leader="none" w:pos="15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55" w:lineRule="exact"/>
        <w:rPr>
          <w:sz w:val="20"/>
          <w:szCs w:val="20"/>
          <w:color w:val="auto"/>
        </w:rPr>
      </w:pPr>
    </w:p>
    <w:tbl>
      <w:tblPr>
        <w:tblLayout w:type="fixed"/>
        <w:tblInd w:w="1400" w:type="dxa"/>
        <w:tblCellMar>
          <w:top w:w="0" w:type="dxa"/>
          <w:left w:w="0" w:type="dxa"/>
          <w:bottom w:w="0" w:type="dxa"/>
          <w:right w:w="0" w:type="dxa"/>
        </w:tblCellMar>
      </w:tblPr>
      <w:tr>
        <w:trPr>
          <w:trHeight w:val="3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ClearBridge Investments, LLC:</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4,235,579</w:t>
            </w:r>
          </w:p>
        </w:tc>
      </w:tr>
    </w:tbl>
    <w:p>
      <w:pPr>
        <w:spacing w:after="0" w:line="155" w:lineRule="exact"/>
        <w:rPr>
          <w:sz w:val="20"/>
          <w:szCs w:val="20"/>
          <w:color w:val="auto"/>
        </w:rPr>
      </w:pPr>
    </w:p>
    <w:p>
      <w:pPr>
        <w:ind w:left="1400" w:right="3799" w:hanging="737"/>
        <w:spacing w:after="0" w:line="540" w:lineRule="auto"/>
        <w:tabs>
          <w:tab w:leader="none" w:pos="149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520" w:hanging="957"/>
        <w:spacing w:after="0"/>
        <w:tabs>
          <w:tab w:leader="none" w:pos="15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400" w:type="dxa"/>
        <w:tblCellMar>
          <w:top w:w="0" w:type="dxa"/>
          <w:left w:w="0" w:type="dxa"/>
          <w:bottom w:w="0" w:type="dxa"/>
          <w:right w:w="0" w:type="dxa"/>
        </w:tblCellMar>
      </w:tblPr>
      <w:tr>
        <w:trPr>
          <w:trHeight w:val="3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ClearBridge Investments, LLC:</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4,236,366</w:t>
            </w:r>
          </w:p>
        </w:tc>
      </w:tr>
    </w:tbl>
    <w:p>
      <w:pPr>
        <w:spacing w:after="0" w:line="155" w:lineRule="exact"/>
        <w:rPr>
          <w:sz w:val="20"/>
          <w:szCs w:val="20"/>
          <w:color w:val="auto"/>
        </w:rPr>
      </w:pPr>
    </w:p>
    <w:p>
      <w:pPr>
        <w:ind w:left="1400" w:right="2439" w:hanging="737"/>
        <w:spacing w:after="0" w:line="540" w:lineRule="auto"/>
        <w:tabs>
          <w:tab w:leader="none" w:pos="149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10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55" w:lineRule="exact"/>
        <w:rPr>
          <w:sz w:val="20"/>
          <w:szCs w:val="20"/>
          <w:color w:val="auto"/>
        </w:rPr>
      </w:pPr>
    </w:p>
    <w:p>
      <w:pPr>
        <w:ind w:left="900" w:right="619"/>
        <w:spacing w:after="0" w:line="31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9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55" w:lineRule="exact"/>
        <w:rPr>
          <w:sz w:val="20"/>
          <w:szCs w:val="20"/>
          <w:color w:val="auto"/>
        </w:rPr>
      </w:pPr>
    </w:p>
    <w:p>
      <w:pPr>
        <w:ind w:left="900" w:right="499"/>
        <w:spacing w:after="0" w:line="315" w:lineRule="auto"/>
        <w:rPr>
          <w:sz w:val="20"/>
          <w:szCs w:val="20"/>
          <w:color w:val="auto"/>
        </w:rPr>
      </w:pPr>
      <w:r>
        <w:rPr>
          <w:rFonts w:ascii="Courier New" w:cs="Courier New" w:eastAsia="Courier New" w:hAnsi="Courier New"/>
          <w:sz w:val="17"/>
          <w:szCs w:val="17"/>
          <w:color w:val="auto"/>
        </w:rPr>
        <w:t>The clients of ClearBridge Investments, LLC,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1271905</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849" w:right="1440" w:bottom="1440" w:gutter="0" w:footer="0" w:header="0"/>
        </w:sectPr>
      </w:pPr>
    </w:p>
    <w:bookmarkStart w:id="5" w:name="page6"/>
    <w:bookmarkEnd w:id="5"/>
    <w:p>
      <w:pPr>
        <w:spacing w:after="0"/>
        <w:tabs>
          <w:tab w:leader="none" w:pos="1140" w:val="left"/>
          <w:tab w:leader="none" w:pos="5040" w:val="left"/>
          <w:tab w:leader="none" w:pos="578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7</w:t>
      </w:r>
    </w:p>
    <w:p>
      <w:pPr>
        <w:spacing w:after="0" w:line="255" w:lineRule="exact"/>
        <w:rPr>
          <w:sz w:val="20"/>
          <w:szCs w:val="20"/>
          <w:color w:val="auto"/>
        </w:rPr>
      </w:pPr>
    </w:p>
    <w:p>
      <w:pPr>
        <w:ind w:left="1300" w:right="1419" w:hanging="799"/>
        <w:spacing w:after="0" w:line="371"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4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835" w:right="1440" w:bottom="1440" w:gutter="0" w:footer="0" w:header="0"/>
        </w:sectPr>
      </w:pPr>
    </w:p>
    <w:bookmarkStart w:id="6" w:name="page7"/>
    <w:bookmarkEnd w:id="6"/>
    <w:p>
      <w:pPr>
        <w:spacing w:after="0"/>
        <w:tabs>
          <w:tab w:leader="none" w:pos="1140" w:val="left"/>
          <w:tab w:leader="none" w:pos="4620" w:val="left"/>
          <w:tab w:leader="none" w:pos="536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7</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10. Certification</w:t>
      </w:r>
    </w:p>
    <w:p>
      <w:pPr>
        <w:spacing w:after="0" w:line="255" w:lineRule="exact"/>
        <w:rPr>
          <w:sz w:val="20"/>
          <w:szCs w:val="20"/>
          <w:color w:val="auto"/>
        </w:rPr>
      </w:pPr>
    </w:p>
    <w:p>
      <w:pPr>
        <w:ind w:left="100" w:right="359"/>
        <w:spacing w:after="0" w:line="277"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or effect, other than activities solely in connection with a nomination under § 240.14a-11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100" w:right="459"/>
        <w:spacing w:after="0" w:line="371"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5"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February 9, 2023</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ClearBridge Investments, LLC</w:t>
      </w: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/s/BRIAN R. MURPHY</w:t>
      </w:r>
    </w:p>
    <w:p>
      <w:pPr>
        <w:spacing w:after="0" w:line="27" w:lineRule="exact"/>
        <w:rPr>
          <w:sz w:val="20"/>
          <w:szCs w:val="20"/>
          <w:color w:val="auto"/>
        </w:rPr>
      </w:pPr>
    </w:p>
    <w:p>
      <w:pPr>
        <w:ind w:left="2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Brian R. Murphy</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Chief Compliance Officer of ClearBridge Investments, LLC</w:t>
      </w:r>
    </w:p>
    <w:sectPr>
      <w:pgSz w:w="11900" w:h="16838" w:orient="portrait"/>
      <w:cols w:equalWidth="0" w:num="1">
        <w:col w:w="9739"/>
      </w:cols>
      <w:pgMar w:left="720" w:top="10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lvl w:ilvl="1">
      <w:lvlJc w:val="left"/>
      <w:lvlText w:val="(%2)"/>
      <w:numFmt w:val="lowerLetter"/>
      <w:start w:val="2"/>
    </w:lvl>
  </w:abstractNum>
  <w:abstractNum w:abstractNumId="3">
    <w:nsid w:val="1190CDE7"/>
    <w:multiLevelType w:val="hybridMultilevel"/>
    <w:lvl w:ilvl="0">
      <w:lvlJc w:val="left"/>
      <w:lvlText w:val="%1."/>
      <w:numFmt w:val="decimal"/>
      <w:start w:val="3"/>
    </w:lvl>
    <w:lvl w:ilvl="1">
      <w:lvlJc w:val="left"/>
      <w:lvlText w:val="%2"/>
      <w:numFmt w:val="lowerLetter"/>
      <w:start w:val="1"/>
    </w:lvl>
  </w:abstractNum>
  <w:abstractNum w:abstractNumId="4">
    <w:nsid w:val="66EF438D"/>
    <w:multiLevelType w:val="hybridMultilevel"/>
    <w:lvl w:ilvl="0">
      <w:lvlJc w:val="left"/>
      <w:lvlText w:val="%1"/>
      <w:numFmt w:val="decimal"/>
      <w:start w:val="1"/>
    </w:lvl>
    <w:lvl w:ilvl="1">
      <w:lvlJc w:val="left"/>
      <w:lvlText w:val="%2."/>
      <w:numFmt w:val="decimal"/>
      <w:start w:val="5"/>
    </w:lvl>
  </w:abstractNum>
  <w:abstractNum w:abstractNumId="5">
    <w:nsid w:val="140E0F76"/>
    <w:multiLevelType w:val="hybridMultilevel"/>
    <w:lvl w:ilvl="0">
      <w:lvlJc w:val="left"/>
      <w:lvlText w:val="%1."/>
      <w:numFmt w:val="decimal"/>
      <w:start w:val="9"/>
    </w:lvl>
    <w:lvl w:ilvl="1">
      <w:lvlJc w:val="left"/>
      <w:lvlText w:val="%2"/>
      <w:numFmt w:val="decimal"/>
      <w:start w:val="1"/>
    </w:lvl>
  </w:abstractNum>
  <w:abstractNum w:abstractNumId="6">
    <w:nsid w:val="3352255A"/>
    <w:multiLevelType w:val="hybridMultilevel"/>
    <w:lvl w:ilvl="0">
      <w:lvlJc w:val="left"/>
      <w:lvlText w:val="%1."/>
      <w:numFmt w:val="decimal"/>
      <w:start w:val="1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2"/>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3"/>
    </w:lvl>
  </w:abstractNum>
  <w:abstractNum w:abstractNumId="11">
    <w:nsid w:val="41A7C4C9"/>
    <w:multiLevelType w:val="hybridMultilevel"/>
    <w:lvl w:ilvl="0">
      <w:lvlJc w:val="left"/>
      <w:lvlText w:val="(%1)"/>
      <w:numFmt w:val="lowerLetter"/>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7"/>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3"/>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2023-02-10T14:27:39Z</dcterms:created>
  <dcterms:modified xsi:type="dcterms:W3CDTF">2023-02-10T14:27:39Z</dcterms:modified>
</cp:coreProperties>
</file>