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04659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659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471805</wp:posOffset>
            </wp:positionV>
            <wp:extent cx="70465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17145"/>
                    </a:xfrm>
                    <a:prstGeom prst="rect">
                      <a:avLst/>
                    </a:prstGeom>
                    <a:noFill/>
                  </pic:spPr>
                </pic:pic>
              </a:graphicData>
            </a:graphic>
          </wp:anchor>
        </w:drawing>
        <w:t>UNITED STATES</w:t>
      </w:r>
    </w:p>
    <w:p>
      <w:pPr>
        <w:spacing w:after="0" w:line="26" w:lineRule="exact"/>
        <w:rPr>
          <w:sz w:val="24"/>
          <w:szCs w:val="24"/>
          <w:color w:val="auto"/>
        </w:rPr>
      </w:pPr>
    </w:p>
    <w:p>
      <w:pPr>
        <w:jc w:val="center"/>
        <w:ind w:right="-47"/>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47"/>
        <w:spacing w:after="0"/>
        <w:rPr>
          <w:sz w:val="20"/>
          <w:szCs w:val="20"/>
          <w:color w:val="auto"/>
        </w:rPr>
      </w:pPr>
      <w:r>
        <w:rPr>
          <w:rFonts w:ascii="Arial" w:cs="Arial" w:eastAsia="Arial" w:hAnsi="Arial"/>
          <w:sz w:val="11"/>
          <w:szCs w:val="11"/>
          <w:b w:val="1"/>
          <w:bCs w:val="1"/>
          <w:color w:val="auto"/>
        </w:rPr>
        <w:t>Washington, D.C. 20549</w:t>
      </w:r>
    </w:p>
    <w:p>
      <w:pPr>
        <w:spacing w:after="0" w:line="231" w:lineRule="exact"/>
        <w:rPr>
          <w:sz w:val="24"/>
          <w:szCs w:val="24"/>
          <w:color w:val="auto"/>
        </w:rPr>
      </w:pPr>
    </w:p>
    <w:p>
      <w:pPr>
        <w:ind w:left="4368"/>
        <w:spacing w:after="0"/>
        <w:rPr>
          <w:sz w:val="20"/>
          <w:szCs w:val="20"/>
          <w:color w:val="auto"/>
        </w:rPr>
      </w:pPr>
      <w:r>
        <w:rPr>
          <w:rFonts w:ascii="Arial" w:cs="Arial" w:eastAsia="Arial" w:hAnsi="Arial"/>
          <w:sz w:val="7"/>
          <w:szCs w:val="7"/>
          <w:b w:val="1"/>
          <w:bCs w:val="1"/>
          <w:color w:val="auto"/>
        </w:rPr>
        <w:t>_______________________________________________________________________</w:t>
      </w:r>
    </w:p>
    <w:p>
      <w:pPr>
        <w:spacing w:after="0" w:line="49" w:lineRule="exact"/>
        <w:rPr>
          <w:sz w:val="24"/>
          <w:szCs w:val="24"/>
          <w:color w:val="auto"/>
        </w:rPr>
      </w:pPr>
    </w:p>
    <w:p>
      <w:pPr>
        <w:jc w:val="center"/>
        <w:ind w:right="-47"/>
        <w:spacing w:after="0"/>
        <w:rPr>
          <w:sz w:val="20"/>
          <w:szCs w:val="20"/>
          <w:color w:val="auto"/>
        </w:rPr>
      </w:pPr>
      <w:r>
        <w:rPr>
          <w:rFonts w:ascii="Arial" w:cs="Arial" w:eastAsia="Arial" w:hAnsi="Arial"/>
          <w:sz w:val="20"/>
          <w:szCs w:val="20"/>
          <w:b w:val="1"/>
          <w:bCs w:val="1"/>
          <w:color w:val="auto"/>
        </w:rPr>
        <w:t>FORM 8-K</w:t>
      </w:r>
    </w:p>
    <w:p>
      <w:pPr>
        <w:spacing w:after="0" w:line="73" w:lineRule="exact"/>
        <w:rPr>
          <w:sz w:val="24"/>
          <w:szCs w:val="24"/>
          <w:color w:val="auto"/>
        </w:rPr>
      </w:pPr>
    </w:p>
    <w:p>
      <w:pPr>
        <w:ind w:left="4368"/>
        <w:spacing w:after="0"/>
        <w:rPr>
          <w:sz w:val="20"/>
          <w:szCs w:val="20"/>
          <w:color w:val="auto"/>
        </w:rPr>
      </w:pPr>
      <w:r>
        <w:rPr>
          <w:rFonts w:ascii="Arial" w:cs="Arial" w:eastAsia="Arial" w:hAnsi="Arial"/>
          <w:sz w:val="7"/>
          <w:szCs w:val="7"/>
          <w:b w:val="1"/>
          <w:bCs w:val="1"/>
          <w:color w:val="auto"/>
        </w:rPr>
        <w:t>_______________________________________________________________________</w:t>
      </w:r>
    </w:p>
    <w:p>
      <w:pPr>
        <w:spacing w:after="0" w:line="220" w:lineRule="exact"/>
        <w:rPr>
          <w:sz w:val="24"/>
          <w:szCs w:val="24"/>
          <w:color w:val="auto"/>
        </w:rPr>
      </w:pPr>
    </w:p>
    <w:p>
      <w:pPr>
        <w:jc w:val="center"/>
        <w:ind w:right="-47"/>
        <w:spacing w:after="0"/>
        <w:rPr>
          <w:sz w:val="20"/>
          <w:szCs w:val="20"/>
          <w:color w:val="auto"/>
        </w:rPr>
      </w:pPr>
      <w:r>
        <w:rPr>
          <w:rFonts w:ascii="Arial" w:cs="Arial" w:eastAsia="Arial" w:hAnsi="Arial"/>
          <w:sz w:val="13"/>
          <w:szCs w:val="13"/>
          <w:b w:val="1"/>
          <w:bCs w:val="1"/>
          <w:color w:val="auto"/>
        </w:rPr>
        <w:t>CURRENT REPORT</w:t>
      </w:r>
    </w:p>
    <w:p>
      <w:pPr>
        <w:spacing w:after="0" w:line="63" w:lineRule="exact"/>
        <w:rPr>
          <w:sz w:val="24"/>
          <w:szCs w:val="24"/>
          <w:color w:val="auto"/>
        </w:rPr>
      </w:pPr>
    </w:p>
    <w:p>
      <w:pPr>
        <w:jc w:val="center"/>
        <w:ind w:right="-47"/>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54" w:lineRule="exact"/>
        <w:rPr>
          <w:sz w:val="24"/>
          <w:szCs w:val="24"/>
          <w:color w:val="auto"/>
        </w:rPr>
      </w:pPr>
    </w:p>
    <w:p>
      <w:pPr>
        <w:jc w:val="center"/>
        <w:ind w:right="-47"/>
        <w:spacing w:after="0"/>
        <w:rPr>
          <w:sz w:val="20"/>
          <w:szCs w:val="20"/>
          <w:color w:val="auto"/>
        </w:rPr>
      </w:pPr>
      <w:r>
        <w:rPr>
          <w:rFonts w:ascii="Arial" w:cs="Arial" w:eastAsia="Arial" w:hAnsi="Arial"/>
          <w:sz w:val="11"/>
          <w:szCs w:val="11"/>
          <w:b w:val="1"/>
          <w:bCs w:val="1"/>
          <w:color w:val="auto"/>
        </w:rPr>
        <w:t>Date of Report (Date of Earliest Event reported):</w:t>
      </w:r>
    </w:p>
    <w:p>
      <w:pPr>
        <w:spacing w:after="0" w:line="63" w:lineRule="exact"/>
        <w:rPr>
          <w:sz w:val="24"/>
          <w:szCs w:val="24"/>
          <w:color w:val="auto"/>
        </w:rPr>
      </w:pPr>
    </w:p>
    <w:p>
      <w:pPr>
        <w:jc w:val="center"/>
        <w:ind w:right="-47"/>
        <w:spacing w:after="0"/>
        <w:rPr>
          <w:sz w:val="20"/>
          <w:szCs w:val="20"/>
          <w:color w:val="auto"/>
        </w:rPr>
      </w:pPr>
      <w:r>
        <w:rPr>
          <w:rFonts w:ascii="Arial" w:cs="Arial" w:eastAsia="Arial" w:hAnsi="Arial"/>
          <w:sz w:val="11"/>
          <w:szCs w:val="11"/>
          <w:b w:val="1"/>
          <w:bCs w:val="1"/>
          <w:color w:val="auto"/>
        </w:rPr>
        <w:t>November 9, 2023</w:t>
      </w:r>
    </w:p>
    <w:p>
      <w:pPr>
        <w:spacing w:after="0" w:line="63" w:lineRule="exact"/>
        <w:rPr>
          <w:sz w:val="24"/>
          <w:szCs w:val="24"/>
          <w:color w:val="auto"/>
        </w:rPr>
      </w:pPr>
    </w:p>
    <w:p>
      <w:pPr>
        <w:ind w:left="4368"/>
        <w:spacing w:after="0"/>
        <w:rPr>
          <w:sz w:val="20"/>
          <w:szCs w:val="20"/>
          <w:color w:val="auto"/>
        </w:rPr>
      </w:pPr>
      <w:r>
        <w:rPr>
          <w:rFonts w:ascii="Arial" w:cs="Arial" w:eastAsia="Arial" w:hAnsi="Arial"/>
          <w:sz w:val="7"/>
          <w:szCs w:val="7"/>
          <w:b w:val="1"/>
          <w:bCs w:val="1"/>
          <w:color w:val="auto"/>
        </w:rPr>
        <w:t>_______________________________________________________________________</w:t>
      </w:r>
    </w:p>
    <w:p>
      <w:pPr>
        <w:spacing w:after="0" w:line="51" w:lineRule="exact"/>
        <w:rPr>
          <w:sz w:val="24"/>
          <w:szCs w:val="24"/>
          <w:color w:val="auto"/>
        </w:rPr>
      </w:pPr>
    </w:p>
    <w:p>
      <w:pPr>
        <w:jc w:val="center"/>
        <w:ind w:right="-47"/>
        <w:spacing w:after="0"/>
        <w:rPr>
          <w:sz w:val="20"/>
          <w:szCs w:val="20"/>
          <w:color w:val="auto"/>
        </w:rPr>
      </w:pPr>
      <w:r>
        <w:rPr>
          <w:rFonts w:ascii="Arial" w:cs="Arial" w:eastAsia="Arial" w:hAnsi="Arial"/>
          <w:sz w:val="19"/>
          <w:szCs w:val="19"/>
          <w:b w:val="1"/>
          <w:bCs w:val="1"/>
          <w:color w:val="auto"/>
        </w:rPr>
        <w:t>National Vision Holdings, Inc.</w:t>
      </w:r>
    </w:p>
    <w:p>
      <w:pPr>
        <w:spacing w:after="0" w:line="30" w:lineRule="exact"/>
        <w:rPr>
          <w:sz w:val="24"/>
          <w:szCs w:val="24"/>
          <w:color w:val="auto"/>
        </w:rPr>
      </w:pPr>
    </w:p>
    <w:p>
      <w:pPr>
        <w:jc w:val="center"/>
        <w:ind w:right="-47"/>
        <w:spacing w:after="0"/>
        <w:rPr>
          <w:sz w:val="20"/>
          <w:szCs w:val="20"/>
          <w:color w:val="auto"/>
        </w:rPr>
      </w:pPr>
      <w:r>
        <w:rPr>
          <w:rFonts w:ascii="Arial" w:cs="Arial" w:eastAsia="Arial" w:hAnsi="Arial"/>
          <w:sz w:val="12"/>
          <w:szCs w:val="12"/>
          <w:color w:val="auto"/>
        </w:rPr>
        <w:t>(Exact name of registrant as specified in its charter)</w:t>
      </w:r>
    </w:p>
    <w:p>
      <w:pPr>
        <w:spacing w:after="0" w:line="59" w:lineRule="exact"/>
        <w:rPr>
          <w:sz w:val="24"/>
          <w:szCs w:val="24"/>
          <w:color w:val="auto"/>
        </w:rPr>
      </w:pPr>
    </w:p>
    <w:p>
      <w:pPr>
        <w:ind w:left="4368"/>
        <w:spacing w:after="0"/>
        <w:rPr>
          <w:sz w:val="20"/>
          <w:szCs w:val="20"/>
          <w:color w:val="auto"/>
        </w:rPr>
      </w:pPr>
      <w:r>
        <w:rPr>
          <w:rFonts w:ascii="Arial" w:cs="Arial" w:eastAsia="Arial" w:hAnsi="Arial"/>
          <w:sz w:val="7"/>
          <w:szCs w:val="7"/>
          <w:b w:val="1"/>
          <w:bCs w:val="1"/>
          <w:color w:val="auto"/>
        </w:rPr>
        <w:t>_______________________________________________________________________</w:t>
      </w:r>
    </w:p>
    <w:p>
      <w:pPr>
        <w:spacing w:after="0" w:line="216" w:lineRule="exact"/>
        <w:rPr>
          <w:sz w:val="24"/>
          <w:szCs w:val="24"/>
          <w:color w:val="auto"/>
        </w:rPr>
      </w:pPr>
    </w:p>
    <w:tbl>
      <w:tblPr>
        <w:tblLayout w:type="fixed"/>
        <w:tblInd w:w="3168" w:type="dxa"/>
        <w:tblCellMar>
          <w:top w:w="0" w:type="dxa"/>
          <w:left w:w="0" w:type="dxa"/>
          <w:bottom w:w="0" w:type="dxa"/>
          <w:right w:w="0" w:type="dxa"/>
        </w:tblCellMar>
      </w:tblPr>
      <w:tr>
        <w:trPr>
          <w:trHeight w:val="140"/>
        </w:trPr>
        <w:tc>
          <w:tcPr>
            <w:tcW w:w="3660" w:type="dxa"/>
            <w:vAlign w:val="bottom"/>
          </w:tcPr>
          <w:p>
            <w:pPr>
              <w:jc w:val="center"/>
              <w:ind w:left="1246"/>
              <w:spacing w:after="0"/>
              <w:rPr>
                <w:sz w:val="20"/>
                <w:szCs w:val="20"/>
                <w:color w:val="auto"/>
              </w:rPr>
            </w:pPr>
            <w:r>
              <w:rPr>
                <w:rFonts w:ascii="Arial" w:cs="Arial" w:eastAsia="Arial" w:hAnsi="Arial"/>
                <w:sz w:val="11"/>
                <w:szCs w:val="11"/>
                <w:b w:val="1"/>
                <w:bCs w:val="1"/>
                <w:color w:val="auto"/>
                <w:w w:val="89"/>
              </w:rPr>
              <w:t>Commission file number 001-38257</w:t>
            </w:r>
          </w:p>
        </w:tc>
        <w:tc>
          <w:tcPr>
            <w:tcW w:w="860" w:type="dxa"/>
            <w:vAlign w:val="bottom"/>
          </w:tcPr>
          <w:p>
            <w:pPr>
              <w:spacing w:after="0"/>
              <w:rPr>
                <w:sz w:val="12"/>
                <w:szCs w:val="12"/>
                <w:color w:val="auto"/>
              </w:rPr>
            </w:pPr>
          </w:p>
        </w:tc>
      </w:tr>
      <w:tr>
        <w:trPr>
          <w:trHeight w:val="216"/>
        </w:trPr>
        <w:tc>
          <w:tcPr>
            <w:tcW w:w="3660" w:type="dxa"/>
            <w:vAlign w:val="bottom"/>
          </w:tcPr>
          <w:p>
            <w:pPr>
              <w:jc w:val="center"/>
              <w:ind w:right="1906"/>
              <w:spacing w:after="0"/>
              <w:rPr>
                <w:sz w:val="20"/>
                <w:szCs w:val="20"/>
                <w:color w:val="auto"/>
              </w:rPr>
            </w:pPr>
            <w:r>
              <w:rPr>
                <w:rFonts w:ascii="Arial" w:cs="Arial" w:eastAsia="Arial" w:hAnsi="Arial"/>
                <w:sz w:val="11"/>
                <w:szCs w:val="11"/>
                <w:b w:val="1"/>
                <w:bCs w:val="1"/>
                <w:color w:val="auto"/>
                <w:w w:val="86"/>
              </w:rPr>
              <w:t>Delaware</w:t>
            </w:r>
          </w:p>
        </w:tc>
        <w:tc>
          <w:tcPr>
            <w:tcW w:w="860" w:type="dxa"/>
            <w:vAlign w:val="bottom"/>
          </w:tcPr>
          <w:p>
            <w:pPr>
              <w:jc w:val="right"/>
              <w:ind w:right="106"/>
              <w:spacing w:after="0"/>
              <w:rPr>
                <w:sz w:val="20"/>
                <w:szCs w:val="20"/>
                <w:color w:val="auto"/>
              </w:rPr>
            </w:pPr>
            <w:r>
              <w:rPr>
                <w:rFonts w:ascii="Arial" w:cs="Arial" w:eastAsia="Arial" w:hAnsi="Arial"/>
                <w:sz w:val="11"/>
                <w:szCs w:val="11"/>
                <w:b w:val="1"/>
                <w:bCs w:val="1"/>
                <w:color w:val="auto"/>
              </w:rPr>
              <w:t>46-4841717</w:t>
            </w:r>
          </w:p>
        </w:tc>
      </w:tr>
      <w:tr>
        <w:trPr>
          <w:trHeight w:val="143"/>
        </w:trPr>
        <w:tc>
          <w:tcPr>
            <w:tcW w:w="3660" w:type="dxa"/>
            <w:vAlign w:val="bottom"/>
          </w:tcPr>
          <w:p>
            <w:pPr>
              <w:jc w:val="center"/>
              <w:ind w:right="1906"/>
              <w:spacing w:after="0"/>
              <w:rPr>
                <w:sz w:val="20"/>
                <w:szCs w:val="20"/>
                <w:color w:val="auto"/>
              </w:rPr>
            </w:pPr>
            <w:r>
              <w:rPr>
                <w:rFonts w:ascii="Arial" w:cs="Arial" w:eastAsia="Arial" w:hAnsi="Arial"/>
                <w:sz w:val="11"/>
                <w:szCs w:val="11"/>
                <w:color w:val="auto"/>
                <w:w w:val="91"/>
              </w:rPr>
              <w:t>(State or other jurisdiction of</w:t>
            </w:r>
          </w:p>
        </w:tc>
        <w:tc>
          <w:tcPr>
            <w:tcW w:w="860" w:type="dxa"/>
            <w:vAlign w:val="bottom"/>
          </w:tcPr>
          <w:p>
            <w:pPr>
              <w:jc w:val="center"/>
              <w:spacing w:after="0"/>
              <w:rPr>
                <w:sz w:val="20"/>
                <w:szCs w:val="20"/>
                <w:color w:val="auto"/>
              </w:rPr>
            </w:pPr>
            <w:r>
              <w:rPr>
                <w:rFonts w:ascii="Arial" w:cs="Arial" w:eastAsia="Arial" w:hAnsi="Arial"/>
                <w:sz w:val="11"/>
                <w:szCs w:val="11"/>
                <w:color w:val="auto"/>
                <w:w w:val="91"/>
              </w:rPr>
              <w:t>(I.R.S. Employer</w:t>
            </w:r>
          </w:p>
        </w:tc>
      </w:tr>
      <w:tr>
        <w:trPr>
          <w:trHeight w:val="136"/>
        </w:trPr>
        <w:tc>
          <w:tcPr>
            <w:tcW w:w="3660" w:type="dxa"/>
            <w:vAlign w:val="bottom"/>
          </w:tcPr>
          <w:p>
            <w:pPr>
              <w:jc w:val="center"/>
              <w:ind w:right="1906"/>
              <w:spacing w:after="0"/>
              <w:rPr>
                <w:sz w:val="20"/>
                <w:szCs w:val="20"/>
                <w:color w:val="auto"/>
              </w:rPr>
            </w:pPr>
            <w:r>
              <w:rPr>
                <w:rFonts w:ascii="Arial" w:cs="Arial" w:eastAsia="Arial" w:hAnsi="Arial"/>
                <w:sz w:val="11"/>
                <w:szCs w:val="11"/>
                <w:color w:val="auto"/>
                <w:w w:val="90"/>
              </w:rPr>
              <w:t>incorporation or organization)</w:t>
            </w:r>
          </w:p>
        </w:tc>
        <w:tc>
          <w:tcPr>
            <w:tcW w:w="860" w:type="dxa"/>
            <w:vAlign w:val="bottom"/>
          </w:tcPr>
          <w:p>
            <w:pPr>
              <w:jc w:val="center"/>
              <w:spacing w:after="0"/>
              <w:rPr>
                <w:sz w:val="20"/>
                <w:szCs w:val="20"/>
                <w:color w:val="auto"/>
              </w:rPr>
            </w:pPr>
            <w:r>
              <w:rPr>
                <w:rFonts w:ascii="Arial" w:cs="Arial" w:eastAsia="Arial" w:hAnsi="Arial"/>
                <w:sz w:val="11"/>
                <w:szCs w:val="11"/>
                <w:color w:val="auto"/>
                <w:w w:val="95"/>
              </w:rPr>
              <w:t>Identification No.)</w:t>
            </w:r>
          </w:p>
        </w:tc>
      </w:tr>
      <w:tr>
        <w:trPr>
          <w:trHeight w:val="180"/>
        </w:trPr>
        <w:tc>
          <w:tcPr>
            <w:tcW w:w="3660" w:type="dxa"/>
            <w:vAlign w:val="bottom"/>
          </w:tcPr>
          <w:p>
            <w:pPr>
              <w:jc w:val="center"/>
              <w:ind w:right="1906"/>
              <w:spacing w:after="0"/>
              <w:rPr>
                <w:sz w:val="20"/>
                <w:szCs w:val="20"/>
                <w:color w:val="auto"/>
              </w:rPr>
            </w:pPr>
            <w:r>
              <w:rPr>
                <w:rFonts w:ascii="Arial" w:cs="Arial" w:eastAsia="Arial" w:hAnsi="Arial"/>
                <w:sz w:val="11"/>
                <w:szCs w:val="11"/>
                <w:b w:val="1"/>
                <w:bCs w:val="1"/>
                <w:color w:val="auto"/>
                <w:w w:val="88"/>
              </w:rPr>
              <w:t>2435 Commerce Ave.</w:t>
            </w:r>
          </w:p>
        </w:tc>
        <w:tc>
          <w:tcPr>
            <w:tcW w:w="860" w:type="dxa"/>
            <w:vAlign w:val="bottom"/>
          </w:tcPr>
          <w:p>
            <w:pPr>
              <w:spacing w:after="0"/>
              <w:rPr>
                <w:sz w:val="15"/>
                <w:szCs w:val="15"/>
                <w:color w:val="auto"/>
              </w:rPr>
            </w:pPr>
          </w:p>
        </w:tc>
      </w:tr>
      <w:tr>
        <w:trPr>
          <w:trHeight w:val="144"/>
        </w:trPr>
        <w:tc>
          <w:tcPr>
            <w:tcW w:w="3660" w:type="dxa"/>
            <w:vAlign w:val="bottom"/>
          </w:tcPr>
          <w:p>
            <w:pPr>
              <w:jc w:val="center"/>
              <w:ind w:right="1886"/>
              <w:spacing w:after="0"/>
              <w:rPr>
                <w:sz w:val="20"/>
                <w:szCs w:val="20"/>
                <w:color w:val="auto"/>
              </w:rPr>
            </w:pPr>
            <w:r>
              <w:rPr>
                <w:rFonts w:ascii="Arial" w:cs="Arial" w:eastAsia="Arial" w:hAnsi="Arial"/>
                <w:sz w:val="11"/>
                <w:szCs w:val="11"/>
                <w:b w:val="1"/>
                <w:bCs w:val="1"/>
                <w:color w:val="auto"/>
                <w:w w:val="89"/>
              </w:rPr>
              <w:t>Building 2200</w:t>
            </w:r>
          </w:p>
        </w:tc>
        <w:tc>
          <w:tcPr>
            <w:tcW w:w="860" w:type="dxa"/>
            <w:vAlign w:val="bottom"/>
          </w:tcPr>
          <w:p>
            <w:pPr>
              <w:jc w:val="right"/>
              <w:ind w:right="226"/>
              <w:spacing w:after="0"/>
              <w:rPr>
                <w:sz w:val="20"/>
                <w:szCs w:val="20"/>
                <w:color w:val="auto"/>
              </w:rPr>
            </w:pPr>
            <w:r>
              <w:rPr>
                <w:rFonts w:ascii="Arial" w:cs="Arial" w:eastAsia="Arial" w:hAnsi="Arial"/>
                <w:sz w:val="11"/>
                <w:szCs w:val="11"/>
                <w:b w:val="1"/>
                <w:bCs w:val="1"/>
                <w:color w:val="auto"/>
              </w:rPr>
              <w:t>30096</w:t>
            </w:r>
          </w:p>
        </w:tc>
      </w:tr>
      <w:tr>
        <w:trPr>
          <w:trHeight w:val="144"/>
        </w:trPr>
        <w:tc>
          <w:tcPr>
            <w:tcW w:w="3660" w:type="dxa"/>
            <w:vAlign w:val="bottom"/>
          </w:tcPr>
          <w:p>
            <w:pPr>
              <w:jc w:val="center"/>
              <w:ind w:right="1906"/>
              <w:spacing w:after="0"/>
              <w:rPr>
                <w:sz w:val="20"/>
                <w:szCs w:val="20"/>
                <w:color w:val="auto"/>
              </w:rPr>
            </w:pPr>
            <w:r>
              <w:rPr>
                <w:rFonts w:ascii="Arial" w:cs="Arial" w:eastAsia="Arial" w:hAnsi="Arial"/>
                <w:sz w:val="11"/>
                <w:szCs w:val="11"/>
                <w:b w:val="1"/>
                <w:bCs w:val="1"/>
                <w:color w:val="auto"/>
                <w:w w:val="89"/>
              </w:rPr>
              <w:t>Duluth, Georgia</w:t>
            </w:r>
          </w:p>
        </w:tc>
        <w:tc>
          <w:tcPr>
            <w:tcW w:w="860" w:type="dxa"/>
            <w:vAlign w:val="bottom"/>
          </w:tcPr>
          <w:p>
            <w:pPr>
              <w:jc w:val="center"/>
              <w:spacing w:after="0"/>
              <w:rPr>
                <w:sz w:val="20"/>
                <w:szCs w:val="20"/>
                <w:color w:val="auto"/>
              </w:rPr>
            </w:pPr>
            <w:r>
              <w:rPr>
                <w:rFonts w:ascii="Arial" w:cs="Arial" w:eastAsia="Arial" w:hAnsi="Arial"/>
                <w:sz w:val="11"/>
                <w:szCs w:val="11"/>
                <w:color w:val="auto"/>
                <w:w w:val="88"/>
              </w:rPr>
              <w:t>(Zip Code)</w:t>
            </w:r>
          </w:p>
        </w:tc>
      </w:tr>
      <w:tr>
        <w:trPr>
          <w:trHeight w:val="144"/>
        </w:trPr>
        <w:tc>
          <w:tcPr>
            <w:tcW w:w="3660" w:type="dxa"/>
            <w:vAlign w:val="bottom"/>
          </w:tcPr>
          <w:p>
            <w:pPr>
              <w:jc w:val="center"/>
              <w:ind w:right="1906"/>
              <w:spacing w:after="0"/>
              <w:rPr>
                <w:sz w:val="20"/>
                <w:szCs w:val="20"/>
                <w:color w:val="auto"/>
              </w:rPr>
            </w:pPr>
            <w:r>
              <w:rPr>
                <w:rFonts w:ascii="Arial" w:cs="Arial" w:eastAsia="Arial" w:hAnsi="Arial"/>
                <w:sz w:val="11"/>
                <w:szCs w:val="11"/>
                <w:color w:val="auto"/>
                <w:w w:val="90"/>
              </w:rPr>
              <w:t>(Address of principal executive offices)</w:t>
            </w:r>
          </w:p>
        </w:tc>
        <w:tc>
          <w:tcPr>
            <w:tcW w:w="860" w:type="dxa"/>
            <w:vAlign w:val="bottom"/>
          </w:tcPr>
          <w:p>
            <w:pPr>
              <w:spacing w:after="0"/>
              <w:rPr>
                <w:sz w:val="12"/>
                <w:szCs w:val="12"/>
                <w:color w:val="auto"/>
              </w:rPr>
            </w:pPr>
          </w:p>
        </w:tc>
      </w:tr>
      <w:tr>
        <w:trPr>
          <w:trHeight w:val="188"/>
        </w:trPr>
        <w:tc>
          <w:tcPr>
            <w:tcW w:w="3660" w:type="dxa"/>
            <w:vAlign w:val="bottom"/>
          </w:tcPr>
          <w:p>
            <w:pPr>
              <w:jc w:val="center"/>
              <w:ind w:left="1246"/>
              <w:spacing w:after="0" w:line="127" w:lineRule="exact"/>
              <w:rPr>
                <w:sz w:val="20"/>
                <w:szCs w:val="20"/>
                <w:color w:val="auto"/>
              </w:rPr>
            </w:pPr>
            <w:r>
              <w:rPr>
                <w:rFonts w:ascii="Arial" w:cs="Arial" w:eastAsia="Arial" w:hAnsi="Arial"/>
                <w:sz w:val="11"/>
                <w:szCs w:val="11"/>
                <w:b w:val="1"/>
                <w:bCs w:val="1"/>
                <w:color w:val="auto"/>
                <w:w w:val="90"/>
              </w:rPr>
              <w:t>(770) 822</w:t>
            </w:r>
            <w:r>
              <w:rPr>
                <w:rFonts w:ascii="MS PGothic" w:cs="MS PGothic" w:eastAsia="MS PGothic" w:hAnsi="MS PGothic"/>
                <w:sz w:val="11"/>
                <w:szCs w:val="11"/>
                <w:b w:val="1"/>
                <w:bCs w:val="1"/>
                <w:color w:val="auto"/>
                <w:w w:val="90"/>
              </w:rPr>
              <w:t>‑</w:t>
            </w:r>
            <w:r>
              <w:rPr>
                <w:rFonts w:ascii="Arial" w:cs="Arial" w:eastAsia="Arial" w:hAnsi="Arial"/>
                <w:sz w:val="11"/>
                <w:szCs w:val="11"/>
                <w:b w:val="1"/>
                <w:bCs w:val="1"/>
                <w:color w:val="auto"/>
                <w:w w:val="90"/>
              </w:rPr>
              <w:t>3600</w:t>
            </w:r>
          </w:p>
        </w:tc>
        <w:tc>
          <w:tcPr>
            <w:tcW w:w="860" w:type="dxa"/>
            <w:vAlign w:val="bottom"/>
          </w:tcPr>
          <w:p>
            <w:pPr>
              <w:spacing w:after="0"/>
              <w:rPr>
                <w:sz w:val="16"/>
                <w:szCs w:val="16"/>
                <w:color w:val="auto"/>
              </w:rPr>
            </w:pPr>
          </w:p>
        </w:tc>
      </w:tr>
      <w:tr>
        <w:trPr>
          <w:trHeight w:val="136"/>
        </w:trPr>
        <w:tc>
          <w:tcPr>
            <w:tcW w:w="3660" w:type="dxa"/>
            <w:vAlign w:val="bottom"/>
          </w:tcPr>
          <w:p>
            <w:pPr>
              <w:jc w:val="center"/>
              <w:ind w:left="1246"/>
              <w:spacing w:after="0"/>
              <w:rPr>
                <w:sz w:val="20"/>
                <w:szCs w:val="20"/>
                <w:color w:val="auto"/>
              </w:rPr>
            </w:pPr>
            <w:r>
              <w:rPr>
                <w:rFonts w:ascii="Arial" w:cs="Arial" w:eastAsia="Arial" w:hAnsi="Arial"/>
                <w:sz w:val="11"/>
                <w:szCs w:val="11"/>
                <w:color w:val="auto"/>
                <w:w w:val="88"/>
              </w:rPr>
              <w:t>(Registrant’s telephone number, including area code)</w:t>
            </w:r>
          </w:p>
        </w:tc>
        <w:tc>
          <w:tcPr>
            <w:tcW w:w="860" w:type="dxa"/>
            <w:vAlign w:val="bottom"/>
          </w:tcPr>
          <w:p>
            <w:pPr>
              <w:spacing w:after="0"/>
              <w:rPr>
                <w:sz w:val="11"/>
                <w:szCs w:val="11"/>
                <w:color w:val="auto"/>
              </w:rPr>
            </w:pPr>
          </w:p>
        </w:tc>
      </w:tr>
    </w:tbl>
    <w:p>
      <w:pPr>
        <w:spacing w:after="0" w:line="67" w:lineRule="exact"/>
        <w:rPr>
          <w:sz w:val="24"/>
          <w:szCs w:val="24"/>
          <w:color w:val="auto"/>
        </w:rPr>
      </w:pPr>
    </w:p>
    <w:p>
      <w:pPr>
        <w:ind w:left="4368"/>
        <w:spacing w:after="0"/>
        <w:rPr>
          <w:sz w:val="20"/>
          <w:szCs w:val="20"/>
          <w:color w:val="auto"/>
        </w:rPr>
      </w:pPr>
      <w:r>
        <w:rPr>
          <w:rFonts w:ascii="Arial" w:cs="Arial" w:eastAsia="Arial" w:hAnsi="Arial"/>
          <w:sz w:val="7"/>
          <w:szCs w:val="7"/>
          <w:b w:val="1"/>
          <w:bCs w:val="1"/>
          <w:color w:val="auto"/>
        </w:rPr>
        <w:t>_______________________________________________________________________</w:t>
      </w:r>
    </w:p>
    <w:p>
      <w:pPr>
        <w:spacing w:after="0" w:line="73"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Arial" w:cs="Arial" w:eastAsia="Arial" w:hAnsi="Arial"/>
          <w:sz w:val="12"/>
          <w:szCs w:val="12"/>
          <w:color w:val="auto"/>
        </w:rPr>
        <w:t>Soliciting material pursuant to Rule 14a-12 under the Exchange Act (17 CFR 240.14a-12)</w:t>
      </w:r>
    </w:p>
    <w:p>
      <w:pPr>
        <w:spacing w:after="0" w:line="42" w:lineRule="exact"/>
        <w:rPr>
          <w:rFonts w:ascii="MS PGothic" w:cs="MS PGothic" w:eastAsia="MS PGothic" w:hAnsi="MS PGothic"/>
          <w:sz w:val="11"/>
          <w:szCs w:val="11"/>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Arial" w:cs="Arial" w:eastAsia="Arial" w:hAnsi="Arial"/>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1"/>
          <w:szCs w:val="11"/>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2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tcPr>
          <w:p>
            <w:pPr>
              <w:spacing w:after="0"/>
              <w:rPr>
                <w:sz w:val="13"/>
                <w:szCs w:val="13"/>
                <w:color w:val="auto"/>
              </w:rPr>
            </w:pPr>
          </w:p>
        </w:tc>
      </w:tr>
      <w:tr>
        <w:trPr>
          <w:trHeight w:val="24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80" w:type="dxa"/>
            <w:vAlign w:val="bottom"/>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80" w:type="dxa"/>
            <w:vAlign w:val="bottom"/>
          </w:tcPr>
          <w:p>
            <w:pPr>
              <w:spacing w:after="0"/>
              <w:rPr>
                <w:sz w:val="21"/>
                <w:szCs w:val="21"/>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142"/>
        </w:trPr>
        <w:tc>
          <w:tcPr>
            <w:tcW w:w="42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Common stock, par value $0.01 per share</w:t>
            </w:r>
          </w:p>
        </w:tc>
        <w:tc>
          <w:tcPr>
            <w:tcW w:w="282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EYE</w:t>
            </w:r>
          </w:p>
        </w:tc>
        <w:tc>
          <w:tcPr>
            <w:tcW w:w="4180" w:type="dxa"/>
            <w:vAlign w:val="bottom"/>
          </w:tcPr>
          <w:p>
            <w:pPr>
              <w:jc w:val="center"/>
              <w:spacing w:after="0"/>
              <w:rPr>
                <w:sz w:val="20"/>
                <w:szCs w:val="20"/>
                <w:color w:val="auto"/>
              </w:rPr>
            </w:pPr>
            <w:r>
              <w:rPr>
                <w:rFonts w:ascii="Arial" w:cs="Arial" w:eastAsia="Arial" w:hAnsi="Arial"/>
                <w:sz w:val="12"/>
                <w:szCs w:val="12"/>
                <w:color w:val="auto"/>
                <w:w w:val="86"/>
              </w:rPr>
              <w:t>Nasdaq</w:t>
            </w:r>
          </w:p>
        </w:tc>
      </w:tr>
    </w:tbl>
    <w:p>
      <w:pPr>
        <w:spacing w:after="0" w:line="126" w:lineRule="exact"/>
        <w:rPr>
          <w:sz w:val="24"/>
          <w:szCs w:val="24"/>
          <w:color w:val="auto"/>
        </w:rPr>
      </w:pPr>
    </w:p>
    <w:p>
      <w:pPr>
        <w:ind w:left="8"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ind w:left="42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8" w:lineRule="exact"/>
        <w:rPr>
          <w:sz w:val="24"/>
          <w:szCs w:val="24"/>
          <w:color w:val="auto"/>
        </w:rPr>
      </w:pPr>
    </w:p>
    <w:p>
      <w:pPr>
        <w:ind w:left="128"/>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w:t>
      </w:r>
    </w:p>
    <w:p>
      <w:pPr>
        <w:spacing w:after="0" w:line="35" w:lineRule="exact"/>
        <w:rPr>
          <w:sz w:val="24"/>
          <w:szCs w:val="24"/>
          <w:color w:val="auto"/>
        </w:rPr>
      </w:pPr>
    </w:p>
    <w:p>
      <w:pPr>
        <w:ind w:left="8"/>
        <w:spacing w:after="0" w:line="138" w:lineRule="exact"/>
        <w:tabs>
          <w:tab w:leader="none" w:pos="1408" w:val="left"/>
        </w:tabs>
        <w:rPr>
          <w:sz w:val="20"/>
          <w:szCs w:val="20"/>
          <w:color w:val="auto"/>
        </w:rPr>
      </w:pPr>
      <w:r>
        <w:rPr>
          <w:rFonts w:ascii="Arial" w:cs="Arial" w:eastAsia="Arial" w:hAnsi="Arial"/>
          <w:sz w:val="12"/>
          <w:szCs w:val="12"/>
          <w:color w:val="auto"/>
        </w:rPr>
        <w:t>of the Exchange Act.</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80010</wp:posOffset>
            </wp:positionV>
            <wp:extent cx="70465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70465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15"/>
                    </a:xfrm>
                    <a:prstGeom prst="rect">
                      <a:avLst/>
                    </a:prstGeom>
                    <a:noFill/>
                  </pic:spPr>
                </pic:pic>
              </a:graphicData>
            </a:graphic>
          </wp:anchor>
        </w:drawing>
      </w:r>
    </w:p>
    <w:p>
      <w:pPr>
        <w:sectPr>
          <w:pgSz w:w="11900" w:h="16838" w:orient="portrait"/>
          <w:cols w:equalWidth="0" w:num="1">
            <w:col w:w="11248"/>
          </w:cols>
          <w:pgMar w:left="292" w:top="845" w:right="3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8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November 9, 2023, National Vision Holdings, Inc. (“</w:t>
      </w:r>
      <w:r>
        <w:rPr>
          <w:rFonts w:ascii="Arial" w:cs="Arial" w:eastAsia="Arial" w:hAnsi="Arial"/>
          <w:sz w:val="12"/>
          <w:szCs w:val="12"/>
          <w:u w:val="single" w:color="auto"/>
          <w:color w:val="auto"/>
        </w:rPr>
        <w:t>National Vision</w:t>
      </w:r>
      <w:r>
        <w:rPr>
          <w:rFonts w:ascii="Arial" w:cs="Arial" w:eastAsia="Arial" w:hAnsi="Arial"/>
          <w:sz w:val="12"/>
          <w:szCs w:val="12"/>
          <w:color w:val="auto"/>
        </w:rPr>
        <w:t>” or the “</w:t>
      </w:r>
      <w:r>
        <w:rPr>
          <w:rFonts w:ascii="Arial" w:cs="Arial" w:eastAsia="Arial" w:hAnsi="Arial"/>
          <w:sz w:val="12"/>
          <w:szCs w:val="12"/>
          <w:u w:val="single" w:color="auto"/>
          <w:color w:val="auto"/>
        </w:rPr>
        <w:t>Company</w:t>
      </w:r>
      <w:r>
        <w:rPr>
          <w:rFonts w:ascii="Arial" w:cs="Arial" w:eastAsia="Arial" w:hAnsi="Arial"/>
          <w:sz w:val="12"/>
          <w:szCs w:val="12"/>
          <w:color w:val="auto"/>
        </w:rPr>
        <w:t>”) issued a press release announcing financial results for the quarter ended September 30, 2023. A copy of the release is furnished herewith as Exhibit 99.1 and incorporated by reference herein.</w:t>
      </w:r>
    </w:p>
    <w:p>
      <w:pPr>
        <w:spacing w:after="0" w:line="43"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information in Item 2.02 of this Current Report on Form 8-K, including Exhibit 99.1, is being furnished to the Securities and Exchange Commission (the “</w:t>
      </w:r>
      <w:r>
        <w:rPr>
          <w:rFonts w:ascii="Arial" w:cs="Arial" w:eastAsia="Arial" w:hAnsi="Arial"/>
          <w:sz w:val="11"/>
          <w:szCs w:val="11"/>
          <w:u w:val="single" w:color="auto"/>
          <w:color w:val="auto"/>
        </w:rPr>
        <w:t>SEC</w:t>
      </w:r>
      <w:r>
        <w:rPr>
          <w:rFonts w:ascii="Arial" w:cs="Arial" w:eastAsia="Arial" w:hAnsi="Arial"/>
          <w:sz w:val="11"/>
          <w:szCs w:val="11"/>
          <w:color w:val="auto"/>
        </w:rPr>
        <w:t>”) pursuant to Item 2.02 of Form 8-K and shall not be deemed to be “filed” for purposes of Section 18 of the Securities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268" w:hanging="268"/>
        <w:spacing w:after="0"/>
        <w:tabs>
          <w:tab w:leader="none" w:pos="268"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Exhibits.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471170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20" w:type="dxa"/>
            <w:vAlign w:val="bottom"/>
          </w:tcPr>
          <w:p>
            <w:pPr>
              <w:ind w:left="2700"/>
              <w:spacing w:after="0"/>
              <w:rPr>
                <w:sz w:val="20"/>
                <w:szCs w:val="20"/>
                <w:color w:val="auto"/>
              </w:rPr>
            </w:pPr>
            <w:r>
              <w:rPr>
                <w:rFonts w:ascii="Arial" w:cs="Arial" w:eastAsia="Arial" w:hAnsi="Arial"/>
                <w:sz w:val="12"/>
                <w:szCs w:val="12"/>
                <w:b w:val="1"/>
                <w:bCs w:val="1"/>
                <w:color w:val="auto"/>
              </w:rPr>
              <w:t>EXHIBIT INDEX</w:t>
            </w:r>
          </w:p>
        </w:tc>
      </w:tr>
      <w:tr>
        <w:trPr>
          <w:trHeight w:val="207"/>
        </w:trPr>
        <w:tc>
          <w:tcPr>
            <w:tcW w:w="20" w:type="dxa"/>
            <w:vAlign w:val="bottom"/>
          </w:tcPr>
          <w:p>
            <w:pPr>
              <w:spacing w:after="0"/>
              <w:rPr>
                <w:sz w:val="18"/>
                <w:szCs w:val="18"/>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2"/>
              </w:rPr>
              <w:t>Exhibit No.</w:t>
            </w:r>
          </w:p>
        </w:tc>
        <w:tc>
          <w:tcPr>
            <w:tcW w:w="134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Description</w:t>
            </w:r>
          </w:p>
        </w:tc>
        <w:tc>
          <w:tcPr>
            <w:tcW w:w="8820" w:type="dxa"/>
            <w:vAlign w:val="bottom"/>
          </w:tcPr>
          <w:p>
            <w:pPr>
              <w:spacing w:after="0"/>
              <w:rPr>
                <w:sz w:val="18"/>
                <w:szCs w:val="18"/>
                <w:color w:val="auto"/>
              </w:rPr>
            </w:pPr>
          </w:p>
        </w:tc>
      </w:tr>
      <w:tr>
        <w:trPr>
          <w:trHeight w:val="133"/>
        </w:trPr>
        <w:tc>
          <w:tcPr>
            <w:tcW w:w="580" w:type="dxa"/>
            <w:vAlign w:val="bottom"/>
            <w:gridSpan w:val="3"/>
          </w:tcPr>
          <w:p>
            <w:pPr>
              <w:ind w:left="20"/>
              <w:spacing w:after="0" w:line="133" w:lineRule="exact"/>
              <w:rPr>
                <w:sz w:val="20"/>
                <w:szCs w:val="20"/>
                <w:color w:val="auto"/>
              </w:rPr>
            </w:pPr>
            <w:r>
              <w:rPr>
                <w:rFonts w:ascii="Arial" w:cs="Arial" w:eastAsia="Arial" w:hAnsi="Arial"/>
                <w:sz w:val="12"/>
                <w:szCs w:val="12"/>
                <w:color w:val="0000FF"/>
              </w:rPr>
              <w:t>99.</w:t>
            </w:r>
            <w:r>
              <w:rPr>
                <w:rFonts w:ascii="Arial" w:cs="Arial" w:eastAsia="Arial" w:hAnsi="Arial"/>
                <w:sz w:val="12"/>
                <w:szCs w:val="12"/>
                <w:u w:val="single" w:color="auto"/>
                <w:color w:val="0000FF"/>
              </w:rPr>
              <w:t>1</w:t>
            </w:r>
          </w:p>
        </w:tc>
        <w:tc>
          <w:tcPr>
            <w:tcW w:w="1340" w:type="dxa"/>
            <w:vAlign w:val="bottom"/>
          </w:tcPr>
          <w:p>
            <w:pPr>
              <w:spacing w:after="0"/>
              <w:rPr>
                <w:sz w:val="11"/>
                <w:szCs w:val="11"/>
                <w:color w:val="auto"/>
              </w:rPr>
            </w:pPr>
          </w:p>
        </w:tc>
        <w:tc>
          <w:tcPr>
            <w:tcW w:w="9380" w:type="dxa"/>
            <w:vAlign w:val="bottom"/>
            <w:gridSpan w:val="2"/>
          </w:tcPr>
          <w:p>
            <w:pPr>
              <w:spacing w:after="0" w:line="133" w:lineRule="exact"/>
              <w:rPr>
                <w:sz w:val="20"/>
                <w:szCs w:val="20"/>
                <w:color w:val="auto"/>
              </w:rPr>
            </w:pPr>
            <w:r>
              <w:rPr>
                <w:rFonts w:ascii="Arial" w:cs="Arial" w:eastAsia="Arial" w:hAnsi="Arial"/>
                <w:sz w:val="12"/>
                <w:szCs w:val="12"/>
                <w:color w:val="auto"/>
              </w:rPr>
              <w:t>National Vision Holdings, Inc. Press Release dated November 9, 2023.</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380" w:type="dxa"/>
            <w:vAlign w:val="bottom"/>
            <w:gridSpan w:val="2"/>
          </w:tcPr>
          <w:p>
            <w:pPr>
              <w:spacing w:after="0" w:line="20" w:lineRule="exact"/>
              <w:rPr>
                <w:sz w:val="1"/>
                <w:szCs w:val="1"/>
                <w:color w:val="auto"/>
              </w:rPr>
            </w:pPr>
          </w:p>
        </w:tc>
      </w:tr>
      <w:tr>
        <w:trPr>
          <w:trHeight w:val="160"/>
        </w:trPr>
        <w:tc>
          <w:tcPr>
            <w:tcW w:w="220" w:type="dxa"/>
            <w:vAlign w:val="bottom"/>
            <w:gridSpan w:val="2"/>
          </w:tcPr>
          <w:p>
            <w:pPr>
              <w:ind w:left="20"/>
              <w:spacing w:after="0"/>
              <w:rPr>
                <w:sz w:val="20"/>
                <w:szCs w:val="20"/>
                <w:color w:val="auto"/>
              </w:rPr>
            </w:pPr>
            <w:r>
              <w:rPr>
                <w:rFonts w:ascii="Arial" w:cs="Arial" w:eastAsia="Arial" w:hAnsi="Arial"/>
                <w:sz w:val="12"/>
                <w:szCs w:val="12"/>
                <w:color w:val="auto"/>
                <w:w w:val="89"/>
              </w:rPr>
              <w:t>104</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tc>
      </w:tr>
      <w:tr>
        <w:trPr>
          <w:trHeight w:val="801"/>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National Vision Holdings, Inc.</w:t>
            </w:r>
          </w:p>
        </w:tc>
      </w:tr>
      <w:tr>
        <w:trPr>
          <w:trHeight w:val="261"/>
        </w:trPr>
        <w:tc>
          <w:tcPr>
            <w:tcW w:w="2680" w:type="dxa"/>
            <w:vAlign w:val="bottom"/>
          </w:tcPr>
          <w:p>
            <w:pPr>
              <w:spacing w:after="0"/>
              <w:rPr>
                <w:sz w:val="20"/>
                <w:szCs w:val="20"/>
                <w:color w:val="auto"/>
              </w:rPr>
            </w:pPr>
            <w:r>
              <w:rPr>
                <w:rFonts w:ascii="Arial" w:cs="Arial" w:eastAsia="Arial" w:hAnsi="Arial"/>
                <w:sz w:val="12"/>
                <w:szCs w:val="12"/>
                <w:color w:val="auto"/>
              </w:rPr>
              <w:t>Date: November 9, 2023</w:t>
            </w:r>
          </w:p>
        </w:tc>
        <w:tc>
          <w:tcPr>
            <w:tcW w:w="2820" w:type="dxa"/>
            <w:vAlign w:val="bottom"/>
          </w:tcPr>
          <w:p>
            <w:pPr>
              <w:ind w:left="1480"/>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Jared Brandman</w:t>
            </w:r>
          </w:p>
        </w:tc>
      </w:tr>
      <w:tr>
        <w:trPr>
          <w:trHeight w:val="142"/>
        </w:trPr>
        <w:tc>
          <w:tcPr>
            <w:tcW w:w="2680" w:type="dxa"/>
            <w:vAlign w:val="bottom"/>
          </w:tcPr>
          <w:p>
            <w:pPr>
              <w:spacing w:after="0"/>
              <w:rPr>
                <w:sz w:val="12"/>
                <w:szCs w:val="12"/>
                <w:color w:val="auto"/>
              </w:rPr>
            </w:pPr>
          </w:p>
        </w:tc>
        <w:tc>
          <w:tcPr>
            <w:tcW w:w="2820" w:type="dxa"/>
            <w:vAlign w:val="bottom"/>
          </w:tcPr>
          <w:p>
            <w:pPr>
              <w:ind w:left="1480"/>
              <w:spacing w:after="0"/>
              <w:rPr>
                <w:sz w:val="20"/>
                <w:szCs w:val="20"/>
                <w:color w:val="auto"/>
              </w:rPr>
            </w:pPr>
            <w:r>
              <w:rPr>
                <w:rFonts w:ascii="Arial" w:cs="Arial" w:eastAsia="Arial" w:hAnsi="Arial"/>
                <w:sz w:val="12"/>
                <w:szCs w:val="12"/>
                <w:color w:val="auto"/>
              </w:rPr>
              <w:t>Name:</w:t>
            </w:r>
          </w:p>
        </w:tc>
        <w:tc>
          <w:tcPr>
            <w:tcW w:w="5200" w:type="dxa"/>
            <w:vAlign w:val="bottom"/>
          </w:tcPr>
          <w:p>
            <w:pPr>
              <w:spacing w:after="0"/>
              <w:rPr>
                <w:sz w:val="20"/>
                <w:szCs w:val="20"/>
                <w:color w:val="auto"/>
              </w:rPr>
            </w:pPr>
            <w:r>
              <w:rPr>
                <w:rFonts w:ascii="Arial" w:cs="Arial" w:eastAsia="Arial" w:hAnsi="Arial"/>
                <w:sz w:val="12"/>
                <w:szCs w:val="12"/>
                <w:color w:val="auto"/>
              </w:rPr>
              <w:t>Jared Brandman</w:t>
            </w:r>
          </w:p>
        </w:tc>
      </w:tr>
      <w:tr>
        <w:trPr>
          <w:trHeight w:val="153"/>
        </w:trPr>
        <w:tc>
          <w:tcPr>
            <w:tcW w:w="2680" w:type="dxa"/>
            <w:vAlign w:val="bottom"/>
          </w:tcPr>
          <w:p>
            <w:pPr>
              <w:spacing w:after="0"/>
              <w:rPr>
                <w:sz w:val="13"/>
                <w:szCs w:val="13"/>
                <w:color w:val="auto"/>
              </w:rPr>
            </w:pPr>
          </w:p>
        </w:tc>
        <w:tc>
          <w:tcPr>
            <w:tcW w:w="2820" w:type="dxa"/>
            <w:vAlign w:val="bottom"/>
          </w:tcPr>
          <w:p>
            <w:pPr>
              <w:ind w:left="1480"/>
              <w:spacing w:after="0"/>
              <w:rPr>
                <w:sz w:val="20"/>
                <w:szCs w:val="20"/>
                <w:color w:val="auto"/>
              </w:rPr>
            </w:pPr>
            <w:r>
              <w:rPr>
                <w:rFonts w:ascii="Arial" w:cs="Arial" w:eastAsia="Arial" w:hAnsi="Arial"/>
                <w:sz w:val="12"/>
                <w:szCs w:val="12"/>
                <w:color w:val="auto"/>
              </w:rPr>
              <w:t>Title:</w:t>
            </w:r>
          </w:p>
        </w:tc>
        <w:tc>
          <w:tcPr>
            <w:tcW w:w="5200" w:type="dxa"/>
            <w:vAlign w:val="bottom"/>
          </w:tcPr>
          <w:p>
            <w:pPr>
              <w:spacing w:after="0"/>
              <w:rPr>
                <w:sz w:val="20"/>
                <w:szCs w:val="20"/>
                <w:color w:val="auto"/>
              </w:rPr>
            </w:pPr>
            <w:r>
              <w:rPr>
                <w:rFonts w:ascii="Arial" w:cs="Arial" w:eastAsia="Arial" w:hAnsi="Arial"/>
                <w:sz w:val="12"/>
                <w:szCs w:val="12"/>
                <w:color w:val="auto"/>
              </w:rPr>
              <w:t>Senior Vice President, General Counsel and Secretary</w:t>
            </w:r>
          </w:p>
        </w:tc>
      </w:tr>
    </w:tbl>
    <w:p>
      <w:pPr>
        <w:sectPr>
          <w:pgSz w:w="11900" w:h="16838" w:orient="portrait"/>
          <w:cols w:equalWidth="0" w:num="1">
            <w:col w:w="11000"/>
          </w:cols>
          <w:pgMar w:left="300" w:top="640"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37235" cy="571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National Vision Holdings, Inc.</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Reports Third Quarter 2023 Financial Results</w:t>
      </w:r>
    </w:p>
    <w:p>
      <w:pPr>
        <w:spacing w:after="0" w:line="179" w:lineRule="exact"/>
        <w:rPr>
          <w:sz w:val="20"/>
          <w:szCs w:val="20"/>
          <w:color w:val="auto"/>
        </w:rPr>
      </w:pPr>
    </w:p>
    <w:p>
      <w:pPr>
        <w:ind w:left="208" w:hanging="100"/>
        <w:spacing w:after="0"/>
        <w:tabs>
          <w:tab w:leader="none" w:pos="2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Net revenue of $532.4 million, an increase of 6.6% from Q3 2022</w:t>
      </w:r>
    </w:p>
    <w:p>
      <w:pPr>
        <w:spacing w:after="0" w:line="33" w:lineRule="exact"/>
        <w:rPr>
          <w:rFonts w:ascii="Arial" w:cs="Arial" w:eastAsia="Arial" w:hAnsi="Arial"/>
          <w:sz w:val="12"/>
          <w:szCs w:val="12"/>
          <w:i w:val="1"/>
          <w:iCs w:val="1"/>
          <w:color w:val="auto"/>
        </w:rPr>
      </w:pPr>
    </w:p>
    <w:p>
      <w:pPr>
        <w:ind w:left="208" w:hanging="100"/>
        <w:spacing w:after="0"/>
        <w:tabs>
          <w:tab w:leader="none" w:pos="2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Comparable store sales growth of 3.8% and Adjusted Comparable Store Sales Growth of 4.3% from Q3 2022</w:t>
      </w:r>
    </w:p>
    <w:p>
      <w:pPr>
        <w:spacing w:after="0" w:line="33" w:lineRule="exact"/>
        <w:rPr>
          <w:rFonts w:ascii="Arial" w:cs="Arial" w:eastAsia="Arial" w:hAnsi="Arial"/>
          <w:sz w:val="12"/>
          <w:szCs w:val="12"/>
          <w:i w:val="1"/>
          <w:iCs w:val="1"/>
          <w:color w:val="auto"/>
        </w:rPr>
      </w:pPr>
    </w:p>
    <w:p>
      <w:pPr>
        <w:ind w:left="208" w:right="20" w:hanging="100"/>
        <w:spacing w:after="0" w:line="245" w:lineRule="auto"/>
        <w:tabs>
          <w:tab w:leader="none" w:pos="205"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Net loss of $73.8 million and Diluted EPS of $(0.94), inclusive of $79.4 million in non-cash impairment charges related to the termination of the Walmart partnership, compared with Net income of $11.5 million and Diluted EPS of $0.15, respectively, in Q3 2022</w:t>
      </w:r>
    </w:p>
    <w:p>
      <w:pPr>
        <w:spacing w:after="0" w:line="15" w:lineRule="exact"/>
        <w:rPr>
          <w:rFonts w:ascii="Arial" w:cs="Arial" w:eastAsia="Arial" w:hAnsi="Arial"/>
          <w:sz w:val="12"/>
          <w:szCs w:val="12"/>
          <w:i w:val="1"/>
          <w:iCs w:val="1"/>
          <w:color w:val="auto"/>
        </w:rPr>
      </w:pPr>
    </w:p>
    <w:p>
      <w:pPr>
        <w:ind w:left="208" w:hanging="100"/>
        <w:spacing w:after="0"/>
        <w:tabs>
          <w:tab w:leader="none" w:pos="2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Adjusted Operating Income of $15.7 million compared with $21.5 million in Q3 2022</w:t>
      </w:r>
    </w:p>
    <w:p>
      <w:pPr>
        <w:spacing w:after="0" w:line="33" w:lineRule="exact"/>
        <w:rPr>
          <w:rFonts w:ascii="Arial" w:cs="Arial" w:eastAsia="Arial" w:hAnsi="Arial"/>
          <w:sz w:val="12"/>
          <w:szCs w:val="12"/>
          <w:i w:val="1"/>
          <w:iCs w:val="1"/>
          <w:color w:val="auto"/>
        </w:rPr>
      </w:pPr>
    </w:p>
    <w:p>
      <w:pPr>
        <w:ind w:left="208" w:hanging="100"/>
        <w:spacing w:after="0"/>
        <w:tabs>
          <w:tab w:leader="none" w:pos="2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Adjusted Diluted EPS of $0.15 compared with $0.15 in Q3 2022</w:t>
      </w:r>
    </w:p>
    <w:p>
      <w:pPr>
        <w:spacing w:after="0" w:line="24" w:lineRule="exact"/>
        <w:rPr>
          <w:rFonts w:ascii="Arial" w:cs="Arial" w:eastAsia="Arial" w:hAnsi="Arial"/>
          <w:sz w:val="12"/>
          <w:szCs w:val="12"/>
          <w:i w:val="1"/>
          <w:iCs w:val="1"/>
          <w:color w:val="auto"/>
        </w:rPr>
      </w:pPr>
    </w:p>
    <w:p>
      <w:pPr>
        <w:ind w:left="208" w:hanging="100"/>
        <w:spacing w:after="0"/>
        <w:tabs>
          <w:tab w:leader="none" w:pos="2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Announces Cost Savings and Pricing Initiatives</w:t>
      </w:r>
    </w:p>
    <w:p>
      <w:pPr>
        <w:spacing w:after="0" w:line="32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Duluth, Ga. </w:t>
      </w:r>
      <w:r>
        <w:rPr>
          <w:rFonts w:ascii="Arial" w:cs="Arial" w:eastAsia="Arial" w:hAnsi="Arial"/>
          <w:sz w:val="12"/>
          <w:szCs w:val="12"/>
          <w:color w:val="auto"/>
        </w:rPr>
        <w:t>--</w:t>
      </w:r>
      <w:r>
        <w:rPr>
          <w:rFonts w:ascii="Arial" w:cs="Arial" w:eastAsia="Arial" w:hAnsi="Arial"/>
          <w:sz w:val="12"/>
          <w:szCs w:val="12"/>
          <w:b w:val="1"/>
          <w:bCs w:val="1"/>
          <w:color w:val="auto"/>
        </w:rPr>
        <w:t xml:space="preserve"> November 9, 2023 </w:t>
      </w:r>
      <w:r>
        <w:rPr>
          <w:rFonts w:ascii="Arial" w:cs="Arial" w:eastAsia="Arial" w:hAnsi="Arial"/>
          <w:sz w:val="12"/>
          <w:szCs w:val="12"/>
          <w:color w:val="auto"/>
        </w:rPr>
        <w:t>-- National Vision Holdings, Inc. (NASDAQ: EYE) (“National Vision” or the “Company”) today reported its financial results for the third quarter ended September 30, 2023.</w:t>
      </w:r>
    </w:p>
    <w:p>
      <w:pPr>
        <w:spacing w:after="0" w:line="73" w:lineRule="exact"/>
        <w:rPr>
          <w:sz w:val="20"/>
          <w:szCs w:val="20"/>
          <w:color w:val="auto"/>
        </w:rPr>
      </w:pPr>
    </w:p>
    <w:p>
      <w:pPr>
        <w:jc w:val="both"/>
        <w:ind w:left="8" w:right="20"/>
        <w:spacing w:after="0" w:line="260" w:lineRule="auto"/>
        <w:rPr>
          <w:sz w:val="20"/>
          <w:szCs w:val="20"/>
          <w:color w:val="auto"/>
        </w:rPr>
      </w:pPr>
      <w:r>
        <w:rPr>
          <w:rFonts w:ascii="Arial" w:cs="Arial" w:eastAsia="Arial" w:hAnsi="Arial"/>
          <w:sz w:val="12"/>
          <w:szCs w:val="12"/>
          <w:color w:val="auto"/>
        </w:rPr>
        <w:t>Reade Fahs, National Vision's CEO, said, “Our third quarter results reflect ongoing strength in our managed care business as well as continued progress on our strategic initiatives focused on expanding exam capacity, particularly within America’s Best. We delivered a solid Back to School selling season, supported by our focus on delivering incredible value while offering exceptional customer service.”</w:t>
      </w:r>
    </w:p>
    <w:p>
      <w:pPr>
        <w:spacing w:after="0" w:line="133"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Mr. Fahs continued, “I am proud of how our teams have continued to operate with discipline and focus on customer care as we continue to navigate a dynamic macro environment. With the upcoming termination of our Walmart partnership, we have taken actions to mitigate disruption of the business until the transition is completed while identifying opportunities within our cost structure to better align our expense profile with our go-forward operating model. As we look to the balance of this year, we are focused on continuing to execute on our initiatives and remain committed to our mission of making quality eye care and eyewear more affordable and accessible.”</w:t>
      </w:r>
    </w:p>
    <w:p>
      <w:pPr>
        <w:spacing w:after="0" w:line="13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Third Quarter 2023 Summary</w:t>
      </w:r>
    </w:p>
    <w:p>
      <w:pPr>
        <w:spacing w:after="0" w:line="73" w:lineRule="exact"/>
        <w:rPr>
          <w:sz w:val="20"/>
          <w:szCs w:val="20"/>
          <w:color w:val="auto"/>
        </w:rPr>
      </w:pPr>
    </w:p>
    <w:p>
      <w:pPr>
        <w:jc w:val="both"/>
        <w:ind w:left="168" w:hanging="168"/>
        <w:spacing w:after="0" w:line="239" w:lineRule="auto"/>
        <w:tabs>
          <w:tab w:leader="none" w:pos="165"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revenue increased 6.6% to $532.4 million compared with the third quarter of 2022 primarily due to an increase in Adjusted Comparable Store Sales Growth, growth from new store sales, and higher revenue from the Company's AC Lens business, partially offset by the effect of unearned revenue in the third quarter of 2023 compared with the prior-year quarter. Net revenue includes a (0.3%) impact from the timing of unearned revenue in the current-year quarter compared with the prior-year quarter.</w:t>
      </w:r>
    </w:p>
    <w:p>
      <w:pPr>
        <w:spacing w:after="0" w:line="19" w:lineRule="exact"/>
        <w:rPr>
          <w:rFonts w:ascii="Arial" w:cs="Arial" w:eastAsia="Arial" w:hAnsi="Arial"/>
          <w:sz w:val="12"/>
          <w:szCs w:val="12"/>
          <w:color w:val="auto"/>
        </w:rPr>
      </w:pPr>
    </w:p>
    <w:p>
      <w:pPr>
        <w:ind w:left="168" w:hanging="168"/>
        <w:spacing w:after="0" w:line="245" w:lineRule="auto"/>
        <w:tabs>
          <w:tab w:leader="none" w:pos="165"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Comparable store sales growth was 3.8% and Adjusted Comparable Store Sales Growth was 4.3%, both reflecting an increase in customer transactions and higher average ticket. Comparable store sales growth was negatively impacted by the effects of unearned and deferred revenue in the current-year quarter compared with the prior-year quarter.</w:t>
      </w:r>
    </w:p>
    <w:p>
      <w:pPr>
        <w:spacing w:after="0" w:line="15" w:lineRule="exact"/>
        <w:rPr>
          <w:rFonts w:ascii="Arial" w:cs="Arial" w:eastAsia="Arial" w:hAnsi="Arial"/>
          <w:sz w:val="12"/>
          <w:szCs w:val="12"/>
          <w:color w:val="auto"/>
        </w:rPr>
      </w:pPr>
    </w:p>
    <w:p>
      <w:pPr>
        <w:ind w:left="168" w:hanging="168"/>
        <w:spacing w:after="0"/>
        <w:tabs>
          <w:tab w:leader="none" w:pos="168"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 opened 21 new stores and ended the quarter with 1,402 stores. Overall, store count grew 5.3% from October 1, 2022 to September 30, 2023.</w:t>
      </w:r>
    </w:p>
    <w:p>
      <w:pPr>
        <w:spacing w:after="0" w:line="33" w:lineRule="exact"/>
        <w:rPr>
          <w:rFonts w:ascii="Arial" w:cs="Arial" w:eastAsia="Arial" w:hAnsi="Arial"/>
          <w:sz w:val="12"/>
          <w:szCs w:val="12"/>
          <w:color w:val="auto"/>
        </w:rPr>
      </w:pPr>
    </w:p>
    <w:p>
      <w:pPr>
        <w:jc w:val="both"/>
        <w:ind w:left="168" w:hanging="168"/>
        <w:spacing w:after="0" w:line="234" w:lineRule="auto"/>
        <w:tabs>
          <w:tab w:leader="none" w:pos="165"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applicable to revenue increased 8.3% to $252.0 million compared with the third quarter of 2022. As a percentage of net revenue, costs applicable to revenue increased 70 basis points to 47.3% compared with the third quarter of 2022 and were primarily driven by an increase in optometrist-related costs as well as a reduction in components of service revenue, including product protection plan revenue. These costs were partially offset by ongoing strength in exam revenue as well as a decrease in product costs attributable to higher eyeglass margin and decreased freight expense.</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27" w:right="299" w:bottom="1440" w:gutter="0" w:footer="0" w:header="0"/>
        </w:sectPr>
      </w:pPr>
    </w:p>
    <w:bookmarkStart w:id="5" w:name="page6"/>
    <w:bookmarkEnd w:id="5"/>
    <w:p>
      <w:pPr>
        <w:jc w:val="both"/>
        <w:ind w:left="168" w:hanging="168"/>
        <w:spacing w:after="0" w:line="238" w:lineRule="auto"/>
        <w:tabs>
          <w:tab w:leader="none" w:pos="165" w:val="left"/>
        </w:tabs>
        <w:numPr>
          <w:ilvl w:val="0"/>
          <w:numId w:val="5"/>
        </w:numPr>
        <w:rPr>
          <w:rFonts w:ascii="Arial" w:cs="Arial" w:eastAsia="Arial" w:hAnsi="Arial"/>
          <w:sz w:val="12"/>
          <w:szCs w:val="12"/>
          <w:color w:val="auto"/>
        </w:rPr>
      </w:pPr>
      <w:r>
        <w:rPr>
          <w:rFonts w:ascii="Arial" w:cs="Arial" w:eastAsia="Arial" w:hAnsi="Arial"/>
          <w:sz w:val="12"/>
          <w:szCs w:val="12"/>
          <w:color w:val="auto"/>
        </w:rPr>
        <w:t>Selling, general and administrative expenses (SG&amp;A) increased 11.0% to $249.7 million compared with the third quarter of 2022. Adjusted SG&amp;A increased 8.7% to $241.5 million compared with the third quarter of 2022. As a percentage of net revenue, SG&amp;A increased 180 basis points to 46.9% compared with the third quarter of 2022 mainly due to increases in performance-based incentive and stock-based compensation, payroll, and expenses related to the termination of the Walmart partnership, partially offset by advertising leverage. As a percentage of net revenue, Adjusted SG&amp;A increased 90 basis points to 45.4% compared with the third quarter of 2022, driven by increases in performance-based incentive compensation and payroll, partially offset by advertising leverage.</w:t>
      </w:r>
    </w:p>
    <w:p>
      <w:pPr>
        <w:spacing w:after="0" w:line="19" w:lineRule="exact"/>
        <w:rPr>
          <w:rFonts w:ascii="Arial" w:cs="Arial" w:eastAsia="Arial" w:hAnsi="Arial"/>
          <w:sz w:val="12"/>
          <w:szCs w:val="12"/>
          <w:color w:val="auto"/>
        </w:rPr>
      </w:pPr>
    </w:p>
    <w:p>
      <w:pPr>
        <w:ind w:left="168" w:right="20" w:hanging="168"/>
        <w:spacing w:after="0" w:line="245" w:lineRule="auto"/>
        <w:tabs>
          <w:tab w:leader="none" w:pos="165" w:val="left"/>
        </w:tabs>
        <w:numPr>
          <w:ilvl w:val="0"/>
          <w:numId w:val="5"/>
        </w:numPr>
        <w:rPr>
          <w:rFonts w:ascii="Arial" w:cs="Arial" w:eastAsia="Arial" w:hAnsi="Arial"/>
          <w:sz w:val="12"/>
          <w:szCs w:val="12"/>
          <w:color w:val="auto"/>
        </w:rPr>
      </w:pPr>
      <w:r>
        <w:rPr>
          <w:rFonts w:ascii="Arial" w:cs="Arial" w:eastAsia="Arial" w:hAnsi="Arial"/>
          <w:sz w:val="12"/>
          <w:szCs w:val="12"/>
          <w:color w:val="auto"/>
        </w:rPr>
        <w:t>Depreciation and amortization expense of $24.4 million decreased 1.8% from the prior-year period primarily driven by a decrease in amortization of intangible assets as a result of impairing the Walmart contract and relationship asset during the third quarter of 2023, partially offset by investments in remote medicine technology.</w:t>
      </w:r>
    </w:p>
    <w:p>
      <w:pPr>
        <w:spacing w:after="0" w:line="15" w:lineRule="exact"/>
        <w:rPr>
          <w:rFonts w:ascii="Arial" w:cs="Arial" w:eastAsia="Arial" w:hAnsi="Arial"/>
          <w:sz w:val="12"/>
          <w:szCs w:val="12"/>
          <w:color w:val="auto"/>
        </w:rPr>
      </w:pPr>
    </w:p>
    <w:p>
      <w:pPr>
        <w:ind w:left="168" w:right="20" w:hanging="168"/>
        <w:spacing w:after="0" w:line="258" w:lineRule="auto"/>
        <w:tabs>
          <w:tab w:leader="none" w:pos="165" w:val="left"/>
        </w:tabs>
        <w:numPr>
          <w:ilvl w:val="0"/>
          <w:numId w:val="5"/>
        </w:numPr>
        <w:rPr>
          <w:rFonts w:ascii="Arial" w:cs="Arial" w:eastAsia="Arial" w:hAnsi="Arial"/>
          <w:sz w:val="12"/>
          <w:szCs w:val="12"/>
          <w:i w:val="1"/>
          <w:iCs w:val="1"/>
          <w:color w:val="auto"/>
        </w:rPr>
      </w:pPr>
      <w:r>
        <w:rPr>
          <w:rFonts w:ascii="Arial" w:cs="Arial" w:eastAsia="Arial" w:hAnsi="Arial"/>
          <w:sz w:val="12"/>
          <w:szCs w:val="12"/>
          <w:color w:val="auto"/>
        </w:rPr>
        <w:t>Net income (loss) decreased to $(73.8) million, inclusive of non-cash impairment charges related to the termination of the Walmart partnership of $79.4 million, compared to $11.5 million in the third quarter of 2022. Net income (loss) margin decreased to (13.9)% compared to 2.3% in the third quarter of 2022.</w:t>
      </w:r>
    </w:p>
    <w:p>
      <w:pPr>
        <w:ind w:left="168" w:hanging="168"/>
        <w:spacing w:after="0" w:line="290" w:lineRule="auto"/>
        <w:tabs>
          <w:tab w:leader="none" w:pos="165" w:val="left"/>
        </w:tabs>
        <w:numPr>
          <w:ilvl w:val="0"/>
          <w:numId w:val="5"/>
        </w:numPr>
        <w:rPr>
          <w:rFonts w:ascii="Arial" w:cs="Arial" w:eastAsia="Arial" w:hAnsi="Arial"/>
          <w:sz w:val="11"/>
          <w:szCs w:val="11"/>
          <w:i w:val="1"/>
          <w:iCs w:val="1"/>
          <w:color w:val="auto"/>
        </w:rPr>
      </w:pPr>
      <w:r>
        <w:rPr>
          <w:rFonts w:ascii="Arial" w:cs="Arial" w:eastAsia="Arial" w:hAnsi="Arial"/>
          <w:sz w:val="11"/>
          <w:szCs w:val="11"/>
          <w:color w:val="auto"/>
        </w:rPr>
        <w:t>Diluted earnings (loss) per share (EPS) decreased to $(0.94), inclusive of non-cash impairment charges related to the termination of the Walmart partnership of $79.4 million, compared to $0.15 in the third quarter of 2022. Adjusted Diluted EPS was $0.15 compared with $0.15 in the third quarter of 2022. The net change in margin on unearned revenue negatively impacted both Diluted EPS and Adjusted Diluted EPS by $0.01.</w:t>
      </w:r>
    </w:p>
    <w:p>
      <w:pPr>
        <w:ind w:left="168" w:hanging="168"/>
        <w:spacing w:after="0" w:line="245" w:lineRule="auto"/>
        <w:tabs>
          <w:tab w:leader="none" w:pos="165"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Operating Income decreased 26.8% to $15.7 million compared with the third quarter of 2022. Adjusted Operating Margin decreased 130 basis points to 3.0% compared with the third quarter of 2022. The net change in margin on unearned revenue negatively impacted net income by $0.9 million and Adjusted Operating Income by $1.3 million.</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Nine Months Year-to-Date Summary</w:t>
      </w:r>
    </w:p>
    <w:p>
      <w:pPr>
        <w:spacing w:after="0" w:line="37" w:lineRule="exact"/>
        <w:rPr>
          <w:sz w:val="20"/>
          <w:szCs w:val="20"/>
          <w:color w:val="auto"/>
        </w:rPr>
      </w:pPr>
    </w:p>
    <w:p>
      <w:pPr>
        <w:jc w:val="both"/>
        <w:ind w:left="168" w:hanging="168"/>
        <w:spacing w:after="0" w:line="239" w:lineRule="auto"/>
        <w:tabs>
          <w:tab w:leader="none" w:pos="165" w:val="left"/>
        </w:tabs>
        <w:numPr>
          <w:ilvl w:val="0"/>
          <w:numId w:val="6"/>
        </w:numPr>
        <w:rPr>
          <w:rFonts w:ascii="Arial" w:cs="Arial" w:eastAsia="Arial" w:hAnsi="Arial"/>
          <w:sz w:val="12"/>
          <w:szCs w:val="12"/>
          <w:color w:val="auto"/>
        </w:rPr>
      </w:pPr>
      <w:r>
        <w:rPr>
          <w:rFonts w:ascii="Arial" w:cs="Arial" w:eastAsia="Arial" w:hAnsi="Arial"/>
          <w:sz w:val="12"/>
          <w:szCs w:val="12"/>
          <w:color w:val="auto"/>
        </w:rPr>
        <w:t>Net revenue increased 5.4% to $1,620.1 million compared with the same period of 2022 and was primarily driven by growth from new store sales, an increase in Adjusted Comparable Store Sales Growth, higher revenue from the Company's AC Lens business and the effect of unearned revenue in the current period compared with the prior-year period. Net revenue includes a 0.3% impact from the timing of unearned revenue in the current-year period compared with the prior-year period.</w:t>
      </w:r>
    </w:p>
    <w:p>
      <w:pPr>
        <w:spacing w:after="0" w:line="19" w:lineRule="exact"/>
        <w:rPr>
          <w:rFonts w:ascii="Arial" w:cs="Arial" w:eastAsia="Arial" w:hAnsi="Arial"/>
          <w:sz w:val="12"/>
          <w:szCs w:val="12"/>
          <w:color w:val="auto"/>
        </w:rPr>
      </w:pPr>
    </w:p>
    <w:p>
      <w:pPr>
        <w:ind w:left="168" w:hanging="168"/>
        <w:spacing w:after="0"/>
        <w:tabs>
          <w:tab w:leader="none" w:pos="168"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Comparable store sales growth was 2.3% and Adjusted Comparable Store Sales Growth was 2.0%, both reflecting an increase in customer transactions and higher average ticket.</w:t>
      </w:r>
    </w:p>
    <w:p>
      <w:pPr>
        <w:spacing w:after="0" w:line="24" w:lineRule="exact"/>
        <w:rPr>
          <w:rFonts w:ascii="Arial" w:cs="Arial" w:eastAsia="Arial" w:hAnsi="Arial"/>
          <w:sz w:val="12"/>
          <w:szCs w:val="12"/>
          <w:color w:val="auto"/>
        </w:rPr>
      </w:pPr>
    </w:p>
    <w:p>
      <w:pPr>
        <w:ind w:left="168" w:hanging="168"/>
        <w:spacing w:after="0"/>
        <w:tabs>
          <w:tab w:leader="none" w:pos="16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opened 53 new stores, closed five stores, and ended the period with 1,402 stores.</w:t>
      </w:r>
    </w:p>
    <w:p>
      <w:pPr>
        <w:spacing w:after="0" w:line="33" w:lineRule="exact"/>
        <w:rPr>
          <w:rFonts w:ascii="Arial" w:cs="Arial" w:eastAsia="Arial" w:hAnsi="Arial"/>
          <w:sz w:val="12"/>
          <w:szCs w:val="12"/>
          <w:color w:val="auto"/>
        </w:rPr>
      </w:pPr>
    </w:p>
    <w:p>
      <w:pPr>
        <w:jc w:val="both"/>
        <w:ind w:left="168" w:hanging="168"/>
        <w:spacing w:after="0" w:line="239" w:lineRule="auto"/>
        <w:tabs>
          <w:tab w:leader="none" w:pos="165"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Costs applicable to revenue increased 7.2% to $753.9 million compared with the same period in 2022. As a percentage of net revenue, compared with the prior-year period, costs applicable to revenue increased 70 basis points to 46.5%, mainly due to an increase in optometrist-related costs and a reduction in other components of service revenue, including product protection plan revenue, as well as other product mix and margin effects. These costs were partially offset by increased exam revenue and the effects from increased eyeglass mix and higher eyeglass margin.</w:t>
      </w:r>
    </w:p>
    <w:p>
      <w:pPr>
        <w:spacing w:after="0" w:line="19" w:lineRule="exact"/>
        <w:rPr>
          <w:rFonts w:ascii="Arial" w:cs="Arial" w:eastAsia="Arial" w:hAnsi="Arial"/>
          <w:sz w:val="12"/>
          <w:szCs w:val="12"/>
          <w:color w:val="auto"/>
        </w:rPr>
      </w:pPr>
    </w:p>
    <w:p>
      <w:pPr>
        <w:jc w:val="both"/>
        <w:ind w:left="168" w:hanging="168"/>
        <w:spacing w:after="0" w:line="272" w:lineRule="auto"/>
        <w:tabs>
          <w:tab w:leader="none" w:pos="165" w:val="left"/>
        </w:tabs>
        <w:numPr>
          <w:ilvl w:val="0"/>
          <w:numId w:val="6"/>
        </w:numPr>
        <w:rPr>
          <w:rFonts w:ascii="Arial" w:cs="Arial" w:eastAsia="Arial" w:hAnsi="Arial"/>
          <w:sz w:val="11"/>
          <w:szCs w:val="11"/>
          <w:color w:val="auto"/>
        </w:rPr>
      </w:pPr>
      <w:r>
        <w:rPr>
          <w:rFonts w:ascii="Arial" w:cs="Arial" w:eastAsia="Arial" w:hAnsi="Arial"/>
          <w:sz w:val="11"/>
          <w:szCs w:val="11"/>
          <w:color w:val="auto"/>
        </w:rPr>
        <w:t>SG&amp;A increased 9.1% to $743.6 million compared with the same period in 2022. Adjusted SG&amp;A increased 8.4% to $725.1 million compared with the same period of 2022. As a percentage of net revenue, SG&amp;A increased 160 basis points to 45.9% compared with the same period in 2022 mainly due to increases in performance-based incentive compensation, payroll, stock-based compensation, and occupancy expense, partially offset by advertising leverage. As a percentage of net revenue, Adjusted SG&amp;A increased 130 basis points driven by increases in performance-based incentive compensation, payroll, and occupancy expense, partially offset by advertising leverage.</w:t>
      </w:r>
    </w:p>
    <w:p>
      <w:pPr>
        <w:spacing w:after="0" w:line="1" w:lineRule="exact"/>
        <w:rPr>
          <w:rFonts w:ascii="Arial" w:cs="Arial" w:eastAsia="Arial" w:hAnsi="Arial"/>
          <w:sz w:val="11"/>
          <w:szCs w:val="11"/>
          <w:color w:val="auto"/>
        </w:rPr>
      </w:pPr>
    </w:p>
    <w:p>
      <w:pPr>
        <w:ind w:left="168" w:hanging="168"/>
        <w:spacing w:after="0" w:line="245" w:lineRule="auto"/>
        <w:tabs>
          <w:tab w:leader="none" w:pos="165" w:val="left"/>
        </w:tabs>
        <w:numPr>
          <w:ilvl w:val="0"/>
          <w:numId w:val="6"/>
        </w:numPr>
        <w:rPr>
          <w:rFonts w:ascii="Arial" w:cs="Arial" w:eastAsia="Arial" w:hAnsi="Arial"/>
          <w:sz w:val="12"/>
          <w:szCs w:val="12"/>
          <w:color w:val="auto"/>
        </w:rPr>
      </w:pPr>
      <w:r>
        <w:rPr>
          <w:rFonts w:ascii="Arial" w:cs="Arial" w:eastAsia="Arial" w:hAnsi="Arial"/>
          <w:sz w:val="12"/>
          <w:szCs w:val="12"/>
          <w:color w:val="auto"/>
        </w:rPr>
        <w:t>Depreciation and amortization expense of $74.1 million decreased 1.5% from the prior-year period primarily due to a shift to cloud-based software investments that are amortized in SG&amp;A and a decrease in amortization of intangible assets as a result of impairing the Walmart contracts and relationship asset, partially offset by investments in remote medicine technology and new store openings.</w:t>
      </w:r>
    </w:p>
    <w:p>
      <w:pPr>
        <w:spacing w:after="0" w:line="15" w:lineRule="exact"/>
        <w:rPr>
          <w:rFonts w:ascii="Arial" w:cs="Arial" w:eastAsia="Arial" w:hAnsi="Arial"/>
          <w:sz w:val="12"/>
          <w:szCs w:val="12"/>
          <w:color w:val="auto"/>
        </w:rPr>
      </w:pPr>
    </w:p>
    <w:p>
      <w:pPr>
        <w:ind w:left="168" w:hanging="168"/>
        <w:spacing w:after="0" w:line="258" w:lineRule="auto"/>
        <w:tabs>
          <w:tab w:leader="none" w:pos="165" w:val="left"/>
        </w:tabs>
        <w:numPr>
          <w:ilvl w:val="0"/>
          <w:numId w:val="6"/>
        </w:numPr>
        <w:rPr>
          <w:rFonts w:ascii="Arial" w:cs="Arial" w:eastAsia="Arial" w:hAnsi="Arial"/>
          <w:sz w:val="12"/>
          <w:szCs w:val="12"/>
          <w:i w:val="1"/>
          <w:iCs w:val="1"/>
          <w:color w:val="auto"/>
        </w:rPr>
      </w:pPr>
      <w:r>
        <w:rPr>
          <w:rFonts w:ascii="Arial" w:cs="Arial" w:eastAsia="Arial" w:hAnsi="Arial"/>
          <w:sz w:val="12"/>
          <w:szCs w:val="12"/>
          <w:color w:val="auto"/>
        </w:rPr>
        <w:t>Net income (loss) decreased to $(49.9) million, inclusive of non-cash impairment charges related to the termination of the Walmart partnership of $79.4 million, and compared to $51.4 million in the same period in 2022. Net income (loss) margin decreased to (3.1)% compared to 3.3% in the same period in 2022.</w:t>
      </w:r>
    </w:p>
    <w:p>
      <w:pPr>
        <w:ind w:left="168" w:hanging="168"/>
        <w:spacing w:after="0" w:line="260" w:lineRule="auto"/>
        <w:tabs>
          <w:tab w:leader="none" w:pos="165" w:val="left"/>
        </w:tabs>
        <w:numPr>
          <w:ilvl w:val="0"/>
          <w:numId w:val="6"/>
        </w:numPr>
        <w:rPr>
          <w:rFonts w:ascii="Arial" w:cs="Arial" w:eastAsia="Arial" w:hAnsi="Arial"/>
          <w:sz w:val="12"/>
          <w:szCs w:val="12"/>
          <w:i w:val="1"/>
          <w:iCs w:val="1"/>
          <w:color w:val="auto"/>
        </w:rPr>
      </w:pPr>
      <w:r>
        <w:rPr>
          <w:rFonts w:ascii="Arial" w:cs="Arial" w:eastAsia="Arial" w:hAnsi="Arial"/>
          <w:sz w:val="12"/>
          <w:szCs w:val="12"/>
          <w:color w:val="auto"/>
        </w:rPr>
        <w:t>Diluted EPS decreased to $(0.64), inclusive of non-cash impairment charges related to the termination of the Walmart partnership of $79.4 million, compared to $0.63 in the same period in 2022. Adjusted Diluted EPS decreased to $0.66 compared to $0.69 in the same period in 2022. The net change in margin on unearned revenue benefited both Diluted EPS and Adjusted Diluted EPS by $0.03.</w:t>
      </w:r>
    </w:p>
    <w:p>
      <w:pPr>
        <w:spacing w:after="0" w:line="7" w:lineRule="exact"/>
        <w:rPr>
          <w:rFonts w:ascii="Arial" w:cs="Arial" w:eastAsia="Arial" w:hAnsi="Arial"/>
          <w:sz w:val="12"/>
          <w:szCs w:val="12"/>
          <w:i w:val="1"/>
          <w:iCs w:val="1"/>
          <w:color w:val="auto"/>
        </w:rPr>
      </w:pPr>
    </w:p>
    <w:p>
      <w:pPr>
        <w:ind w:left="168" w:hanging="168"/>
        <w:spacing w:after="0" w:line="245" w:lineRule="auto"/>
        <w:tabs>
          <w:tab w:leader="none" w:pos="165"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Operating Income decreased 23.8% to $72.0 million compared with the same period of 2022. Adjusted Operating Margin decreased 180 basis points to 4.4% compared with the same period in 2022. The net change in margin on unearned revenue benefited net income (loss) by $2.6 million and Adjusted Operating Income by $3.4 million.</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671"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t>Balance Sheet and Cash Flow Highlights as of September 30, 2023</w:t>
      </w:r>
    </w:p>
    <w:p>
      <w:pPr>
        <w:spacing w:after="0" w:line="73" w:lineRule="exact"/>
        <w:rPr>
          <w:sz w:val="20"/>
          <w:szCs w:val="20"/>
          <w:color w:val="auto"/>
        </w:rPr>
      </w:pPr>
    </w:p>
    <w:p>
      <w:pPr>
        <w:ind w:left="168" w:right="20" w:hanging="168"/>
        <w:spacing w:after="0" w:line="245" w:lineRule="auto"/>
        <w:tabs>
          <w:tab w:leader="none" w:pos="165" w:val="left"/>
        </w:tabs>
        <w:numPr>
          <w:ilvl w:val="0"/>
          <w:numId w:val="7"/>
        </w:numPr>
        <w:rPr>
          <w:rFonts w:ascii="Arial" w:cs="Arial" w:eastAsia="Arial" w:hAnsi="Arial"/>
          <w:sz w:val="12"/>
          <w:szCs w:val="12"/>
          <w:color w:val="auto"/>
        </w:rPr>
      </w:pPr>
      <w:r>
        <w:rPr>
          <w:rFonts w:ascii="Arial" w:cs="Arial" w:eastAsia="Arial" w:hAnsi="Arial"/>
          <w:sz w:val="12"/>
          <w:szCs w:val="12"/>
          <w:color w:val="auto"/>
        </w:rPr>
        <w:t>National Vision's cash balance was $265.8 million as of September 30, 2023. The Company had no borrowings under its $300.0 million first-lien revolving-credit facility (“Revolving Loans”), exclusive of letters of credit of $6.4 million.</w:t>
      </w:r>
    </w:p>
    <w:p>
      <w:pPr>
        <w:spacing w:after="0" w:line="15" w:lineRule="exact"/>
        <w:rPr>
          <w:rFonts w:ascii="Arial" w:cs="Arial" w:eastAsia="Arial" w:hAnsi="Arial"/>
          <w:sz w:val="12"/>
          <w:szCs w:val="12"/>
          <w:color w:val="auto"/>
        </w:rPr>
      </w:pPr>
    </w:p>
    <w:p>
      <w:pPr>
        <w:ind w:left="168" w:hanging="168"/>
        <w:spacing w:after="0"/>
        <w:tabs>
          <w:tab w:leader="none" w:pos="168"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debt was $562.8 million as of September 30, 2023, consisting of outstanding first-lien term loans, convertible senior notes (“2025 Notes”) and finance lease obligations, net of unamortized discounts.</w:t>
      </w:r>
    </w:p>
    <w:p>
      <w:pPr>
        <w:spacing w:after="0" w:line="33" w:lineRule="exact"/>
        <w:rPr>
          <w:rFonts w:ascii="Arial" w:cs="Arial" w:eastAsia="Arial" w:hAnsi="Arial"/>
          <w:sz w:val="12"/>
          <w:szCs w:val="12"/>
          <w:color w:val="auto"/>
        </w:rPr>
      </w:pPr>
    </w:p>
    <w:p>
      <w:pPr>
        <w:ind w:left="168" w:hanging="168"/>
        <w:spacing w:after="0" w:line="245" w:lineRule="auto"/>
        <w:tabs>
          <w:tab w:leader="none" w:pos="165" w:val="left"/>
        </w:tabs>
        <w:numPr>
          <w:ilvl w:val="0"/>
          <w:numId w:val="7"/>
        </w:numPr>
        <w:rPr>
          <w:rFonts w:ascii="Arial" w:cs="Arial" w:eastAsia="Arial" w:hAnsi="Arial"/>
          <w:sz w:val="12"/>
          <w:szCs w:val="12"/>
          <w:color w:val="auto"/>
        </w:rPr>
      </w:pPr>
      <w:r>
        <w:rPr>
          <w:rFonts w:ascii="Arial" w:cs="Arial" w:eastAsia="Arial" w:hAnsi="Arial"/>
          <w:sz w:val="12"/>
          <w:szCs w:val="12"/>
          <w:color w:val="auto"/>
        </w:rPr>
        <w:t>Cash flows from operating activities for the first nine months of 2023 were $153.3 million compared to $121.3 million for the same period in 2022. The year-over-year increase was primarily due to timing of incentive compensation-related payments.</w:t>
      </w:r>
    </w:p>
    <w:p>
      <w:pPr>
        <w:spacing w:after="0" w:line="15" w:lineRule="exact"/>
        <w:rPr>
          <w:rFonts w:ascii="Arial" w:cs="Arial" w:eastAsia="Arial" w:hAnsi="Arial"/>
          <w:sz w:val="12"/>
          <w:szCs w:val="12"/>
          <w:color w:val="auto"/>
        </w:rPr>
      </w:pPr>
    </w:p>
    <w:p>
      <w:pPr>
        <w:ind w:left="168" w:hanging="168"/>
        <w:spacing w:after="0"/>
        <w:tabs>
          <w:tab w:leader="none" w:pos="168" w:val="left"/>
        </w:tabs>
        <w:numPr>
          <w:ilvl w:val="0"/>
          <w:numId w:val="7"/>
        </w:numPr>
        <w:rPr>
          <w:rFonts w:ascii="Arial" w:cs="Arial" w:eastAsia="Arial" w:hAnsi="Arial"/>
          <w:sz w:val="12"/>
          <w:szCs w:val="12"/>
          <w:color w:val="auto"/>
        </w:rPr>
      </w:pPr>
      <w:r>
        <w:rPr>
          <w:rFonts w:ascii="Arial" w:cs="Arial" w:eastAsia="Arial" w:hAnsi="Arial"/>
          <w:sz w:val="12"/>
          <w:szCs w:val="12"/>
          <w:color w:val="auto"/>
        </w:rPr>
        <w:t>Capital expenditures for the first nine months of 2023 totaled $82.0 million compared to $86.1 million for the third quarter of 2022.</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Share Repurchase Program</w:t>
      </w:r>
    </w:p>
    <w:p>
      <w:pPr>
        <w:spacing w:after="0" w:line="64"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In the third quarter of 2023, the Company did not repurchase any shares of its common stock. Year to date through September 30, 2023, National Vision repurchased approximately 1.1 million shares for $25.0 million. The Company has $25.0 million remaining under its current share repurchase authorization.</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Termination of Walmart Partnership</w:t>
      </w:r>
    </w:p>
    <w:p>
      <w:pPr>
        <w:spacing w:after="0" w:line="64" w:lineRule="exact"/>
        <w:rPr>
          <w:sz w:val="20"/>
          <w:szCs w:val="20"/>
          <w:color w:val="auto"/>
        </w:rPr>
      </w:pPr>
    </w:p>
    <w:p>
      <w:pPr>
        <w:jc w:val="both"/>
        <w:ind w:left="8" w:right="20"/>
        <w:spacing w:after="0" w:line="260" w:lineRule="auto"/>
        <w:rPr>
          <w:sz w:val="20"/>
          <w:szCs w:val="20"/>
          <w:color w:val="auto"/>
        </w:rPr>
      </w:pPr>
      <w:r>
        <w:rPr>
          <w:rFonts w:ascii="Arial" w:cs="Arial" w:eastAsia="Arial" w:hAnsi="Arial"/>
          <w:sz w:val="12"/>
          <w:szCs w:val="12"/>
          <w:color w:val="auto"/>
        </w:rPr>
        <w:t>As previously announced on July 26, 2023, the Company’s partnership with Walmart Inc. (“Walmart”) will be ending in 2024. This includes supplying and operating Vision Centers in 229 Walmart stores, providing contact lens distribution and related services to Walmart and its affiliate, Sam's Club, and arranging for the provision of optometric services at certain Walmart locations in California.</w:t>
      </w:r>
    </w:p>
    <w:p>
      <w:pPr>
        <w:spacing w:after="0" w:line="43" w:lineRule="exact"/>
        <w:rPr>
          <w:sz w:val="20"/>
          <w:szCs w:val="20"/>
          <w:color w:val="auto"/>
        </w:rPr>
      </w:pPr>
    </w:p>
    <w:p>
      <w:pPr>
        <w:jc w:val="both"/>
        <w:ind w:left="8"/>
        <w:spacing w:after="0" w:line="238" w:lineRule="auto"/>
        <w:rPr>
          <w:sz w:val="20"/>
          <w:szCs w:val="20"/>
          <w:color w:val="auto"/>
        </w:rPr>
      </w:pPr>
      <w:r>
        <w:rPr>
          <w:rFonts w:ascii="Arial" w:cs="Arial" w:eastAsia="Arial" w:hAnsi="Arial"/>
          <w:sz w:val="12"/>
          <w:szCs w:val="12"/>
          <w:color w:val="auto"/>
        </w:rPr>
        <w:t>For fiscal 2023, the Company expects its Walmart store operations and the wholesale distribution and related services to Walmart and its affiliate, Sam's Club, included in its AC Lens operations recorded in the Corporate/Other segment to generate approximately $355 million in revenue. The remaining portion of the AC Lens operations, which is immaterial from an earnings perspective, will be wound down in conjunction with the wholesale distribution and e-commerce contact lens services, and is expected to generate approximately $45 million in sales for fiscal 2023. Combined, the Walmart store operations and the AC Lens operations are expected to generate approximately $400 million in revenue and Earnings before income tax of approximately $15 million.</w:t>
      </w:r>
    </w:p>
    <w:p>
      <w:pPr>
        <w:spacing w:after="0" w:line="65"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The annualized direct and indirect costs associated with these operations for fiscal 2023 are expected to be approximately $385 million. The Company expects these costs to be wound down in conjunction with the contract termination dates, and includes the plan to consolidate the Company's distribution network with the closing of its Ohio distribution center, which primarily supports the AC Lens operations. The Company currently expects approximately 7% of its total associate headcount to be impacted by the termination of the Walmart partnership and the wind down of the AC Lens operations.</w:t>
      </w:r>
    </w:p>
    <w:p>
      <w:pPr>
        <w:spacing w:after="0" w:line="41"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The Company recorded non-cash impairment charges of $79.4 million related to the termination of the Walmart partnership for the three months ended September 30, 2023, including $60.1 million related to goodwill, $9.1 million related to contracts and relationships, and $10.2 million related to property and equipment.</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Cost Savings &amp; Pricing Initiatives</w:t>
      </w:r>
    </w:p>
    <w:p>
      <w:pPr>
        <w:spacing w:after="0" w:line="8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 has announced that beginning in 2024, it will be implementing an incremental expense reduction program targeting annualized savings in the range of  $10 million to $12 million. The program will focus on streamlining corporate overhead including optimizing non-customer facing labor costs, as well as reducing travel expenses and third-party spend.</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program, together with the expected benefits from non-headline pricing actions the Company is planning to take, is expected to more than offset the profitability gap created by the termination of the Walmart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703"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Fiscal 2023 Outlook</w:t>
      </w:r>
    </w:p>
    <w:p>
      <w:pPr>
        <w:spacing w:after="0" w:line="73" w:lineRule="exact"/>
        <w:rPr>
          <w:sz w:val="20"/>
          <w:szCs w:val="20"/>
          <w:color w:val="auto"/>
        </w:rPr>
      </w:pPr>
    </w:p>
    <w:p>
      <w:pPr>
        <w:spacing w:after="0" w:line="282" w:lineRule="auto"/>
        <w:rPr>
          <w:sz w:val="20"/>
          <w:szCs w:val="20"/>
          <w:color w:val="auto"/>
        </w:rPr>
      </w:pPr>
      <w:r>
        <w:rPr>
          <w:rFonts w:ascii="Arial" w:cs="Arial" w:eastAsia="Arial" w:hAnsi="Arial"/>
          <w:sz w:val="10"/>
          <w:szCs w:val="10"/>
          <w:color w:val="auto"/>
        </w:rPr>
        <w:t>National Vision's fiscal 2023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as a result of such factors or as a result of the termination of the Walmart partnership.</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20" w:type="dxa"/>
            <w:vAlign w:val="bottom"/>
            <w:gridSpan w:val="2"/>
          </w:tcPr>
          <w:p>
            <w:pPr>
              <w:spacing w:after="0"/>
              <w:rPr>
                <w:sz w:val="20"/>
                <w:szCs w:val="20"/>
                <w:color w:val="auto"/>
              </w:rPr>
            </w:pPr>
            <w:r>
              <w:rPr>
                <w:rFonts w:ascii="Arial" w:cs="Arial" w:eastAsia="Arial" w:hAnsi="Arial"/>
                <w:sz w:val="12"/>
                <w:szCs w:val="12"/>
                <w:color w:val="auto"/>
                <w:w w:val="94"/>
              </w:rPr>
              <w:t>The Company is providing the following updated outlook for the 52 weeks ending December 30, 2023:</w:t>
            </w:r>
          </w:p>
        </w:tc>
        <w:tc>
          <w:tcPr>
            <w:tcW w:w="262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333"/>
        </w:trPr>
        <w:tc>
          <w:tcPr>
            <w:tcW w:w="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20" w:type="dxa"/>
            <w:vAlign w:val="bottom"/>
          </w:tcPr>
          <w:p>
            <w:pPr>
              <w:jc w:val="center"/>
              <w:ind w:right="720"/>
              <w:spacing w:after="0"/>
              <w:rPr>
                <w:sz w:val="20"/>
                <w:szCs w:val="20"/>
                <w:color w:val="auto"/>
              </w:rPr>
            </w:pPr>
            <w:r>
              <w:rPr>
                <w:rFonts w:ascii="Arial" w:cs="Arial" w:eastAsia="Arial" w:hAnsi="Arial"/>
                <w:sz w:val="12"/>
                <w:szCs w:val="12"/>
                <w:b w:val="1"/>
                <w:bCs w:val="1"/>
                <w:color w:val="auto"/>
                <w:w w:val="92"/>
              </w:rPr>
              <w:t>Current Fiscal-2023 Outlook</w:t>
            </w:r>
          </w:p>
        </w:tc>
        <w:tc>
          <w:tcPr>
            <w:tcW w:w="3420" w:type="dxa"/>
            <w:vAlign w:val="bottom"/>
          </w:tcPr>
          <w:p>
            <w:pPr>
              <w:jc w:val="center"/>
              <w:spacing w:after="0"/>
              <w:rPr>
                <w:sz w:val="20"/>
                <w:szCs w:val="20"/>
                <w:color w:val="auto"/>
              </w:rPr>
            </w:pPr>
            <w:r>
              <w:rPr>
                <w:rFonts w:ascii="Arial" w:cs="Arial" w:eastAsia="Arial" w:hAnsi="Arial"/>
                <w:sz w:val="12"/>
                <w:szCs w:val="12"/>
                <w:b w:val="1"/>
                <w:bCs w:val="1"/>
                <w:color w:val="auto"/>
                <w:w w:val="92"/>
              </w:rPr>
              <w:t>Prior Fiscal-2023 Outlook</w:t>
            </w:r>
          </w:p>
        </w:tc>
      </w:tr>
      <w:tr>
        <w:trPr>
          <w:trHeight w:val="153"/>
        </w:trPr>
        <w:tc>
          <w:tcPr>
            <w:tcW w:w="140" w:type="dxa"/>
            <w:vAlign w:val="bottom"/>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New Stores</w:t>
            </w:r>
          </w:p>
        </w:tc>
        <w:tc>
          <w:tcPr>
            <w:tcW w:w="2620" w:type="dxa"/>
            <w:vAlign w:val="bottom"/>
            <w:shd w:val="clear" w:color="auto" w:fill="CCEEFF"/>
          </w:tcPr>
          <w:p>
            <w:pPr>
              <w:jc w:val="center"/>
              <w:ind w:right="720"/>
              <w:spacing w:after="0"/>
              <w:rPr>
                <w:sz w:val="20"/>
                <w:szCs w:val="20"/>
                <w:color w:val="auto"/>
              </w:rPr>
            </w:pPr>
            <w:r>
              <w:rPr>
                <w:rFonts w:ascii="Arial" w:cs="Arial" w:eastAsia="Arial" w:hAnsi="Arial"/>
                <w:sz w:val="12"/>
                <w:szCs w:val="12"/>
                <w:color w:val="auto"/>
                <w:w w:val="92"/>
              </w:rPr>
              <w:t>65 to 70</w:t>
            </w:r>
          </w:p>
        </w:tc>
        <w:tc>
          <w:tcPr>
            <w:tcW w:w="3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65 to 70</w:t>
            </w:r>
          </w:p>
        </w:tc>
      </w:tr>
      <w:tr>
        <w:trPr>
          <w:trHeight w:val="153"/>
        </w:trPr>
        <w:tc>
          <w:tcPr>
            <w:tcW w:w="140" w:type="dxa"/>
            <w:vAlign w:val="bottom"/>
          </w:tcPr>
          <w:p>
            <w:pPr>
              <w:spacing w:after="0"/>
              <w:rPr>
                <w:sz w:val="13"/>
                <w:szCs w:val="13"/>
                <w:color w:val="auto"/>
              </w:rPr>
            </w:pPr>
          </w:p>
        </w:tc>
        <w:tc>
          <w:tcPr>
            <w:tcW w:w="4980" w:type="dxa"/>
            <w:vAlign w:val="bottom"/>
          </w:tcPr>
          <w:p>
            <w:pPr>
              <w:ind w:left="20"/>
              <w:spacing w:after="0" w:line="153" w:lineRule="exact"/>
              <w:rPr>
                <w:sz w:val="20"/>
                <w:szCs w:val="20"/>
                <w:color w:val="auto"/>
              </w:rPr>
            </w:pPr>
            <w:r>
              <w:rPr>
                <w:rFonts w:ascii="Arial" w:cs="Arial" w:eastAsia="Arial" w:hAnsi="Arial"/>
                <w:sz w:val="12"/>
                <w:szCs w:val="12"/>
                <w:color w:val="auto"/>
              </w:rPr>
              <w:t>Adjusted Comparable Store Sales Growth</w:t>
            </w:r>
            <w:r>
              <w:rPr>
                <w:rFonts w:ascii="Arial" w:cs="Arial" w:eastAsia="Arial" w:hAnsi="Arial"/>
                <w:sz w:val="15"/>
                <w:szCs w:val="15"/>
                <w:color w:val="auto"/>
                <w:vertAlign w:val="superscript"/>
              </w:rPr>
              <w:t>1</w:t>
            </w:r>
          </w:p>
        </w:tc>
        <w:tc>
          <w:tcPr>
            <w:tcW w:w="2620" w:type="dxa"/>
            <w:vAlign w:val="bottom"/>
          </w:tcPr>
          <w:p>
            <w:pPr>
              <w:jc w:val="center"/>
              <w:ind w:right="700"/>
              <w:spacing w:after="0"/>
              <w:rPr>
                <w:sz w:val="20"/>
                <w:szCs w:val="20"/>
                <w:color w:val="auto"/>
              </w:rPr>
            </w:pPr>
            <w:r>
              <w:rPr>
                <w:rFonts w:ascii="Arial" w:cs="Arial" w:eastAsia="Arial" w:hAnsi="Arial"/>
                <w:sz w:val="12"/>
                <w:szCs w:val="12"/>
                <w:color w:val="auto"/>
                <w:w w:val="90"/>
              </w:rPr>
              <w:t>~2%</w:t>
            </w:r>
          </w:p>
        </w:tc>
        <w:tc>
          <w:tcPr>
            <w:tcW w:w="3420" w:type="dxa"/>
            <w:vAlign w:val="bottom"/>
          </w:tcPr>
          <w:p>
            <w:pPr>
              <w:jc w:val="center"/>
              <w:spacing w:after="0"/>
              <w:rPr>
                <w:sz w:val="20"/>
                <w:szCs w:val="20"/>
                <w:color w:val="auto"/>
              </w:rPr>
            </w:pPr>
            <w:r>
              <w:rPr>
                <w:rFonts w:ascii="Arial" w:cs="Arial" w:eastAsia="Arial" w:hAnsi="Arial"/>
                <w:sz w:val="12"/>
                <w:szCs w:val="12"/>
                <w:color w:val="auto"/>
                <w:w w:val="89"/>
              </w:rPr>
              <w:t>0% to 3%</w:t>
            </w:r>
          </w:p>
        </w:tc>
      </w:tr>
      <w:tr>
        <w:trPr>
          <w:trHeight w:val="153"/>
        </w:trPr>
        <w:tc>
          <w:tcPr>
            <w:tcW w:w="140" w:type="dxa"/>
            <w:vAlign w:val="bottom"/>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w:t>
            </w:r>
          </w:p>
        </w:tc>
        <w:tc>
          <w:tcPr>
            <w:tcW w:w="2620" w:type="dxa"/>
            <w:vAlign w:val="bottom"/>
            <w:shd w:val="clear" w:color="auto" w:fill="CCEEFF"/>
          </w:tcPr>
          <w:p>
            <w:pPr>
              <w:jc w:val="center"/>
              <w:ind w:right="700"/>
              <w:spacing w:after="0"/>
              <w:rPr>
                <w:sz w:val="20"/>
                <w:szCs w:val="20"/>
                <w:color w:val="auto"/>
              </w:rPr>
            </w:pPr>
            <w:r>
              <w:rPr>
                <w:rFonts w:ascii="Arial" w:cs="Arial" w:eastAsia="Arial" w:hAnsi="Arial"/>
                <w:sz w:val="12"/>
                <w:szCs w:val="12"/>
                <w:color w:val="auto"/>
                <w:w w:val="94"/>
              </w:rPr>
              <w:t>$2.115 billion to $2.125 billion</w:t>
            </w:r>
          </w:p>
        </w:tc>
        <w:tc>
          <w:tcPr>
            <w:tcW w:w="3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$2.075 billion to $2.135 billion</w:t>
            </w:r>
          </w:p>
        </w:tc>
      </w:tr>
      <w:tr>
        <w:trPr>
          <w:trHeight w:val="153"/>
        </w:trPr>
        <w:tc>
          <w:tcPr>
            <w:tcW w:w="14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2"/>
                <w:szCs w:val="12"/>
                <w:color w:val="auto"/>
              </w:rPr>
              <w:t>Adjusted Operating Income</w:t>
            </w:r>
          </w:p>
        </w:tc>
        <w:tc>
          <w:tcPr>
            <w:tcW w:w="2620" w:type="dxa"/>
            <w:vAlign w:val="bottom"/>
          </w:tcPr>
          <w:p>
            <w:pPr>
              <w:jc w:val="center"/>
              <w:ind w:right="700"/>
              <w:spacing w:after="0"/>
              <w:rPr>
                <w:sz w:val="20"/>
                <w:szCs w:val="20"/>
                <w:color w:val="auto"/>
              </w:rPr>
            </w:pPr>
            <w:r>
              <w:rPr>
                <w:rFonts w:ascii="Arial" w:cs="Arial" w:eastAsia="Arial" w:hAnsi="Arial"/>
                <w:sz w:val="12"/>
                <w:szCs w:val="12"/>
                <w:color w:val="auto"/>
                <w:w w:val="95"/>
              </w:rPr>
              <w:t>$60 million to $65 million</w:t>
            </w:r>
          </w:p>
        </w:tc>
        <w:tc>
          <w:tcPr>
            <w:tcW w:w="3420" w:type="dxa"/>
            <w:vAlign w:val="bottom"/>
          </w:tcPr>
          <w:p>
            <w:pPr>
              <w:jc w:val="center"/>
              <w:spacing w:after="0"/>
              <w:rPr>
                <w:sz w:val="20"/>
                <w:szCs w:val="20"/>
                <w:color w:val="auto"/>
              </w:rPr>
            </w:pPr>
            <w:r>
              <w:rPr>
                <w:rFonts w:ascii="Arial" w:cs="Arial" w:eastAsia="Arial" w:hAnsi="Arial"/>
                <w:sz w:val="12"/>
                <w:szCs w:val="12"/>
                <w:color w:val="auto"/>
                <w:w w:val="95"/>
              </w:rPr>
              <w:t>$48 million to $66 million</w:t>
            </w:r>
          </w:p>
        </w:tc>
      </w:tr>
      <w:tr>
        <w:trPr>
          <w:trHeight w:val="153"/>
        </w:trPr>
        <w:tc>
          <w:tcPr>
            <w:tcW w:w="140" w:type="dxa"/>
            <w:vAlign w:val="bottom"/>
          </w:tcPr>
          <w:p>
            <w:pPr>
              <w:spacing w:after="0"/>
              <w:rPr>
                <w:sz w:val="13"/>
                <w:szCs w:val="13"/>
                <w:color w:val="auto"/>
              </w:rPr>
            </w:pPr>
          </w:p>
        </w:tc>
        <w:tc>
          <w:tcPr>
            <w:tcW w:w="49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Adjusted Diluted EPS</w:t>
            </w:r>
            <w:r>
              <w:rPr>
                <w:rFonts w:ascii="Arial" w:cs="Arial" w:eastAsia="Arial" w:hAnsi="Arial"/>
                <w:sz w:val="15"/>
                <w:szCs w:val="15"/>
                <w:color w:val="auto"/>
                <w:vertAlign w:val="superscript"/>
              </w:rPr>
              <w:t>2</w:t>
            </w:r>
          </w:p>
        </w:tc>
        <w:tc>
          <w:tcPr>
            <w:tcW w:w="2620" w:type="dxa"/>
            <w:vAlign w:val="bottom"/>
            <w:shd w:val="clear" w:color="auto" w:fill="CCEEFF"/>
          </w:tcPr>
          <w:p>
            <w:pPr>
              <w:jc w:val="center"/>
              <w:ind w:right="700"/>
              <w:spacing w:after="0"/>
              <w:rPr>
                <w:sz w:val="20"/>
                <w:szCs w:val="20"/>
                <w:color w:val="auto"/>
              </w:rPr>
            </w:pPr>
            <w:r>
              <w:rPr>
                <w:rFonts w:ascii="Arial" w:cs="Arial" w:eastAsia="Arial" w:hAnsi="Arial"/>
                <w:sz w:val="12"/>
                <w:szCs w:val="12"/>
                <w:color w:val="auto"/>
                <w:w w:val="91"/>
              </w:rPr>
              <w:t>$0.53 to $0.58</w:t>
            </w:r>
          </w:p>
        </w:tc>
        <w:tc>
          <w:tcPr>
            <w:tcW w:w="3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$0.42 to $0.60</w:t>
            </w:r>
          </w:p>
        </w:tc>
      </w:tr>
      <w:tr>
        <w:trPr>
          <w:trHeight w:val="189"/>
        </w:trPr>
        <w:tc>
          <w:tcPr>
            <w:tcW w:w="140" w:type="dxa"/>
            <w:vAlign w:val="bottom"/>
          </w:tcPr>
          <w:p>
            <w:pPr>
              <w:spacing w:after="0"/>
              <w:rPr>
                <w:sz w:val="16"/>
                <w:szCs w:val="16"/>
                <w:color w:val="auto"/>
              </w:rPr>
            </w:pPr>
          </w:p>
        </w:tc>
        <w:tc>
          <w:tcPr>
            <w:tcW w:w="4980" w:type="dxa"/>
            <w:vAlign w:val="bottom"/>
          </w:tcPr>
          <w:p>
            <w:pPr>
              <w:ind w:left="20"/>
              <w:spacing w:after="0"/>
              <w:rPr>
                <w:sz w:val="20"/>
                <w:szCs w:val="20"/>
                <w:color w:val="auto"/>
              </w:rPr>
            </w:pPr>
            <w:r>
              <w:rPr>
                <w:rFonts w:ascii="Arial" w:cs="Arial" w:eastAsia="Arial" w:hAnsi="Arial"/>
                <w:sz w:val="12"/>
                <w:szCs w:val="12"/>
                <w:color w:val="auto"/>
              </w:rPr>
              <w:t>Depreciation and Amortization</w:t>
            </w:r>
            <w:r>
              <w:rPr>
                <w:rFonts w:ascii="Arial" w:cs="Arial" w:eastAsia="Arial" w:hAnsi="Arial"/>
                <w:sz w:val="15"/>
                <w:szCs w:val="15"/>
                <w:color w:val="auto"/>
                <w:vertAlign w:val="superscript"/>
              </w:rPr>
              <w:t>3</w:t>
            </w:r>
          </w:p>
        </w:tc>
        <w:tc>
          <w:tcPr>
            <w:tcW w:w="2620" w:type="dxa"/>
            <w:vAlign w:val="bottom"/>
          </w:tcPr>
          <w:p>
            <w:pPr>
              <w:jc w:val="center"/>
              <w:ind w:right="720"/>
              <w:spacing w:after="0"/>
              <w:rPr>
                <w:sz w:val="20"/>
                <w:szCs w:val="20"/>
                <w:color w:val="auto"/>
              </w:rPr>
            </w:pPr>
            <w:r>
              <w:rPr>
                <w:rFonts w:ascii="Arial" w:cs="Arial" w:eastAsia="Arial" w:hAnsi="Arial"/>
                <w:sz w:val="12"/>
                <w:szCs w:val="12"/>
                <w:color w:val="auto"/>
                <w:w w:val="95"/>
              </w:rPr>
              <w:t>$99 million to $101 million</w:t>
            </w:r>
          </w:p>
        </w:tc>
        <w:tc>
          <w:tcPr>
            <w:tcW w:w="3420" w:type="dxa"/>
            <w:vAlign w:val="bottom"/>
          </w:tcPr>
          <w:p>
            <w:pPr>
              <w:jc w:val="center"/>
              <w:spacing w:after="0"/>
              <w:rPr>
                <w:sz w:val="20"/>
                <w:szCs w:val="20"/>
                <w:color w:val="auto"/>
              </w:rPr>
            </w:pPr>
            <w:r>
              <w:rPr>
                <w:rFonts w:ascii="Arial" w:cs="Arial" w:eastAsia="Arial" w:hAnsi="Arial"/>
                <w:sz w:val="12"/>
                <w:szCs w:val="12"/>
                <w:color w:val="auto"/>
                <w:w w:val="95"/>
              </w:rPr>
              <w:t>$99 million to $101 million</w:t>
            </w:r>
          </w:p>
        </w:tc>
      </w:tr>
      <w:tr>
        <w:trPr>
          <w:trHeight w:val="153"/>
        </w:trPr>
        <w:tc>
          <w:tcPr>
            <w:tcW w:w="140" w:type="dxa"/>
            <w:vAlign w:val="bottom"/>
          </w:tcPr>
          <w:p>
            <w:pPr>
              <w:spacing w:after="0"/>
              <w:rPr>
                <w:sz w:val="13"/>
                <w:szCs w:val="13"/>
                <w:color w:val="auto"/>
              </w:rPr>
            </w:pPr>
          </w:p>
        </w:tc>
        <w:tc>
          <w:tcPr>
            <w:tcW w:w="49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Interest</w:t>
            </w:r>
            <w:r>
              <w:rPr>
                <w:rFonts w:ascii="Arial" w:cs="Arial" w:eastAsia="Arial" w:hAnsi="Arial"/>
                <w:sz w:val="15"/>
                <w:szCs w:val="15"/>
                <w:color w:val="auto"/>
                <w:vertAlign w:val="superscript"/>
              </w:rPr>
              <w:t>4</w:t>
            </w:r>
          </w:p>
        </w:tc>
        <w:tc>
          <w:tcPr>
            <w:tcW w:w="2620" w:type="dxa"/>
            <w:vAlign w:val="bottom"/>
            <w:shd w:val="clear" w:color="auto" w:fill="CCEEFF"/>
          </w:tcPr>
          <w:p>
            <w:pPr>
              <w:jc w:val="center"/>
              <w:ind w:right="720"/>
              <w:spacing w:after="0"/>
              <w:rPr>
                <w:sz w:val="20"/>
                <w:szCs w:val="20"/>
                <w:color w:val="auto"/>
              </w:rPr>
            </w:pPr>
            <w:r>
              <w:rPr>
                <w:rFonts w:ascii="Arial" w:cs="Arial" w:eastAsia="Arial" w:hAnsi="Arial"/>
                <w:sz w:val="12"/>
                <w:szCs w:val="12"/>
                <w:color w:val="auto"/>
                <w:w w:val="96"/>
              </w:rPr>
              <w:t>~$3 million</w:t>
            </w:r>
          </w:p>
        </w:tc>
        <w:tc>
          <w:tcPr>
            <w:tcW w:w="3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~$3 million</w:t>
            </w:r>
          </w:p>
        </w:tc>
      </w:tr>
      <w:tr>
        <w:trPr>
          <w:trHeight w:val="153"/>
        </w:trPr>
        <w:tc>
          <w:tcPr>
            <w:tcW w:w="140" w:type="dxa"/>
            <w:vAlign w:val="bottom"/>
          </w:tcPr>
          <w:p>
            <w:pPr>
              <w:spacing w:after="0"/>
              <w:rPr>
                <w:sz w:val="13"/>
                <w:szCs w:val="13"/>
                <w:color w:val="auto"/>
              </w:rPr>
            </w:pPr>
          </w:p>
        </w:tc>
        <w:tc>
          <w:tcPr>
            <w:tcW w:w="4980" w:type="dxa"/>
            <w:vAlign w:val="bottom"/>
          </w:tcPr>
          <w:p>
            <w:pPr>
              <w:ind w:left="20"/>
              <w:spacing w:after="0" w:line="153" w:lineRule="exact"/>
              <w:rPr>
                <w:sz w:val="20"/>
                <w:szCs w:val="20"/>
                <w:color w:val="auto"/>
              </w:rPr>
            </w:pPr>
            <w:r>
              <w:rPr>
                <w:rFonts w:ascii="Arial" w:cs="Arial" w:eastAsia="Arial" w:hAnsi="Arial"/>
                <w:sz w:val="12"/>
                <w:szCs w:val="12"/>
                <w:color w:val="auto"/>
              </w:rPr>
              <w:t>Tax Rate</w:t>
            </w:r>
            <w:r>
              <w:rPr>
                <w:rFonts w:ascii="Arial" w:cs="Arial" w:eastAsia="Arial" w:hAnsi="Arial"/>
                <w:sz w:val="15"/>
                <w:szCs w:val="15"/>
                <w:color w:val="auto"/>
                <w:vertAlign w:val="superscript"/>
              </w:rPr>
              <w:t>5</w:t>
            </w:r>
          </w:p>
        </w:tc>
        <w:tc>
          <w:tcPr>
            <w:tcW w:w="2620" w:type="dxa"/>
            <w:vAlign w:val="bottom"/>
          </w:tcPr>
          <w:p>
            <w:pPr>
              <w:jc w:val="center"/>
              <w:ind w:right="720"/>
              <w:spacing w:after="0"/>
              <w:rPr>
                <w:sz w:val="20"/>
                <w:szCs w:val="20"/>
                <w:color w:val="auto"/>
              </w:rPr>
            </w:pPr>
            <w:r>
              <w:rPr>
                <w:rFonts w:ascii="Arial" w:cs="Arial" w:eastAsia="Arial" w:hAnsi="Arial"/>
                <w:sz w:val="12"/>
                <w:szCs w:val="12"/>
                <w:color w:val="auto"/>
                <w:w w:val="92"/>
              </w:rPr>
              <w:t>26% to 28%</w:t>
            </w:r>
          </w:p>
        </w:tc>
        <w:tc>
          <w:tcPr>
            <w:tcW w:w="3420" w:type="dxa"/>
            <w:vAlign w:val="bottom"/>
          </w:tcPr>
          <w:p>
            <w:pPr>
              <w:jc w:val="center"/>
              <w:spacing w:after="0"/>
              <w:rPr>
                <w:sz w:val="20"/>
                <w:szCs w:val="20"/>
                <w:color w:val="auto"/>
              </w:rPr>
            </w:pPr>
            <w:r>
              <w:rPr>
                <w:rFonts w:ascii="Arial" w:cs="Arial" w:eastAsia="Arial" w:hAnsi="Arial"/>
                <w:sz w:val="12"/>
                <w:szCs w:val="12"/>
                <w:color w:val="auto"/>
                <w:w w:val="89"/>
              </w:rPr>
              <w:t>26% to 28%</w:t>
            </w:r>
          </w:p>
        </w:tc>
      </w:tr>
      <w:tr>
        <w:trPr>
          <w:trHeight w:val="153"/>
        </w:trPr>
        <w:tc>
          <w:tcPr>
            <w:tcW w:w="140" w:type="dxa"/>
            <w:vAlign w:val="bottom"/>
          </w:tcPr>
          <w:p>
            <w:pPr>
              <w:spacing w:after="0"/>
              <w:rPr>
                <w:sz w:val="13"/>
                <w:szCs w:val="13"/>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2620" w:type="dxa"/>
            <w:vAlign w:val="bottom"/>
            <w:shd w:val="clear" w:color="auto" w:fill="CCEEFF"/>
          </w:tcPr>
          <w:p>
            <w:pPr>
              <w:jc w:val="center"/>
              <w:ind w:right="700"/>
              <w:spacing w:after="0"/>
              <w:rPr>
                <w:sz w:val="20"/>
                <w:szCs w:val="20"/>
                <w:color w:val="auto"/>
              </w:rPr>
            </w:pPr>
            <w:r>
              <w:rPr>
                <w:rFonts w:ascii="Arial" w:cs="Arial" w:eastAsia="Arial" w:hAnsi="Arial"/>
                <w:sz w:val="12"/>
                <w:szCs w:val="12"/>
                <w:color w:val="auto"/>
                <w:w w:val="95"/>
              </w:rPr>
              <w:t>$115 million to $120 million</w:t>
            </w:r>
          </w:p>
        </w:tc>
        <w:tc>
          <w:tcPr>
            <w:tcW w:w="3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$115 million to $120 million</w:t>
            </w:r>
          </w:p>
        </w:tc>
      </w:tr>
    </w:tbl>
    <w:p>
      <w:pPr>
        <w:spacing w:after="0" w:line="87" w:lineRule="exact"/>
        <w:rPr>
          <w:sz w:val="20"/>
          <w:szCs w:val="20"/>
          <w:color w:val="auto"/>
        </w:rPr>
      </w:pPr>
    </w:p>
    <w:p>
      <w:pPr>
        <w:ind w:left="200" w:hanging="48"/>
        <w:spacing w:after="0"/>
        <w:tabs>
          <w:tab w:leader="none" w:pos="200" w:val="left"/>
        </w:tabs>
        <w:numPr>
          <w:ilvl w:val="0"/>
          <w:numId w:val="8"/>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Refer to the Reconciliation of Adjusted Comparable Stores Sales Growth to Total Comparable Store Sales Growth.</w:t>
      </w:r>
    </w:p>
    <w:p>
      <w:pPr>
        <w:ind w:left="220" w:hanging="68"/>
        <w:spacing w:after="0" w:line="206" w:lineRule="auto"/>
        <w:tabs>
          <w:tab w:leader="none" w:pos="220" w:val="left"/>
        </w:tabs>
        <w:numPr>
          <w:ilvl w:val="0"/>
          <w:numId w:val="9"/>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Assumes approximately 78 million shares and does not include 12.9 million shares attributable to the 2025 Notes and shares from stock-based compensation awards as the Company anticipates them to be anti-dilutive to earnings per share for fiscal</w:t>
      </w:r>
    </w:p>
    <w:p>
      <w:pPr>
        <w:ind w:left="260"/>
        <w:spacing w:after="0" w:line="217" w:lineRule="auto"/>
        <w:rPr>
          <w:sz w:val="20"/>
          <w:szCs w:val="20"/>
          <w:color w:val="auto"/>
        </w:rPr>
      </w:pPr>
      <w:r>
        <w:rPr>
          <w:rFonts w:ascii="Arial" w:cs="Arial" w:eastAsia="Arial" w:hAnsi="Arial"/>
          <w:sz w:val="11"/>
          <w:szCs w:val="11"/>
          <w:i w:val="1"/>
          <w:iCs w:val="1"/>
          <w:color w:val="auto"/>
        </w:rPr>
        <w:t>year 2023.</w:t>
      </w:r>
    </w:p>
    <w:p>
      <w:pPr>
        <w:ind w:left="260" w:right="160" w:hanging="108"/>
        <w:spacing w:after="0" w:line="180" w:lineRule="auto"/>
        <w:tabs>
          <w:tab w:leader="none" w:pos="215" w:val="left"/>
        </w:tabs>
        <w:numPr>
          <w:ilvl w:val="0"/>
          <w:numId w:val="1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Includes amortization of acquisition intangibles of approximately $5.3 million, which is excluded in the definition of Adjusted Operating Income and reflects the anticipated impact of the intangible asset impairment in connection with the termination of the Walmart agreements.</w:t>
      </w:r>
    </w:p>
    <w:p>
      <w:pPr>
        <w:ind w:left="200" w:hanging="48"/>
        <w:spacing w:after="0" w:line="192" w:lineRule="auto"/>
        <w:tabs>
          <w:tab w:leader="none" w:pos="200" w:val="left"/>
        </w:tabs>
        <w:numPr>
          <w:ilvl w:val="0"/>
          <w:numId w:val="11"/>
        </w:numPr>
        <w:rPr>
          <w:rFonts w:ascii="Arial" w:cs="Arial" w:eastAsia="Arial" w:hAnsi="Arial"/>
          <w:sz w:val="12"/>
          <w:szCs w:val="12"/>
          <w:i w:val="1"/>
          <w:iCs w:val="1"/>
          <w:color w:val="auto"/>
          <w:vertAlign w:val="superscript"/>
        </w:rPr>
      </w:pPr>
      <w:r>
        <w:rPr>
          <w:rFonts w:ascii="Arial" w:cs="Arial" w:eastAsia="Arial" w:hAnsi="Arial"/>
          <w:sz w:val="9"/>
          <w:szCs w:val="9"/>
          <w:i w:val="1"/>
          <w:iCs w:val="1"/>
          <w:color w:val="auto"/>
        </w:rPr>
        <w:t>Before the impact of gains or losses on change in fair value of derivatives and charges related to amortization of debt discounts and deferred financing costs.</w:t>
      </w:r>
    </w:p>
    <w:p>
      <w:pPr>
        <w:ind w:left="160"/>
        <w:spacing w:after="0"/>
        <w:rPr>
          <w:rFonts w:ascii="Arial" w:cs="Arial" w:eastAsia="Arial" w:hAnsi="Arial"/>
          <w:sz w:val="12"/>
          <w:szCs w:val="12"/>
          <w:i w:val="1"/>
          <w:iCs w:val="1"/>
          <w:color w:val="auto"/>
          <w:vertAlign w:val="superscript"/>
        </w:rPr>
      </w:pPr>
      <w:r>
        <w:rPr>
          <w:rFonts w:ascii="Arial" w:cs="Arial" w:eastAsia="Arial" w:hAnsi="Arial"/>
          <w:sz w:val="14"/>
          <w:szCs w:val="14"/>
          <w:i w:val="1"/>
          <w:iCs w:val="1"/>
          <w:color w:val="auto"/>
          <w:vertAlign w:val="superscript"/>
        </w:rPr>
        <w:t>5</w:t>
      </w:r>
      <w:r>
        <w:rPr>
          <w:rFonts w:ascii="Arial" w:cs="Arial" w:eastAsia="Arial" w:hAnsi="Arial"/>
          <w:sz w:val="11"/>
          <w:szCs w:val="11"/>
          <w:i w:val="1"/>
          <w:iCs w:val="1"/>
          <w:color w:val="auto"/>
        </w:rPr>
        <w:t xml:space="preserve"> Excluding the impact of vesting of restricted stock units and stock option exercises.</w:t>
      </w:r>
    </w:p>
    <w:p>
      <w:pPr>
        <w:spacing w:after="0" w:line="322" w:lineRule="exact"/>
        <w:rPr>
          <w:sz w:val="20"/>
          <w:szCs w:val="20"/>
          <w:color w:val="auto"/>
        </w:rPr>
      </w:pPr>
    </w:p>
    <w:p>
      <w:pPr>
        <w:jc w:val="both"/>
        <w:spacing w:after="0" w:line="272" w:lineRule="auto"/>
        <w:rPr>
          <w:sz w:val="20"/>
          <w:szCs w:val="20"/>
          <w:color w:val="auto"/>
        </w:rPr>
      </w:pPr>
      <w:r>
        <w:rPr>
          <w:rFonts w:ascii="Arial" w:cs="Arial" w:eastAsia="Arial" w:hAnsi="Arial"/>
          <w:sz w:val="11"/>
          <w:szCs w:val="11"/>
          <w:i w:val="1"/>
          <w:iCs w:val="1"/>
          <w:color w:val="auto"/>
        </w:rPr>
        <w:t>The fiscal 2023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1"/>
          <w:szCs w:val="11"/>
          <w:i w:val="1"/>
          <w:iCs w:val="1"/>
          <w:color w:val="auto"/>
        </w:rPr>
        <w:t>The fiscal 2023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2023 outlook. The Company uses these forward-looking measures internally to assess and benchmark its results and strategic plans. See “Forward-Looking Statements” below.</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Details</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The Company will host a conference call to discuss its third quarter 2023 financial results and fiscal-year 2023 guidance today, November 9, 2023, at 8:30 a.m. Eastern Time. To pre-register for the conference call and obtain a dial-in number and passcode please refer to the “Investors” section of the Company’s website at </w:t>
      </w:r>
      <w:r>
        <w:rPr>
          <w:rFonts w:ascii="Arial" w:cs="Arial" w:eastAsia="Arial" w:hAnsi="Arial"/>
          <w:sz w:val="11"/>
          <w:szCs w:val="11"/>
          <w:u w:val="single" w:color="auto"/>
          <w:color w:val="0E32E1"/>
        </w:rPr>
        <w:t>www.nationalvision.com/investors</w:t>
      </w:r>
      <w:r>
        <w:rPr>
          <w:rFonts w:ascii="Arial" w:cs="Arial" w:eastAsia="Arial" w:hAnsi="Arial"/>
          <w:sz w:val="11"/>
          <w:szCs w:val="11"/>
          <w:color w:val="auto"/>
        </w:rPr>
        <w:t xml:space="preserve">. A live audio webcast of the conference call will be available on the “Investors” section of the Company’s website at </w:t>
      </w:r>
      <w:r>
        <w:rPr>
          <w:rFonts w:ascii="Arial" w:cs="Arial" w:eastAsia="Arial" w:hAnsi="Arial"/>
          <w:sz w:val="11"/>
          <w:szCs w:val="11"/>
          <w:u w:val="single" w:color="auto"/>
          <w:color w:val="0E32E1"/>
        </w:rPr>
        <w:t>www.nationalvision.com/investors</w:t>
      </w:r>
      <w:r>
        <w:rPr>
          <w:rFonts w:ascii="Arial" w:cs="Arial" w:eastAsia="Arial" w:hAnsi="Arial"/>
          <w:sz w:val="11"/>
          <w:szCs w:val="11"/>
          <w:color w:val="auto"/>
        </w:rPr>
        <w:t>, where presentation materials will be posted prior to the conference call. A replay of the audio webcast will also be archived on the “Investors” section of the Company’s website.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703"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About National Vision Holdings, Inc.</w:t>
      </w:r>
    </w:p>
    <w:p>
      <w:pPr>
        <w:spacing w:after="0" w:line="73"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National Vision Holdings, Inc. is the second largest optical retail company in the United States (by sales) with more than 1,400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1"/>
          <w:szCs w:val="11"/>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2023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and an overall decline in the health of the economy and other factors impacting consumer spending, including inflation and uncertainty in financial markets (including as a result of recent events affecting financial institutions);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successfully navigate the termination of our Walmart partnership, including the transition period;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the COVID-19 pandemic and future resurgences, and related impacts including federal, state, and local governmental actions in response thereto; customer behavior in response to the pandemic, including the impact of such behavior on in-store traffic and sales;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including artificial intelligence;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the timing, manner and volume of repurchases of common stock pursuant to our share repurchase program), including our ability to comply with requirements to design and implement and maintain effective internal controls. Additional information about these and other factors that could cause National Vision’s results to differ materially from those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31" w:right="299" w:bottom="1440" w:gutter="0" w:footer="0" w:header="0"/>
        </w:sectPr>
      </w:pPr>
    </w:p>
    <w:bookmarkStart w:id="9" w:name="page10"/>
    <w:bookmarkEnd w:id="9"/>
    <w:p>
      <w:pPr>
        <w:jc w:val="both"/>
        <w:spacing w:after="0" w:line="247" w:lineRule="auto"/>
        <w:rPr>
          <w:sz w:val="20"/>
          <w:szCs w:val="20"/>
          <w:color w:val="auto"/>
        </w:rPr>
      </w:pPr>
      <w:r>
        <w:rPr>
          <w:rFonts w:ascii="Arial" w:cs="Arial" w:eastAsia="Arial" w:hAnsi="Arial"/>
          <w:sz w:val="12"/>
          <w:szCs w:val="12"/>
          <w:color w:val="auto"/>
        </w:rPr>
        <w:t>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46" w:lineRule="exact"/>
        <w:rPr>
          <w:sz w:val="20"/>
          <w:szCs w:val="20"/>
          <w:color w:val="auto"/>
        </w:rPr>
      </w:pPr>
    </w:p>
    <w:p>
      <w:pPr>
        <w:jc w:val="both"/>
        <w:ind w:right="20"/>
        <w:spacing w:after="0" w:line="267" w:lineRule="auto"/>
        <w:rPr>
          <w:sz w:val="20"/>
          <w:szCs w:val="20"/>
          <w:color w:val="auto"/>
        </w:rPr>
      </w:pPr>
      <w:r>
        <w:rPr>
          <w:rFonts w:ascii="Arial" w:cs="Arial" w:eastAsia="Arial" w:hAnsi="Arial"/>
          <w:sz w:val="11"/>
          <w:szCs w:val="11"/>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EBITDA: </w:t>
      </w:r>
      <w:r>
        <w:rPr>
          <w:rFonts w:ascii="Arial" w:cs="Arial" w:eastAsia="Arial" w:hAnsi="Arial"/>
          <w:sz w:val="12"/>
          <w:szCs w:val="12"/>
          <w:color w:val="auto"/>
        </w:rPr>
        <w:t>We define EBITDA as net income (loss), plus interest expense (income), net, income tax provision (benefit), and depreciation and amortization.</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b w:val="1"/>
          <w:bCs w:val="1"/>
          <w:i w:val="1"/>
          <w:iCs w:val="1"/>
          <w:color w:val="auto"/>
        </w:rPr>
        <w:t xml:space="preserve">Adjusted Operating Income: </w:t>
      </w:r>
      <w:r>
        <w:rPr>
          <w:rFonts w:ascii="Arial" w:cs="Arial" w:eastAsia="Arial" w:hAnsi="Arial"/>
          <w:sz w:val="12"/>
          <w:szCs w:val="12"/>
          <w:color w:val="auto"/>
        </w:rPr>
        <w:t>We define Adjusted Operating Income as net income (loss), plus interest expense (income), net and income tax provision (benefit), further adjusted to exclude stock-based compensation expense, loss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extinguishment of debt, asset impairment, litigation settlement, secondary offering expenses, management realignment expenses, long-term incentive plan expenses, amortization of acquisition intangibles, Enterprise Resource Planning (“ERP”) implementation expenses and certain other expenses.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Adjusted Operating Margin: </w:t>
      </w:r>
      <w:r>
        <w:rPr>
          <w:rFonts w:ascii="Arial" w:cs="Arial" w:eastAsia="Arial" w:hAnsi="Arial"/>
          <w:sz w:val="12"/>
          <w:szCs w:val="12"/>
          <w:color w:val="auto"/>
        </w:rPr>
        <w:t>We define Adjusted Operating Margin as Adjusted Operating Income as a percentage of net revenue.</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b w:val="1"/>
          <w:bCs w:val="1"/>
          <w:i w:val="1"/>
          <w:iCs w:val="1"/>
          <w:color w:val="auto"/>
        </w:rPr>
        <w:t xml:space="preserve">Adjusted EBITDA: </w:t>
      </w:r>
      <w:r>
        <w:rPr>
          <w:rFonts w:ascii="Arial" w:cs="Arial" w:eastAsia="Arial" w:hAnsi="Arial"/>
          <w:sz w:val="12"/>
          <w:szCs w:val="12"/>
          <w:color w:val="auto"/>
        </w:rPr>
        <w:t>We define Adjusted EBITDA as net income (loss), plus interest expense (income), net, income tax provision (benefit) and depreciation and amortization, further adjusted to exclude stock-based compensation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 loss on extinguishment of debt, asset impairment, litigation settlement, secondary offering expenses, management realignment expenses, long-term incentive plan expenses, ERP implementation expenses and certain other expenses.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Adjusted EBITDA Margin: </w:t>
      </w:r>
      <w:r>
        <w:rPr>
          <w:rFonts w:ascii="Arial" w:cs="Arial" w:eastAsia="Arial" w:hAnsi="Arial"/>
          <w:sz w:val="12"/>
          <w:szCs w:val="12"/>
          <w:color w:val="auto"/>
        </w:rPr>
        <w:t>We define Adjusted EBITDA Margin as Adjusted EBITDA as a percentage of net revenue.</w:t>
      </w:r>
    </w:p>
    <w:p>
      <w:pPr>
        <w:spacing w:after="0" w:line="60" w:lineRule="exact"/>
        <w:rPr>
          <w:sz w:val="20"/>
          <w:szCs w:val="20"/>
          <w:color w:val="auto"/>
        </w:rPr>
      </w:pPr>
    </w:p>
    <w:p>
      <w:pPr>
        <w:jc w:val="both"/>
        <w:spacing w:after="0" w:line="267" w:lineRule="auto"/>
        <w:rPr>
          <w:sz w:val="20"/>
          <w:szCs w:val="20"/>
          <w:color w:val="auto"/>
        </w:rPr>
      </w:pPr>
      <w:r>
        <w:rPr>
          <w:rFonts w:ascii="Arial" w:cs="Arial" w:eastAsia="Arial" w:hAnsi="Arial"/>
          <w:sz w:val="11"/>
          <w:szCs w:val="11"/>
          <w:b w:val="1"/>
          <w:bCs w:val="1"/>
          <w:i w:val="1"/>
          <w:iCs w:val="1"/>
          <w:color w:val="auto"/>
        </w:rPr>
        <w:t xml:space="preserve">Adjusted Diluted EPS: </w:t>
      </w:r>
      <w:r>
        <w:rPr>
          <w:rFonts w:ascii="Arial" w:cs="Arial" w:eastAsia="Arial" w:hAnsi="Arial"/>
          <w:sz w:val="11"/>
          <w:szCs w:val="11"/>
          <w:color w:val="auto"/>
        </w:rPr>
        <w:t>We define Adjusted Diluted EPS as diluted earnings (loss) per share, adjusted for the per share impact of stock-based compensation expense, loss on extinguishment of debt, asset impairment, litigation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(loss) per share, losses (gains) on change in fair value of derivatives, ERP implementation expenses, certain other expenses, and tax expense (benefit) from stock-based compensation, less the tax effect of these adjustments.</w:t>
      </w:r>
    </w:p>
    <w:p>
      <w:pPr>
        <w:spacing w:after="0" w:line="40"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b w:val="1"/>
          <w:bCs w:val="1"/>
          <w:i w:val="1"/>
          <w:iCs w:val="1"/>
          <w:color w:val="auto"/>
        </w:rPr>
        <w:t xml:space="preserve">Adjusted SG&amp;A: </w:t>
      </w:r>
      <w:r>
        <w:rPr>
          <w:rFonts w:ascii="Arial" w:cs="Arial" w:eastAsia="Arial" w:hAnsi="Arial"/>
          <w:sz w:val="12"/>
          <w:szCs w:val="12"/>
          <w:color w:val="auto"/>
        </w:rPr>
        <w:t>We define Adjusted SG&amp;A as SG&amp;A, adjusted to exclude stock-based compensation expense, litigation settlement, secondary offering expenses, management realignment expenses, long-term incentive plan expense,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ERP implementation expenses and certain other expenses.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Adjusted SG&amp;A Percent of Net Revenue: </w:t>
      </w:r>
      <w:r>
        <w:rPr>
          <w:rFonts w:ascii="Arial" w:cs="Arial" w:eastAsia="Arial" w:hAnsi="Arial"/>
          <w:sz w:val="12"/>
          <w:szCs w:val="12"/>
          <w:color w:val="auto"/>
        </w:rPr>
        <w:t>We define Adjusted SG&amp;A Percent of Net Revenue as Adjusted SG&amp;A as a percentage of net revenue.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635" w:right="299" w:bottom="1440" w:gutter="0" w:footer="0" w:header="0"/>
        </w:sectPr>
      </w:pPr>
    </w:p>
    <w:bookmarkStart w:id="10" w:name="page11"/>
    <w:bookmarkEnd w:id="10"/>
    <w:p>
      <w:pPr>
        <w:spacing w:after="0"/>
        <w:rPr>
          <w:sz w:val="20"/>
          <w:szCs w:val="20"/>
          <w:color w:val="auto"/>
        </w:rPr>
      </w:pPr>
      <w:r>
        <w:rPr>
          <w:rFonts w:ascii="Arial" w:cs="Arial" w:eastAsia="Arial" w:hAnsi="Arial"/>
          <w:sz w:val="10"/>
          <w:szCs w:val="10"/>
          <w:b w:val="1"/>
          <w:bCs w:val="1"/>
          <w:i w:val="1"/>
          <w:iCs w:val="1"/>
          <w:color w:val="auto"/>
        </w:rPr>
        <w:t xml:space="preserve">Adjusted Comparable Store Sales Growth: </w:t>
      </w:r>
      <w:r>
        <w:rPr>
          <w:rFonts w:ascii="Arial" w:cs="Arial" w:eastAsia="Arial" w:hAnsi="Arial"/>
          <w:sz w:val="10"/>
          <w:szCs w:val="10"/>
          <w:color w:val="auto"/>
        </w:rPr>
        <w:t>We measure Adjusted Comparable Store Sales Growth as the increase or decrease in sales recorded by the comparable store base in any reporting period, compared to sales recorded by the</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1"/>
          <w:szCs w:val="11"/>
          <w:color w:val="auto"/>
        </w:rPr>
        <w:t>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48"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(loss) or the ratio of net income (loss)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635" w:right="2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2"/>
          <w:szCs w:val="12"/>
          <w:b w:val="1"/>
          <w:bCs w:val="1"/>
          <w:color w:val="auto"/>
        </w:rPr>
        <w:t>National Vision Holdings,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Par Value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2"/>
                <w:szCs w:val="12"/>
                <w:color w:val="auto"/>
                <w:w w:val="94"/>
              </w:rPr>
              <w:t>As of</w:t>
            </w:r>
          </w:p>
        </w:tc>
        <w:tc>
          <w:tcPr>
            <w:tcW w:w="300" w:type="dxa"/>
            <w:vAlign w:val="bottom"/>
          </w:tcPr>
          <w:p>
            <w:pPr>
              <w:spacing w:after="0"/>
              <w:rPr>
                <w:sz w:val="12"/>
                <w:szCs w:val="12"/>
                <w:color w:val="auto"/>
              </w:rPr>
            </w:pPr>
          </w:p>
        </w:tc>
        <w:tc>
          <w:tcPr>
            <w:tcW w:w="1680" w:type="dxa"/>
            <w:vAlign w:val="bottom"/>
          </w:tcPr>
          <w:p>
            <w:pPr>
              <w:jc w:val="right"/>
              <w:ind w:right="800"/>
              <w:spacing w:after="0"/>
              <w:rPr>
                <w:sz w:val="20"/>
                <w:szCs w:val="20"/>
                <w:color w:val="auto"/>
              </w:rPr>
            </w:pPr>
            <w:r>
              <w:rPr>
                <w:rFonts w:ascii="Arial" w:cs="Arial" w:eastAsia="Arial" w:hAnsi="Arial"/>
                <w:sz w:val="12"/>
                <w:szCs w:val="12"/>
                <w:color w:val="auto"/>
              </w:rPr>
              <w:t>As of</w:t>
            </w:r>
          </w:p>
        </w:tc>
        <w:tc>
          <w:tcPr>
            <w:tcW w:w="0" w:type="dxa"/>
            <w:vAlign w:val="bottom"/>
          </w:tcPr>
          <w:p>
            <w:pPr>
              <w:spacing w:after="0"/>
              <w:rPr>
                <w:sz w:val="1"/>
                <w:szCs w:val="1"/>
                <w:color w:val="auto"/>
              </w:rPr>
            </w:pPr>
          </w:p>
        </w:tc>
      </w:tr>
      <w:tr>
        <w:trPr>
          <w:trHeight w:val="157"/>
        </w:trPr>
        <w:tc>
          <w:tcPr>
            <w:tcW w:w="7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September 30, 2023</w:t>
            </w:r>
          </w:p>
        </w:tc>
        <w:tc>
          <w:tcPr>
            <w:tcW w:w="300" w:type="dxa"/>
            <w:vAlign w:val="bottom"/>
          </w:tcPr>
          <w:p>
            <w:pPr>
              <w:spacing w:after="0"/>
              <w:rPr>
                <w:sz w:val="13"/>
                <w:szCs w:val="13"/>
                <w:color w:val="auto"/>
              </w:rPr>
            </w:pPr>
          </w:p>
        </w:tc>
        <w:tc>
          <w:tcPr>
            <w:tcW w:w="1680" w:type="dxa"/>
            <w:vAlign w:val="bottom"/>
          </w:tcPr>
          <w:p>
            <w:pPr>
              <w:jc w:val="right"/>
              <w:ind w:right="460"/>
              <w:spacing w:after="0"/>
              <w:rPr>
                <w:sz w:val="20"/>
                <w:szCs w:val="20"/>
                <w:color w:val="auto"/>
              </w:rPr>
            </w:pPr>
            <w:r>
              <w:rPr>
                <w:rFonts w:ascii="Arial" w:cs="Arial" w:eastAsia="Arial" w:hAnsi="Arial"/>
                <w:sz w:val="12"/>
                <w:szCs w:val="12"/>
                <w:color w:val="auto"/>
              </w:rPr>
              <w:t>December 31, 2022</w:t>
            </w:r>
          </w:p>
        </w:tc>
        <w:tc>
          <w:tcPr>
            <w:tcW w:w="0" w:type="dxa"/>
            <w:vAlign w:val="bottom"/>
          </w:tcPr>
          <w:p>
            <w:pPr>
              <w:spacing w:after="0"/>
              <w:rPr>
                <w:sz w:val="1"/>
                <w:szCs w:val="1"/>
                <w:color w:val="auto"/>
              </w:rPr>
            </w:pPr>
          </w:p>
        </w:tc>
      </w:tr>
      <w:tr>
        <w:trPr>
          <w:trHeight w:val="137"/>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265,815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229,425</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76,640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79,892</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Inventories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120,583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123,158</w:t>
            </w:r>
          </w:p>
        </w:tc>
        <w:tc>
          <w:tcPr>
            <w:tcW w:w="0" w:type="dxa"/>
            <w:vAlign w:val="bottom"/>
          </w:tcPr>
          <w:p>
            <w:pPr>
              <w:spacing w:after="0"/>
              <w:rPr>
                <w:sz w:val="1"/>
                <w:szCs w:val="1"/>
                <w:color w:val="auto"/>
              </w:rPr>
            </w:pPr>
          </w:p>
        </w:tc>
      </w:tr>
      <w:tr>
        <w:trPr>
          <w:trHeight w:val="15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41,361</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Total current assets</w:t>
            </w: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500,062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473,836</w:t>
            </w:r>
          </w:p>
        </w:tc>
        <w:tc>
          <w:tcPr>
            <w:tcW w:w="0" w:type="dxa"/>
            <w:vAlign w:val="bottom"/>
          </w:tcPr>
          <w:p>
            <w:pPr>
              <w:spacing w:after="0"/>
              <w:rPr>
                <w:sz w:val="1"/>
                <w:szCs w:val="1"/>
                <w:color w:val="auto"/>
              </w:rPr>
            </w:pPr>
          </w:p>
        </w:tc>
      </w:tr>
      <w:tr>
        <w:trPr>
          <w:trHeight w:val="144"/>
        </w:trPr>
        <w:tc>
          <w:tcPr>
            <w:tcW w:w="7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Noncurrent assets: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Property and equipment, net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358,010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359,775</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Goodwill</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717,544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777,613</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Trademarks and trade names</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240,547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240,547</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intangible assets, net</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34,669</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Right of use assets</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402,788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382,825</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3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26,669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21,981</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ind w:left="300"/>
              <w:spacing w:after="0" w:line="133" w:lineRule="exact"/>
              <w:rPr>
                <w:sz w:val="20"/>
                <w:szCs w:val="20"/>
                <w:color w:val="auto"/>
              </w:rPr>
            </w:pPr>
            <w:r>
              <w:rPr>
                <w:rFonts w:ascii="Arial" w:cs="Arial" w:eastAsia="Arial" w:hAnsi="Arial"/>
                <w:sz w:val="12"/>
                <w:szCs w:val="12"/>
                <w:color w:val="auto"/>
              </w:rPr>
              <w:t>Total noncurrent assets</w:t>
            </w: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1,766,372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1,817,410</w:t>
            </w:r>
          </w:p>
        </w:tc>
        <w:tc>
          <w:tcPr>
            <w:tcW w:w="0" w:type="dxa"/>
            <w:vAlign w:val="bottom"/>
          </w:tcPr>
          <w:p>
            <w:pPr>
              <w:spacing w:after="0"/>
              <w:rPr>
                <w:sz w:val="1"/>
                <w:szCs w:val="1"/>
                <w:color w:val="auto"/>
              </w:rPr>
            </w:pPr>
          </w:p>
        </w:tc>
      </w:tr>
      <w:tr>
        <w:trPr>
          <w:trHeight w:val="158"/>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2,266,434</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2,291,246</w:t>
            </w:r>
          </w:p>
        </w:tc>
        <w:tc>
          <w:tcPr>
            <w:tcW w:w="0" w:type="dxa"/>
            <w:vAlign w:val="bottom"/>
          </w:tcPr>
          <w:p>
            <w:pPr>
              <w:spacing w:after="0"/>
              <w:rPr>
                <w:sz w:val="1"/>
                <w:szCs w:val="1"/>
                <w:color w:val="auto"/>
              </w:rPr>
            </w:pPr>
          </w:p>
        </w:tc>
      </w:tr>
      <w:tr>
        <w:trPr>
          <w:trHeight w:val="90"/>
        </w:trPr>
        <w:tc>
          <w:tcPr>
            <w:tcW w:w="7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65,276</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Other payables and accrued expenses</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113,378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94,225</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revenue</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41,239</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64,061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62,201</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 maturities of long-term debt and finance lease obligations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4,137</w:t>
            </w:r>
          </w:p>
        </w:tc>
        <w:tc>
          <w:tcPr>
            <w:tcW w:w="0" w:type="dxa"/>
            <w:vAlign w:val="bottom"/>
          </w:tcPr>
          <w:p>
            <w:pPr>
              <w:spacing w:after="0"/>
              <w:rPr>
                <w:sz w:val="1"/>
                <w:szCs w:val="1"/>
                <w:color w:val="auto"/>
              </w:rPr>
            </w:pPr>
          </w:p>
        </w:tc>
      </w:tr>
      <w:tr>
        <w:trPr>
          <w:trHeight w:val="15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Current operating lease obligations</w:t>
            </w: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82,489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77,186</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Total current liabilities</w:t>
            </w: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373,528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344,264</w:t>
            </w:r>
          </w:p>
        </w:tc>
        <w:tc>
          <w:tcPr>
            <w:tcW w:w="0" w:type="dxa"/>
            <w:vAlign w:val="bottom"/>
          </w:tcPr>
          <w:p>
            <w:pPr>
              <w:spacing w:after="0"/>
              <w:rPr>
                <w:sz w:val="1"/>
                <w:szCs w:val="1"/>
                <w:color w:val="auto"/>
              </w:rPr>
            </w:pPr>
          </w:p>
        </w:tc>
      </w:tr>
      <w:tr>
        <w:trPr>
          <w:trHeight w:val="108"/>
        </w:trPr>
        <w:tc>
          <w:tcPr>
            <w:tcW w:w="7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Noncurrent liabilities: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Long-term debt and finance lease obligations, less current portion and debt discount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552,191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563,388</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Noncurrent operating lease obligations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374,810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358,110</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22,116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21,601</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8,900</w:t>
            </w:r>
          </w:p>
        </w:tc>
        <w:tc>
          <w:tcPr>
            <w:tcW w:w="0" w:type="dxa"/>
            <w:vAlign w:val="bottom"/>
          </w:tcPr>
          <w:p>
            <w:pPr>
              <w:spacing w:after="0"/>
              <w:rPr>
                <w:sz w:val="1"/>
                <w:szCs w:val="1"/>
                <w:color w:val="auto"/>
              </w:rPr>
            </w:pPr>
          </w:p>
        </w:tc>
      </w:tr>
      <w:tr>
        <w:trPr>
          <w:trHeight w:val="153"/>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Deferred income taxes, net</w:t>
            </w: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93,651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93,870</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Total non-current liabilities</w:t>
            </w: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1,052,554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1,045,869</w:t>
            </w:r>
          </w:p>
        </w:tc>
        <w:tc>
          <w:tcPr>
            <w:tcW w:w="0" w:type="dxa"/>
            <w:vAlign w:val="bottom"/>
          </w:tcPr>
          <w:p>
            <w:pPr>
              <w:spacing w:after="0"/>
              <w:rPr>
                <w:sz w:val="1"/>
                <w:szCs w:val="1"/>
                <w:color w:val="auto"/>
              </w:rPr>
            </w:pPr>
          </w:p>
        </w:tc>
      </w:tr>
      <w:tr>
        <w:trPr>
          <w:trHeight w:val="153"/>
        </w:trPr>
        <w:tc>
          <w:tcPr>
            <w:tcW w:w="724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240" w:type="dxa"/>
            <w:vAlign w:val="bottom"/>
          </w:tcPr>
          <w:p>
            <w:pPr>
              <w:spacing w:after="0" w:line="117" w:lineRule="exact"/>
              <w:rPr>
                <w:sz w:val="20"/>
                <w:szCs w:val="20"/>
                <w:color w:val="auto"/>
              </w:rPr>
            </w:pPr>
            <w:r>
              <w:rPr>
                <w:rFonts w:ascii="Arial" w:cs="Arial" w:eastAsia="Arial" w:hAnsi="Arial"/>
                <w:sz w:val="12"/>
                <w:szCs w:val="12"/>
                <w:color w:val="auto"/>
                <w:w w:val="92"/>
              </w:rPr>
              <w:t>Common stock, $0.01 par value; 200,000 shares authorized; 84,652 and 84,273 shares issued as of September 30, 2023 and December 31, 2022,</w:t>
            </w: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2"/>
                <w:szCs w:val="12"/>
                <w:color w:val="auto"/>
              </w:rPr>
              <w:t>respectively; 78,179 and 78,992 shares outstanding as of September 30, 2023 and December 31, 2022, respectively</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842</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Additional paid-in capital</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783,355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767,112</w:t>
            </w:r>
          </w:p>
        </w:tc>
        <w:tc>
          <w:tcPr>
            <w:tcW w:w="0" w:type="dxa"/>
            <w:vAlign w:val="bottom"/>
          </w:tcPr>
          <w:p>
            <w:pPr>
              <w:spacing w:after="0"/>
              <w:rPr>
                <w:sz w:val="1"/>
                <w:szCs w:val="1"/>
                <w:color w:val="auto"/>
              </w:rPr>
            </w:pPr>
          </w:p>
        </w:tc>
      </w:tr>
      <w:tr>
        <w:trPr>
          <w:trHeight w:val="153"/>
        </w:trPr>
        <w:tc>
          <w:tcPr>
            <w:tcW w:w="7240" w:type="dxa"/>
            <w:vAlign w:val="bottom"/>
          </w:tcPr>
          <w:p>
            <w:pPr>
              <w:ind w:left="140"/>
              <w:spacing w:after="0"/>
              <w:rPr>
                <w:sz w:val="20"/>
                <w:szCs w:val="20"/>
                <w:color w:val="auto"/>
              </w:rPr>
            </w:pPr>
            <w:r>
              <w:rPr>
                <w:rFonts w:ascii="Arial" w:cs="Arial" w:eastAsia="Arial" w:hAnsi="Arial"/>
                <w:sz w:val="12"/>
                <w:szCs w:val="12"/>
                <w:color w:val="auto"/>
              </w:rPr>
              <w:t>Accumulated other comprehensive loss</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153"/>
        </w:trPr>
        <w:tc>
          <w:tcPr>
            <w:tcW w:w="7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Retained earnings</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270,603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320,517</w:t>
            </w:r>
          </w:p>
        </w:tc>
        <w:tc>
          <w:tcPr>
            <w:tcW w:w="0" w:type="dxa"/>
            <w:vAlign w:val="bottom"/>
          </w:tcPr>
          <w:p>
            <w:pPr>
              <w:spacing w:after="0"/>
              <w:rPr>
                <w:sz w:val="1"/>
                <w:szCs w:val="1"/>
                <w:color w:val="auto"/>
              </w:rPr>
            </w:pPr>
          </w:p>
        </w:tc>
      </w:tr>
      <w:tr>
        <w:trPr>
          <w:trHeight w:val="153"/>
        </w:trPr>
        <w:tc>
          <w:tcPr>
            <w:tcW w:w="7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Treasury stock, at cost; 6,473 and 5,281 shares as of September 30, 2023 and December 31, 2022, respectively</w:t>
            </w: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(213,841)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(186,179)</w:t>
            </w:r>
          </w:p>
        </w:tc>
        <w:tc>
          <w:tcPr>
            <w:tcW w:w="0" w:type="dxa"/>
            <w:vAlign w:val="bottom"/>
          </w:tcPr>
          <w:p>
            <w:pPr>
              <w:spacing w:after="0"/>
              <w:rPr>
                <w:sz w:val="1"/>
                <w:szCs w:val="1"/>
                <w:color w:val="auto"/>
              </w:rPr>
            </w:pPr>
          </w:p>
        </w:tc>
      </w:tr>
      <w:tr>
        <w:trPr>
          <w:trHeight w:val="142"/>
        </w:trPr>
        <w:tc>
          <w:tcPr>
            <w:tcW w:w="724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Total stockholders’ equity</w:t>
            </w:r>
          </w:p>
        </w:tc>
        <w:tc>
          <w:tcPr>
            <w:tcW w:w="30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840,352</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901,113</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2,266,434</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2,291,246</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620"/>
              <w:spacing w:after="0"/>
              <w:rPr>
                <w:sz w:val="20"/>
                <w:szCs w:val="20"/>
                <w:color w:val="auto"/>
              </w:rPr>
            </w:pPr>
            <w:r>
              <w:rPr>
                <w:rFonts w:ascii="Arial" w:cs="Arial" w:eastAsia="Arial" w:hAnsi="Arial"/>
                <w:sz w:val="12"/>
                <w:szCs w:val="12"/>
                <w:color w:val="auto"/>
              </w:rPr>
              <w:t>8</w:t>
            </w: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59"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b w:val="1"/>
          <w:bCs w:val="1"/>
          <w:color w:val="auto"/>
        </w:rPr>
        <w:t>National Vision Holdings,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Earnings Per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2"/>
                <w:szCs w:val="12"/>
                <w:color w:val="auto"/>
              </w:rPr>
              <w:t>Three Months Ended</w:t>
            </w: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2"/>
                <w:szCs w:val="12"/>
                <w:color w:val="auto"/>
              </w:rPr>
              <w:t>Nine Months Ended</w:t>
            </w:r>
          </w:p>
        </w:tc>
      </w:tr>
      <w:tr>
        <w:trPr>
          <w:trHeight w:val="142"/>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color w:val="auto"/>
              </w:rPr>
              <w:t>September 30, 2023</w:t>
            </w:r>
          </w:p>
        </w:tc>
        <w:tc>
          <w:tcPr>
            <w:tcW w:w="200" w:type="dxa"/>
            <w:vAlign w:val="bottom"/>
          </w:tcPr>
          <w:p>
            <w:pPr>
              <w:spacing w:after="0"/>
              <w:rPr>
                <w:sz w:val="12"/>
                <w:szCs w:val="12"/>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color w:val="auto"/>
              </w:rPr>
              <w:t>October 1, 2022</w:t>
            </w:r>
          </w:p>
        </w:tc>
        <w:tc>
          <w:tcPr>
            <w:tcW w:w="18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Arial" w:cs="Arial" w:eastAsia="Arial" w:hAnsi="Arial"/>
                <w:sz w:val="12"/>
                <w:szCs w:val="12"/>
                <w:color w:val="auto"/>
              </w:rPr>
              <w:t>September 30, 2023</w:t>
            </w:r>
          </w:p>
        </w:tc>
        <w:tc>
          <w:tcPr>
            <w:tcW w:w="220" w:type="dxa"/>
            <w:vAlign w:val="bottom"/>
          </w:tcPr>
          <w:p>
            <w:pPr>
              <w:spacing w:after="0"/>
              <w:rPr>
                <w:sz w:val="12"/>
                <w:szCs w:val="12"/>
                <w:color w:val="auto"/>
              </w:rPr>
            </w:pPr>
          </w:p>
        </w:tc>
        <w:tc>
          <w:tcPr>
            <w:tcW w:w="1260" w:type="dxa"/>
            <w:vAlign w:val="bottom"/>
          </w:tcPr>
          <w:p>
            <w:pPr>
              <w:jc w:val="right"/>
              <w:ind w:right="280"/>
              <w:spacing w:after="0"/>
              <w:rPr>
                <w:sz w:val="20"/>
                <w:szCs w:val="20"/>
                <w:color w:val="auto"/>
              </w:rPr>
            </w:pPr>
            <w:r>
              <w:rPr>
                <w:rFonts w:ascii="Arial" w:cs="Arial" w:eastAsia="Arial" w:hAnsi="Arial"/>
                <w:sz w:val="12"/>
                <w:szCs w:val="12"/>
                <w:color w:val="auto"/>
              </w:rPr>
              <w:t>October 1, 2022</w:t>
            </w:r>
          </w:p>
        </w:tc>
      </w:tr>
      <w:tr>
        <w:trPr>
          <w:trHeight w:val="133"/>
        </w:trPr>
        <w:tc>
          <w:tcPr>
            <w:tcW w:w="52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w:t>
            </w: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Net product sales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435,556</w:t>
            </w:r>
          </w:p>
        </w:tc>
        <w:tc>
          <w:tcPr>
            <w:tcW w:w="8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410,701</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1,333,242</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1,265,554</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sales of services and plans</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96,800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88,506</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286,823</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270,919</w:t>
            </w:r>
          </w:p>
        </w:tc>
      </w:tr>
      <w:tr>
        <w:trPr>
          <w:trHeight w:val="142"/>
        </w:trPr>
        <w:tc>
          <w:tcPr>
            <w:tcW w:w="5220" w:type="dxa"/>
            <w:vAlign w:val="bottom"/>
          </w:tcPr>
          <w:p>
            <w:pPr>
              <w:ind w:left="220"/>
              <w:spacing w:after="0"/>
              <w:rPr>
                <w:sz w:val="20"/>
                <w:szCs w:val="20"/>
                <w:color w:val="auto"/>
              </w:rPr>
            </w:pPr>
            <w:r>
              <w:rPr>
                <w:rFonts w:ascii="Arial" w:cs="Arial" w:eastAsia="Arial" w:hAnsi="Arial"/>
                <w:sz w:val="12"/>
                <w:szCs w:val="12"/>
                <w:color w:val="auto"/>
              </w:rPr>
              <w:t>Total net revenue</w:t>
            </w: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532,356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499,207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1,620,065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1,536,473</w:t>
            </w: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Costs applicable to revenue (exclusive of depreciation and amortization):</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Products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167,407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160,645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508,023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488,225</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Services and plans</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84,619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72,155</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245,894</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215,179</w:t>
            </w:r>
          </w:p>
        </w:tc>
      </w:tr>
      <w:tr>
        <w:trPr>
          <w:trHeight w:val="142"/>
        </w:trPr>
        <w:tc>
          <w:tcPr>
            <w:tcW w:w="5220" w:type="dxa"/>
            <w:vAlign w:val="bottom"/>
          </w:tcPr>
          <w:p>
            <w:pPr>
              <w:ind w:left="220"/>
              <w:spacing w:after="0"/>
              <w:rPr>
                <w:sz w:val="20"/>
                <w:szCs w:val="20"/>
                <w:color w:val="auto"/>
              </w:rPr>
            </w:pPr>
            <w:r>
              <w:rPr>
                <w:rFonts w:ascii="Arial" w:cs="Arial" w:eastAsia="Arial" w:hAnsi="Arial"/>
                <w:sz w:val="12"/>
                <w:szCs w:val="12"/>
                <w:color w:val="auto"/>
              </w:rPr>
              <w:t>Total costs applicable to revenue</w:t>
            </w: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252,026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232,800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753,917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703,404</w:t>
            </w: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Selling, general and administrative expenses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249,705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225,028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743,598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681,411</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24,407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24,852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74,149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75,248</w:t>
            </w: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Asset impairment</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80,834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1,263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82,114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5,178</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expense (income), net</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w:t>
            </w:r>
          </w:p>
        </w:tc>
      </w:tr>
      <w:tr>
        <w:trPr>
          <w:trHeight w:val="142"/>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Total operating expenses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354,927</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251,048</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899,708</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762,007</w:t>
            </w:r>
          </w:p>
        </w:tc>
      </w:tr>
      <w:tr>
        <w:trPr>
          <w:trHeight w:val="142"/>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(74,597)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15,359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(33,560)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71,062</w:t>
            </w:r>
          </w:p>
        </w:tc>
      </w:tr>
      <w:tr>
        <w:trPr>
          <w:trHeight w:val="15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Interest expense (income), net</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(1,977)</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10,425</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(2,158)</w:t>
            </w:r>
          </w:p>
        </w:tc>
      </w:tr>
      <w:tr>
        <w:trPr>
          <w:trHeight w:val="142"/>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Earnings (loss) before income taxes</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(78,319)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17,336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(43,985)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73,220</w:t>
            </w:r>
          </w:p>
        </w:tc>
      </w:tr>
      <w:tr>
        <w:trPr>
          <w:trHeight w:val="153"/>
        </w:trPr>
        <w:tc>
          <w:tcPr>
            <w:tcW w:w="5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 (benefit)</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5,834</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5,929</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21,837</w:t>
            </w:r>
          </w:p>
        </w:tc>
      </w:tr>
      <w:tr>
        <w:trPr>
          <w:trHeight w:val="158"/>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(73,798)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11,502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(49,914)</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51,383</w:t>
            </w:r>
          </w:p>
        </w:tc>
      </w:tr>
      <w:tr>
        <w:trPr>
          <w:trHeight w:val="162"/>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(loss) per share:</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Basic</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(0.94)</w:t>
            </w:r>
          </w:p>
        </w:tc>
        <w:tc>
          <w:tcPr>
            <w:tcW w:w="8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0.15</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(0.64)</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0.64</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0.63</w:t>
            </w:r>
          </w:p>
        </w:tc>
      </w:tr>
      <w:tr>
        <w:trPr>
          <w:trHeight w:val="153"/>
        </w:trPr>
        <w:tc>
          <w:tcPr>
            <w:tcW w:w="5220" w:type="dxa"/>
            <w:vAlign w:val="bottom"/>
          </w:tcPr>
          <w:p>
            <w:pPr>
              <w:spacing w:after="0"/>
              <w:rPr>
                <w:sz w:val="20"/>
                <w:szCs w:val="20"/>
                <w:color w:val="auto"/>
              </w:rPr>
            </w:pPr>
            <w:r>
              <w:rPr>
                <w:rFonts w:ascii="Arial" w:cs="Arial" w:eastAsia="Arial" w:hAnsi="Arial"/>
                <w:sz w:val="12"/>
                <w:szCs w:val="12"/>
                <w:b w:val="1"/>
                <w:bCs w:val="1"/>
                <w:color w:val="auto"/>
              </w:rPr>
              <w:t>Weighted average shares outstanding:</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78,910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78,328</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80,133</w:t>
            </w: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Diluted</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78,163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79,304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78,328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93,477</w:t>
            </w:r>
          </w:p>
        </w:tc>
      </w:tr>
      <w:tr>
        <w:trPr>
          <w:trHeight w:val="180"/>
        </w:trPr>
        <w:tc>
          <w:tcPr>
            <w:tcW w:w="5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b w:val="1"/>
                <w:bCs w:val="1"/>
                <w:color w:val="auto"/>
              </w:rPr>
              <w:t>Comprehensive income (loss):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(73,798)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(49,914)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51,383</w:t>
            </w:r>
          </w:p>
        </w:tc>
      </w:tr>
      <w:tr>
        <w:trPr>
          <w:trHeight w:val="153"/>
        </w:trPr>
        <w:tc>
          <w:tcPr>
            <w:tcW w:w="5220" w:type="dxa"/>
            <w:vAlign w:val="bottom"/>
          </w:tcPr>
          <w:p>
            <w:pPr>
              <w:ind w:left="140"/>
              <w:spacing w:after="0"/>
              <w:rPr>
                <w:sz w:val="20"/>
                <w:szCs w:val="20"/>
                <w:color w:val="auto"/>
              </w:rPr>
            </w:pPr>
            <w:r>
              <w:rPr>
                <w:rFonts w:ascii="Arial" w:cs="Arial" w:eastAsia="Arial" w:hAnsi="Arial"/>
                <w:sz w:val="12"/>
                <w:szCs w:val="12"/>
                <w:color w:val="auto"/>
              </w:rPr>
              <w:t>Unrealized gain on hedge instruments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255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763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762</w:t>
            </w:r>
          </w:p>
        </w:tc>
      </w:tr>
      <w:tr>
        <w:trPr>
          <w:trHeight w:val="153"/>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Tax provision of unrealized gain on hedge instruments</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w:t>
            </w:r>
          </w:p>
        </w:tc>
      </w:tr>
      <w:tr>
        <w:trPr>
          <w:trHeight w:val="142"/>
        </w:trPr>
        <w:tc>
          <w:tcPr>
            <w:tcW w:w="5220" w:type="dxa"/>
            <w:vAlign w:val="bottom"/>
          </w:tcPr>
          <w:p>
            <w:pPr>
              <w:spacing w:after="0"/>
              <w:rPr>
                <w:sz w:val="20"/>
                <w:szCs w:val="20"/>
                <w:color w:val="auto"/>
              </w:rPr>
            </w:pPr>
            <w:r>
              <w:rPr>
                <w:rFonts w:ascii="Arial" w:cs="Arial" w:eastAsia="Arial" w:hAnsi="Arial"/>
                <w:sz w:val="12"/>
                <w:szCs w:val="12"/>
                <w:color w:val="auto"/>
              </w:rPr>
              <w:t>Comprehensive income (loss)</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(73,608)</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11,692</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(49,346)</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51,951</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0"/>
          <w:szCs w:val="10"/>
          <w:i w:val="1"/>
          <w:iCs w:val="1"/>
          <w:color w:val="auto"/>
        </w:rPr>
        <w:t>Note: Diluted EPS related to the 2025 Notes is calculated using the if-converted method. The 2025 Notes were dilutive for the nine months ended October 1, 2022. The Company added back $7.1 million in interest expense (after tax) related to the 2025 Notes and assumed conversion of the 2025 Notes at the beginning of the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559" w:right="2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t>National Vision Holdings,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2"/>
                <w:szCs w:val="12"/>
                <w:color w:val="auto"/>
              </w:rPr>
              <w:t>Nine Months Ended</w:t>
            </w:r>
          </w:p>
        </w:tc>
      </w:tr>
      <w:tr>
        <w:trPr>
          <w:trHeight w:val="142"/>
        </w:trPr>
        <w:tc>
          <w:tcPr>
            <w:tcW w:w="8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color w:val="auto"/>
              </w:rPr>
              <w:t>September 30, 2023</w:t>
            </w:r>
          </w:p>
        </w:tc>
        <w:tc>
          <w:tcPr>
            <w:tcW w:w="220" w:type="dxa"/>
            <w:vAlign w:val="bottom"/>
          </w:tcPr>
          <w:p>
            <w:pPr>
              <w:spacing w:after="0"/>
              <w:rPr>
                <w:sz w:val="12"/>
                <w:szCs w:val="12"/>
                <w:color w:val="auto"/>
              </w:rPr>
            </w:pPr>
          </w:p>
        </w:tc>
        <w:tc>
          <w:tcPr>
            <w:tcW w:w="1260" w:type="dxa"/>
            <w:vAlign w:val="bottom"/>
          </w:tcPr>
          <w:p>
            <w:pPr>
              <w:jc w:val="right"/>
              <w:ind w:right="280"/>
              <w:spacing w:after="0"/>
              <w:rPr>
                <w:sz w:val="20"/>
                <w:szCs w:val="20"/>
                <w:color w:val="auto"/>
              </w:rPr>
            </w:pPr>
            <w:r>
              <w:rPr>
                <w:rFonts w:ascii="Arial" w:cs="Arial" w:eastAsia="Arial" w:hAnsi="Arial"/>
                <w:sz w:val="12"/>
                <w:szCs w:val="12"/>
                <w:color w:val="auto"/>
              </w:rPr>
              <w:t>October 1, 2022</w:t>
            </w:r>
          </w:p>
        </w:tc>
      </w:tr>
      <w:tr>
        <w:trPr>
          <w:trHeight w:val="133"/>
        </w:trPr>
        <w:tc>
          <w:tcPr>
            <w:tcW w:w="82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r>
      <w:tr>
        <w:trPr>
          <w:trHeight w:val="153"/>
        </w:trPr>
        <w:tc>
          <w:tcPr>
            <w:tcW w:w="8280" w:type="dxa"/>
            <w:vAlign w:val="bottom"/>
          </w:tcPr>
          <w:p>
            <w:pPr>
              <w:spacing w:after="0"/>
              <w:rPr>
                <w:sz w:val="20"/>
                <w:szCs w:val="20"/>
                <w:color w:val="auto"/>
              </w:rPr>
            </w:pPr>
            <w:r>
              <w:rPr>
                <w:rFonts w:ascii="Arial" w:cs="Arial" w:eastAsia="Arial" w:hAnsi="Arial"/>
                <w:sz w:val="12"/>
                <w:szCs w:val="12"/>
                <w:color w:val="auto"/>
              </w:rPr>
              <w:t>Net income (loss)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(49,914)</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51,383</w:t>
            </w:r>
          </w:p>
        </w:tc>
      </w:tr>
      <w:tr>
        <w:trPr>
          <w:trHeight w:val="153"/>
        </w:trPr>
        <w:tc>
          <w:tcPr>
            <w:tcW w:w="82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74,149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75,248</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debt discount and deferred financing costs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2,456</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Asset impairment</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82,114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5,178</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 expense (benefit)</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4,652</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Stock-based compensation expense</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15,040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10,540</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Losses (gains) on change in fair value of derivatives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(16,724)</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Inventory adjustments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2,218</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3,531</w:t>
            </w:r>
          </w:p>
        </w:tc>
      </w:tr>
      <w:tr>
        <w:trPr>
          <w:trHeight w:val="153"/>
        </w:trPr>
        <w:tc>
          <w:tcPr>
            <w:tcW w:w="8280" w:type="dxa"/>
            <w:vAlign w:val="bottom"/>
          </w:tcPr>
          <w:p>
            <w:pPr>
              <w:spacing w:after="0"/>
              <w:rPr>
                <w:sz w:val="20"/>
                <w:szCs w:val="20"/>
                <w:color w:val="auto"/>
              </w:rPr>
            </w:pPr>
            <w:r>
              <w:rPr>
                <w:rFonts w:ascii="Arial" w:cs="Arial" w:eastAsia="Arial" w:hAnsi="Arial"/>
                <w:sz w:val="12"/>
                <w:szCs w:val="12"/>
                <w:color w:val="auto"/>
              </w:rPr>
              <w:t>Changes in operating assets and liabilities: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receivable</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(8,896)</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Inventories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(582)</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lease right of use assets and lease liabilities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Other assets</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4,797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3,070</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4,648</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Deferred and unearned revenue</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752</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20,353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(16,399)</w:t>
            </w:r>
          </w:p>
        </w:tc>
      </w:tr>
      <w:tr>
        <w:trPr>
          <w:trHeight w:val="142"/>
        </w:trPr>
        <w:tc>
          <w:tcPr>
            <w:tcW w:w="8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operating activities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153,272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121,337</w:t>
            </w:r>
          </w:p>
        </w:tc>
      </w:tr>
      <w:tr>
        <w:trPr>
          <w:trHeight w:val="133"/>
        </w:trPr>
        <w:tc>
          <w:tcPr>
            <w:tcW w:w="82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Purchase of property and equipment</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(81,965)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(86,120)</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42"/>
        </w:trPr>
        <w:tc>
          <w:tcPr>
            <w:tcW w:w="8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used for investing activities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(82,579)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(86,067)</w:t>
            </w:r>
          </w:p>
        </w:tc>
      </w:tr>
      <w:tr>
        <w:trPr>
          <w:trHeight w:val="133"/>
        </w:trPr>
        <w:tc>
          <w:tcPr>
            <w:tcW w:w="82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Repayments on long-term debt</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(1,875)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issuance of common stock</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2,515</w:t>
            </w:r>
          </w:p>
        </w:tc>
      </w:tr>
      <w:tr>
        <w:trPr>
          <w:trHeight w:val="153"/>
        </w:trPr>
        <w:tc>
          <w:tcPr>
            <w:tcW w:w="8280" w:type="dxa"/>
            <w:vAlign w:val="bottom"/>
          </w:tcPr>
          <w:p>
            <w:pPr>
              <w:ind w:left="140"/>
              <w:spacing w:after="0"/>
              <w:rPr>
                <w:sz w:val="20"/>
                <w:szCs w:val="20"/>
                <w:color w:val="auto"/>
              </w:rPr>
            </w:pPr>
            <w:r>
              <w:rPr>
                <w:rFonts w:ascii="Arial" w:cs="Arial" w:eastAsia="Arial" w:hAnsi="Arial"/>
                <w:sz w:val="12"/>
                <w:szCs w:val="12"/>
                <w:color w:val="auto"/>
              </w:rPr>
              <w:t>Purchase of treasury stock</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(27,662)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(83,676)</w:t>
            </w:r>
          </w:p>
        </w:tc>
      </w:tr>
      <w:tr>
        <w:trPr>
          <w:trHeight w:val="153"/>
        </w:trPr>
        <w:tc>
          <w:tcPr>
            <w:tcW w:w="8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Payments of debt issuance costs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Payments on finance lease obligations</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(3,459)</w:t>
            </w:r>
          </w:p>
        </w:tc>
      </w:tr>
      <w:tr>
        <w:trPr>
          <w:trHeight w:val="142"/>
        </w:trPr>
        <w:tc>
          <w:tcPr>
            <w:tcW w:w="82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for financing activities</w:t>
            </w:r>
          </w:p>
        </w:tc>
        <w:tc>
          <w:tcPr>
            <w:tcW w:w="1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(34,165)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(84,624)</w:t>
            </w:r>
          </w:p>
        </w:tc>
      </w:tr>
      <w:tr>
        <w:trPr>
          <w:trHeight w:val="142"/>
        </w:trPr>
        <w:tc>
          <w:tcPr>
            <w:tcW w:w="8280" w:type="dxa"/>
            <w:vAlign w:val="bottom"/>
          </w:tcPr>
          <w:p>
            <w:pPr>
              <w:spacing w:after="0"/>
              <w:rPr>
                <w:sz w:val="20"/>
                <w:szCs w:val="20"/>
                <w:color w:val="auto"/>
              </w:rPr>
            </w:pPr>
            <w:r>
              <w:rPr>
                <w:rFonts w:ascii="Arial" w:cs="Arial" w:eastAsia="Arial" w:hAnsi="Arial"/>
                <w:sz w:val="12"/>
                <w:szCs w:val="12"/>
                <w:color w:val="auto"/>
              </w:rPr>
              <w:t>Net change in cash, cash equivalents and restricted cash</w:t>
            </w:r>
          </w:p>
        </w:tc>
        <w:tc>
          <w:tcPr>
            <w:tcW w:w="1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36,528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(49,354)</w:t>
            </w:r>
          </w:p>
        </w:tc>
      </w:tr>
      <w:tr>
        <w:trPr>
          <w:trHeight w:val="153"/>
        </w:trPr>
        <w:tc>
          <w:tcPr>
            <w:tcW w:w="82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beginning of year</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230,624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306,876</w:t>
            </w:r>
          </w:p>
        </w:tc>
      </w:tr>
      <w:tr>
        <w:trPr>
          <w:trHeight w:val="158"/>
        </w:trPr>
        <w:tc>
          <w:tcPr>
            <w:tcW w:w="8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and restricted cash, end of period</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267,152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257,522</w:t>
            </w:r>
          </w:p>
        </w:tc>
      </w:tr>
      <w:tr>
        <w:trPr>
          <w:trHeight w:val="153"/>
        </w:trPr>
        <w:tc>
          <w:tcPr>
            <w:tcW w:w="8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8280" w:type="dxa"/>
            <w:vAlign w:val="bottom"/>
          </w:tcPr>
          <w:p>
            <w:pPr>
              <w:spacing w:after="0"/>
              <w:rPr>
                <w:sz w:val="20"/>
                <w:szCs w:val="20"/>
                <w:color w:val="auto"/>
              </w:rPr>
            </w:pPr>
            <w:r>
              <w:rPr>
                <w:rFonts w:ascii="Arial" w:cs="Arial" w:eastAsia="Arial" w:hAnsi="Arial"/>
                <w:sz w:val="12"/>
                <w:szCs w:val="12"/>
                <w:b w:val="1"/>
                <w:bCs w:val="1"/>
                <w:color w:val="auto"/>
              </w:rPr>
              <w:t>Supplemental cash flow disclosure information:</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8280" w:type="dxa"/>
            <w:vAlign w:val="bottom"/>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w:t>
            </w:r>
          </w:p>
        </w:tc>
      </w:tr>
      <w:tr>
        <w:trPr>
          <w:trHeight w:val="153"/>
        </w:trPr>
        <w:tc>
          <w:tcPr>
            <w:tcW w:w="8280" w:type="dxa"/>
            <w:vAlign w:val="bottom"/>
          </w:tcPr>
          <w:p>
            <w:pPr>
              <w:spacing w:after="0"/>
              <w:rPr>
                <w:sz w:val="20"/>
                <w:szCs w:val="20"/>
                <w:color w:val="auto"/>
              </w:rPr>
            </w:pPr>
            <w:r>
              <w:rPr>
                <w:rFonts w:ascii="Arial" w:cs="Arial" w:eastAsia="Arial" w:hAnsi="Arial"/>
                <w:sz w:val="12"/>
                <w:szCs w:val="12"/>
                <w:color w:val="auto"/>
              </w:rPr>
              <w:t>Cash paid for taxes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6,338</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6,617</w:t>
            </w:r>
          </w:p>
        </w:tc>
      </w:tr>
      <w:tr>
        <w:trPr>
          <w:trHeight w:val="153"/>
        </w:trPr>
        <w:tc>
          <w:tcPr>
            <w:tcW w:w="8280" w:type="dxa"/>
            <w:vAlign w:val="bottom"/>
            <w:shd w:val="clear" w:color="auto" w:fill="CCEEFF"/>
          </w:tcPr>
          <w:p>
            <w:pPr>
              <w:spacing w:after="0"/>
              <w:rPr>
                <w:sz w:val="20"/>
                <w:szCs w:val="20"/>
                <w:color w:val="auto"/>
              </w:rPr>
            </w:pPr>
            <w:r>
              <w:rPr>
                <w:rFonts w:ascii="Arial" w:cs="Arial" w:eastAsia="Arial" w:hAnsi="Arial"/>
                <w:sz w:val="12"/>
                <w:szCs w:val="12"/>
                <w:color w:val="auto"/>
              </w:rPr>
              <w:t>Capital expenditures accrued at the end of the period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11,167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631"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b w:val="1"/>
          <w:bCs w:val="1"/>
          <w:color w:val="auto"/>
        </w:rPr>
        <w:t>National Vision Holdings,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 of Non-GAAP to GAAP Financial Measures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Earnings Per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20" w:type="dxa"/>
            <w:vAlign w:val="bottom"/>
          </w:tcPr>
          <w:p>
            <w:pPr>
              <w:ind w:left="20"/>
              <w:spacing w:after="0"/>
              <w:rPr>
                <w:sz w:val="20"/>
                <w:szCs w:val="20"/>
                <w:color w:val="auto"/>
              </w:rPr>
            </w:pPr>
            <w:r>
              <w:rPr>
                <w:rFonts w:ascii="Arial" w:cs="Arial" w:eastAsia="Arial" w:hAnsi="Arial"/>
                <w:sz w:val="12"/>
                <w:szCs w:val="12"/>
                <w:b w:val="1"/>
                <w:bCs w:val="1"/>
                <w:color w:val="auto"/>
              </w:rPr>
              <w:t>Reconciliation of Adjusted Operating Income to Net Income (loss)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5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2"/>
                <w:szCs w:val="12"/>
                <w:color w:val="auto"/>
              </w:rPr>
              <w:t>Three Months Ended</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2"/>
                <w:szCs w:val="12"/>
                <w:color w:val="auto"/>
              </w:rPr>
              <w:t>Nine Months Ended</w:t>
            </w:r>
          </w:p>
        </w:tc>
      </w:tr>
      <w:tr>
        <w:trPr>
          <w:trHeight w:val="142"/>
        </w:trPr>
        <w:tc>
          <w:tcPr>
            <w:tcW w:w="53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14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color w:val="auto"/>
              </w:rPr>
              <w:t>September 30, 2023</w:t>
            </w:r>
          </w:p>
        </w:tc>
        <w:tc>
          <w:tcPr>
            <w:tcW w:w="20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Arial" w:cs="Arial" w:eastAsia="Arial" w:hAnsi="Arial"/>
                <w:sz w:val="12"/>
                <w:szCs w:val="12"/>
                <w:color w:val="auto"/>
              </w:rPr>
              <w:t>October 1, 2022</w:t>
            </w:r>
          </w:p>
        </w:tc>
        <w:tc>
          <w:tcPr>
            <w:tcW w:w="16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Arial" w:cs="Arial" w:eastAsia="Arial" w:hAnsi="Arial"/>
                <w:sz w:val="12"/>
                <w:szCs w:val="12"/>
                <w:color w:val="auto"/>
              </w:rPr>
              <w:t>September 30, 2023</w:t>
            </w:r>
          </w:p>
        </w:tc>
        <w:tc>
          <w:tcPr>
            <w:tcW w:w="200" w:type="dxa"/>
            <w:vAlign w:val="bottom"/>
          </w:tcPr>
          <w:p>
            <w:pPr>
              <w:spacing w:after="0"/>
              <w:rPr>
                <w:sz w:val="12"/>
                <w:szCs w:val="12"/>
                <w:color w:val="auto"/>
              </w:rPr>
            </w:pPr>
          </w:p>
        </w:tc>
        <w:tc>
          <w:tcPr>
            <w:tcW w:w="1220" w:type="dxa"/>
            <w:vAlign w:val="bottom"/>
          </w:tcPr>
          <w:p>
            <w:pPr>
              <w:jc w:val="right"/>
              <w:ind w:right="260"/>
              <w:spacing w:after="0"/>
              <w:rPr>
                <w:sz w:val="20"/>
                <w:szCs w:val="20"/>
                <w:color w:val="auto"/>
              </w:rPr>
            </w:pPr>
            <w:r>
              <w:rPr>
                <w:rFonts w:ascii="Arial" w:cs="Arial" w:eastAsia="Arial" w:hAnsi="Arial"/>
                <w:sz w:val="12"/>
                <w:szCs w:val="12"/>
                <w:color w:val="auto"/>
              </w:rPr>
              <w:t>October 1, 2022</w:t>
            </w:r>
          </w:p>
        </w:tc>
      </w:tr>
      <w:tr>
        <w:trPr>
          <w:trHeight w:val="14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(73,798)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11,502</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(49,914)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51,383</w:t>
            </w:r>
          </w:p>
        </w:tc>
      </w:tr>
      <w:tr>
        <w:trPr>
          <w:trHeight w:val="153"/>
        </w:trPr>
        <w:tc>
          <w:tcPr>
            <w:tcW w:w="5320" w:type="dxa"/>
            <w:vAlign w:val="bottom"/>
          </w:tcPr>
          <w:p>
            <w:pPr>
              <w:ind w:left="20"/>
              <w:spacing w:after="0"/>
              <w:rPr>
                <w:sz w:val="20"/>
                <w:szCs w:val="20"/>
                <w:color w:val="auto"/>
              </w:rPr>
            </w:pPr>
            <w:r>
              <w:rPr>
                <w:rFonts w:ascii="Arial" w:cs="Arial" w:eastAsia="Arial" w:hAnsi="Arial"/>
                <w:sz w:val="12"/>
                <w:szCs w:val="12"/>
                <w:color w:val="auto"/>
              </w:rPr>
              <w:t>Interest expense (income), net</w:t>
            </w:r>
          </w:p>
        </w:tc>
        <w:tc>
          <w:tcPr>
            <w:tcW w:w="14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3,722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(1,977)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10,425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(2,158)</w:t>
            </w:r>
          </w:p>
        </w:tc>
      </w:tr>
      <w:tr>
        <w:trPr>
          <w:trHeight w:val="153"/>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(4,521)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5,929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21,837</w:t>
            </w:r>
          </w:p>
        </w:tc>
      </w:tr>
      <w:tr>
        <w:trPr>
          <w:trHeight w:val="153"/>
        </w:trPr>
        <w:tc>
          <w:tcPr>
            <w:tcW w:w="5320" w:type="dxa"/>
            <w:vAlign w:val="bottom"/>
          </w:tcPr>
          <w:p>
            <w:pPr>
              <w:ind w:left="20"/>
              <w:spacing w:after="0" w:line="153" w:lineRule="exact"/>
              <w:rPr>
                <w:sz w:val="20"/>
                <w:szCs w:val="20"/>
                <w:color w:val="auto"/>
              </w:rPr>
            </w:pPr>
            <w:r>
              <w:rPr>
                <w:rFonts w:ascii="Arial" w:cs="Arial" w:eastAsia="Arial" w:hAnsi="Arial"/>
                <w:sz w:val="12"/>
                <w:szCs w:val="12"/>
                <w:color w:val="auto"/>
              </w:rPr>
              <w:t xml:space="preserve">Stock-based compensation expense </w:t>
            </w:r>
            <w:r>
              <w:rPr>
                <w:rFonts w:ascii="Arial" w:cs="Arial" w:eastAsia="Arial" w:hAnsi="Arial"/>
                <w:sz w:val="15"/>
                <w:szCs w:val="15"/>
                <w:color w:val="auto"/>
                <w:vertAlign w:val="superscript"/>
              </w:rPr>
              <w:t>(a)</w:t>
            </w:r>
          </w:p>
        </w:tc>
        <w:tc>
          <w:tcPr>
            <w:tcW w:w="14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5,252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3,168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15,040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10,540</w:t>
            </w:r>
          </w:p>
        </w:tc>
      </w:tr>
      <w:tr>
        <w:trPr>
          <w:trHeight w:val="153"/>
        </w:trPr>
        <w:tc>
          <w:tcPr>
            <w:tcW w:w="532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Asset impairment </w:t>
            </w:r>
            <w:r>
              <w:rPr>
                <w:rFonts w:ascii="Arial" w:cs="Arial" w:eastAsia="Arial" w:hAnsi="Arial"/>
                <w:sz w:val="15"/>
                <w:szCs w:val="15"/>
                <w:color w:val="auto"/>
                <w:vertAlign w:val="superscript"/>
              </w:rPr>
              <w:t>(b)</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80,834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82,114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5,178</w:t>
            </w:r>
          </w:p>
        </w:tc>
      </w:tr>
      <w:tr>
        <w:trPr>
          <w:trHeight w:val="153"/>
        </w:trPr>
        <w:tc>
          <w:tcPr>
            <w:tcW w:w="5320" w:type="dxa"/>
            <w:vAlign w:val="bottom"/>
          </w:tcPr>
          <w:p>
            <w:pPr>
              <w:ind w:left="20"/>
              <w:spacing w:after="0" w:line="153" w:lineRule="exact"/>
              <w:rPr>
                <w:sz w:val="20"/>
                <w:szCs w:val="20"/>
                <w:color w:val="auto"/>
              </w:rPr>
            </w:pPr>
            <w:r>
              <w:rPr>
                <w:rFonts w:ascii="Arial" w:cs="Arial" w:eastAsia="Arial" w:hAnsi="Arial"/>
                <w:sz w:val="12"/>
                <w:szCs w:val="12"/>
                <w:color w:val="auto"/>
              </w:rPr>
              <w:t xml:space="preserve">Amortization of acquisition intangibles </w:t>
            </w:r>
            <w:r>
              <w:rPr>
                <w:rFonts w:ascii="Arial" w:cs="Arial" w:eastAsia="Arial" w:hAnsi="Arial"/>
                <w:sz w:val="15"/>
                <w:szCs w:val="15"/>
                <w:color w:val="auto"/>
                <w:vertAlign w:val="superscript"/>
              </w:rPr>
              <w:t>(c)</w:t>
            </w:r>
          </w:p>
        </w:tc>
        <w:tc>
          <w:tcPr>
            <w:tcW w:w="14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977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1,872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4,721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5,616</w:t>
            </w:r>
          </w:p>
        </w:tc>
      </w:tr>
      <w:tr>
        <w:trPr>
          <w:trHeight w:val="153"/>
        </w:trPr>
        <w:tc>
          <w:tcPr>
            <w:tcW w:w="532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ERP implementation expenses </w:t>
            </w:r>
            <w:r>
              <w:rPr>
                <w:rFonts w:ascii="Arial" w:cs="Arial" w:eastAsia="Arial" w:hAnsi="Arial"/>
                <w:sz w:val="15"/>
                <w:szCs w:val="15"/>
                <w:color w:val="auto"/>
                <w:vertAlign w:val="superscript"/>
              </w:rPr>
              <w:t>(f)</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5320" w:type="dxa"/>
            <w:vAlign w:val="bottom"/>
            <w:tcBorders>
              <w:bottom w:val="single" w:sz="8" w:color="CCEEFF"/>
            </w:tcBorders>
          </w:tcPr>
          <w:p>
            <w:pPr>
              <w:ind w:left="20"/>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(g)</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3,068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3,540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2,151</w:t>
            </w:r>
          </w:p>
        </w:tc>
      </w:tr>
      <w:tr>
        <w:trPr>
          <w:trHeight w:val="158"/>
        </w:trPr>
        <w:tc>
          <w:tcPr>
            <w:tcW w:w="5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Adjusted Operating Income</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15,707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21,463</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72,028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94,547</w:t>
            </w:r>
          </w:p>
        </w:tc>
      </w:tr>
      <w:tr>
        <w:trPr>
          <w:trHeight w:val="90"/>
        </w:trPr>
        <w:tc>
          <w:tcPr>
            <w:tcW w:w="5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53"/>
        </w:trPr>
        <w:tc>
          <w:tcPr>
            <w:tcW w:w="532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income (loss) margin</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r>
      <w:tr>
        <w:trPr>
          <w:trHeight w:val="153"/>
        </w:trPr>
        <w:tc>
          <w:tcPr>
            <w:tcW w:w="5320" w:type="dxa"/>
            <w:vAlign w:val="bottom"/>
          </w:tcPr>
          <w:p>
            <w:pPr>
              <w:ind w:left="100"/>
              <w:spacing w:after="0"/>
              <w:rPr>
                <w:sz w:val="20"/>
                <w:szCs w:val="20"/>
                <w:color w:val="auto"/>
              </w:rPr>
            </w:pPr>
            <w:r>
              <w:rPr>
                <w:rFonts w:ascii="Arial" w:cs="Arial" w:eastAsia="Arial" w:hAnsi="Arial"/>
                <w:sz w:val="12"/>
                <w:szCs w:val="12"/>
                <w:b w:val="1"/>
                <w:bCs w:val="1"/>
                <w:color w:val="auto"/>
              </w:rPr>
              <w:t>Adjusted Operating Margin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3.0 %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4.3 %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4.4 %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6.2 %</w:t>
            </w:r>
          </w:p>
        </w:tc>
      </w:tr>
      <w:tr>
        <w:trPr>
          <w:trHeight w:val="153"/>
        </w:trPr>
        <w:tc>
          <w:tcPr>
            <w:tcW w:w="5320" w:type="dxa"/>
            <w:vAlign w:val="bottom"/>
          </w:tcPr>
          <w:p>
            <w:pPr>
              <w:ind w:left="60"/>
              <w:spacing w:after="0"/>
              <w:rPr>
                <w:sz w:val="20"/>
                <w:szCs w:val="20"/>
                <w:color w:val="auto"/>
              </w:rPr>
            </w:pPr>
            <w:r>
              <w:rPr>
                <w:rFonts w:ascii="Arial" w:cs="Arial" w:eastAsia="Arial" w:hAnsi="Arial"/>
                <w:sz w:val="12"/>
                <w:szCs w:val="12"/>
                <w:i w:val="1"/>
                <w:iCs w:val="1"/>
                <w:color w:val="auto"/>
              </w:rPr>
              <w:t>Note: Percentages reflect line item as a percentage of net revenue, adjusted for rounding.</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96"/>
        </w:trPr>
        <w:tc>
          <w:tcPr>
            <w:tcW w:w="5320" w:type="dxa"/>
            <w:vAlign w:val="bottom"/>
          </w:tcPr>
          <w:p>
            <w:pPr>
              <w:ind w:left="20"/>
              <w:spacing w:after="0"/>
              <w:rPr>
                <w:sz w:val="20"/>
                <w:szCs w:val="20"/>
                <w:color w:val="auto"/>
              </w:rPr>
            </w:pPr>
            <w:r>
              <w:rPr>
                <w:rFonts w:ascii="Arial" w:cs="Arial" w:eastAsia="Arial" w:hAnsi="Arial"/>
                <w:sz w:val="12"/>
                <w:szCs w:val="12"/>
                <w:b w:val="1"/>
                <w:bCs w:val="1"/>
                <w:color w:val="auto"/>
              </w:rPr>
              <w:t>Reconciliation of EBITDA and Adjusted EBITDA to Net Income (loss)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3"/>
        </w:trPr>
        <w:tc>
          <w:tcPr>
            <w:tcW w:w="5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2"/>
                <w:szCs w:val="12"/>
                <w:color w:val="auto"/>
              </w:rPr>
              <w:t>Three Months Ended</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2"/>
                <w:szCs w:val="12"/>
                <w:color w:val="auto"/>
              </w:rPr>
              <w:t>Nine Months Ended</w:t>
            </w:r>
          </w:p>
        </w:tc>
      </w:tr>
      <w:tr>
        <w:trPr>
          <w:trHeight w:val="142"/>
        </w:trPr>
        <w:tc>
          <w:tcPr>
            <w:tcW w:w="53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14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color w:val="auto"/>
              </w:rPr>
              <w:t>September 30, 2023</w:t>
            </w:r>
          </w:p>
        </w:tc>
        <w:tc>
          <w:tcPr>
            <w:tcW w:w="20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Arial" w:cs="Arial" w:eastAsia="Arial" w:hAnsi="Arial"/>
                <w:sz w:val="12"/>
                <w:szCs w:val="12"/>
                <w:color w:val="auto"/>
              </w:rPr>
              <w:t>October 1, 2022</w:t>
            </w:r>
          </w:p>
        </w:tc>
        <w:tc>
          <w:tcPr>
            <w:tcW w:w="16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Arial" w:cs="Arial" w:eastAsia="Arial" w:hAnsi="Arial"/>
                <w:sz w:val="12"/>
                <w:szCs w:val="12"/>
                <w:color w:val="auto"/>
              </w:rPr>
              <w:t>September 30, 2023</w:t>
            </w:r>
          </w:p>
        </w:tc>
        <w:tc>
          <w:tcPr>
            <w:tcW w:w="200" w:type="dxa"/>
            <w:vAlign w:val="bottom"/>
          </w:tcPr>
          <w:p>
            <w:pPr>
              <w:spacing w:after="0"/>
              <w:rPr>
                <w:sz w:val="12"/>
                <w:szCs w:val="12"/>
                <w:color w:val="auto"/>
              </w:rPr>
            </w:pPr>
          </w:p>
        </w:tc>
        <w:tc>
          <w:tcPr>
            <w:tcW w:w="1220" w:type="dxa"/>
            <w:vAlign w:val="bottom"/>
          </w:tcPr>
          <w:p>
            <w:pPr>
              <w:jc w:val="right"/>
              <w:ind w:right="260"/>
              <w:spacing w:after="0"/>
              <w:rPr>
                <w:sz w:val="20"/>
                <w:szCs w:val="20"/>
                <w:color w:val="auto"/>
              </w:rPr>
            </w:pPr>
            <w:r>
              <w:rPr>
                <w:rFonts w:ascii="Arial" w:cs="Arial" w:eastAsia="Arial" w:hAnsi="Arial"/>
                <w:sz w:val="12"/>
                <w:szCs w:val="12"/>
                <w:color w:val="auto"/>
              </w:rPr>
              <w:t>October 1, 2022</w:t>
            </w:r>
          </w:p>
        </w:tc>
      </w:tr>
      <w:tr>
        <w:trPr>
          <w:trHeight w:val="14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(73,798)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11,502</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(49,914)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51,383</w:t>
            </w:r>
          </w:p>
        </w:tc>
      </w:tr>
      <w:tr>
        <w:trPr>
          <w:trHeight w:val="153"/>
        </w:trPr>
        <w:tc>
          <w:tcPr>
            <w:tcW w:w="5320" w:type="dxa"/>
            <w:vAlign w:val="bottom"/>
          </w:tcPr>
          <w:p>
            <w:pPr>
              <w:ind w:left="20"/>
              <w:spacing w:after="0"/>
              <w:rPr>
                <w:sz w:val="20"/>
                <w:szCs w:val="20"/>
                <w:color w:val="auto"/>
              </w:rPr>
            </w:pPr>
            <w:r>
              <w:rPr>
                <w:rFonts w:ascii="Arial" w:cs="Arial" w:eastAsia="Arial" w:hAnsi="Arial"/>
                <w:sz w:val="12"/>
                <w:szCs w:val="12"/>
                <w:color w:val="auto"/>
              </w:rPr>
              <w:t>Interest expense (income), net</w:t>
            </w:r>
          </w:p>
        </w:tc>
        <w:tc>
          <w:tcPr>
            <w:tcW w:w="14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3,722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(1,977)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10,425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(2,158)</w:t>
            </w:r>
          </w:p>
        </w:tc>
      </w:tr>
      <w:tr>
        <w:trPr>
          <w:trHeight w:val="153"/>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(4,521)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5,929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21,837</w:t>
            </w:r>
          </w:p>
        </w:tc>
      </w:tr>
      <w:tr>
        <w:trPr>
          <w:trHeight w:val="15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Depreciation and amortization</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24,407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24,852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74,149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75,248</w:t>
            </w:r>
          </w:p>
        </w:tc>
      </w:tr>
      <w:tr>
        <w:trPr>
          <w:trHeight w:val="142"/>
        </w:trPr>
        <w:tc>
          <w:tcPr>
            <w:tcW w:w="5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EBITDA</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(50,190)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40,211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40,589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146,310</w:t>
            </w:r>
          </w:p>
        </w:tc>
      </w:tr>
      <w:tr>
        <w:trPr>
          <w:trHeight w:val="108"/>
        </w:trPr>
        <w:tc>
          <w:tcPr>
            <w:tcW w:w="5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53"/>
        </w:trPr>
        <w:tc>
          <w:tcPr>
            <w:tcW w:w="532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Stock-based compensation expense </w:t>
            </w:r>
            <w:r>
              <w:rPr>
                <w:rFonts w:ascii="Arial" w:cs="Arial" w:eastAsia="Arial" w:hAnsi="Arial"/>
                <w:sz w:val="15"/>
                <w:szCs w:val="15"/>
                <w:color w:val="auto"/>
                <w:vertAlign w:val="superscript"/>
              </w:rPr>
              <w:t>(a)</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5,252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15,040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10,540</w:t>
            </w:r>
          </w:p>
        </w:tc>
      </w:tr>
      <w:tr>
        <w:trPr>
          <w:trHeight w:val="153"/>
        </w:trPr>
        <w:tc>
          <w:tcPr>
            <w:tcW w:w="5320" w:type="dxa"/>
            <w:vAlign w:val="bottom"/>
          </w:tcPr>
          <w:p>
            <w:pPr>
              <w:ind w:left="20"/>
              <w:spacing w:after="0" w:line="153" w:lineRule="exact"/>
              <w:rPr>
                <w:sz w:val="20"/>
                <w:szCs w:val="20"/>
                <w:color w:val="auto"/>
              </w:rPr>
            </w:pPr>
            <w:r>
              <w:rPr>
                <w:rFonts w:ascii="Arial" w:cs="Arial" w:eastAsia="Arial" w:hAnsi="Arial"/>
                <w:sz w:val="12"/>
                <w:szCs w:val="12"/>
                <w:color w:val="auto"/>
              </w:rPr>
              <w:t xml:space="preserve">Asset impairment </w:t>
            </w:r>
            <w:r>
              <w:rPr>
                <w:rFonts w:ascii="Arial" w:cs="Arial" w:eastAsia="Arial" w:hAnsi="Arial"/>
                <w:sz w:val="15"/>
                <w:szCs w:val="15"/>
                <w:color w:val="auto"/>
                <w:vertAlign w:val="superscript"/>
              </w:rPr>
              <w:t>(b)</w:t>
            </w:r>
          </w:p>
        </w:tc>
        <w:tc>
          <w:tcPr>
            <w:tcW w:w="14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80,834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1,263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82,114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5,178</w:t>
            </w:r>
          </w:p>
        </w:tc>
      </w:tr>
      <w:tr>
        <w:trPr>
          <w:trHeight w:val="153"/>
        </w:trPr>
        <w:tc>
          <w:tcPr>
            <w:tcW w:w="532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ERP implementation expenses </w:t>
            </w:r>
            <w:r>
              <w:rPr>
                <w:rFonts w:ascii="Arial" w:cs="Arial" w:eastAsia="Arial" w:hAnsi="Arial"/>
                <w:sz w:val="15"/>
                <w:szCs w:val="15"/>
                <w:color w:val="auto"/>
                <w:vertAlign w:val="superscript"/>
              </w:rPr>
              <w:t>(f)</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5320" w:type="dxa"/>
            <w:vAlign w:val="bottom"/>
            <w:tcBorders>
              <w:bottom w:val="single" w:sz="8" w:color="CCEEFF"/>
            </w:tcBorders>
          </w:tcPr>
          <w:p>
            <w:pPr>
              <w:ind w:left="20"/>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(g)</w:t>
            </w: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3,068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3,540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2,151</w:t>
            </w:r>
          </w:p>
        </w:tc>
      </w:tr>
      <w:tr>
        <w:trPr>
          <w:trHeight w:val="158"/>
        </w:trPr>
        <w:tc>
          <w:tcPr>
            <w:tcW w:w="5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b w:val="1"/>
                <w:bCs w:val="1"/>
                <w:color w:val="auto"/>
              </w:rPr>
              <w:t>Adjusted EBITDA</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39,137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44,443</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141,456</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164,179</w:t>
            </w:r>
          </w:p>
        </w:tc>
      </w:tr>
      <w:tr>
        <w:trPr>
          <w:trHeight w:val="90"/>
        </w:trPr>
        <w:tc>
          <w:tcPr>
            <w:tcW w:w="5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53"/>
        </w:trPr>
        <w:tc>
          <w:tcPr>
            <w:tcW w:w="532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income (loss) margin</w:t>
            </w: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3.3 %</w:t>
            </w:r>
          </w:p>
        </w:tc>
      </w:tr>
      <w:tr>
        <w:trPr>
          <w:trHeight w:val="153"/>
        </w:trPr>
        <w:tc>
          <w:tcPr>
            <w:tcW w:w="5320" w:type="dxa"/>
            <w:vAlign w:val="bottom"/>
          </w:tcPr>
          <w:p>
            <w:pPr>
              <w:ind w:left="100"/>
              <w:spacing w:after="0"/>
              <w:rPr>
                <w:sz w:val="20"/>
                <w:szCs w:val="20"/>
                <w:color w:val="auto"/>
              </w:rPr>
            </w:pPr>
            <w:r>
              <w:rPr>
                <w:rFonts w:ascii="Arial" w:cs="Arial" w:eastAsia="Arial" w:hAnsi="Arial"/>
                <w:sz w:val="12"/>
                <w:szCs w:val="12"/>
                <w:b w:val="1"/>
                <w:bCs w:val="1"/>
                <w:color w:val="auto"/>
              </w:rPr>
              <w:t>Adjusted EBITDA Margin</w:t>
            </w: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8.9 %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8.7 %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10.7 %</w:t>
            </w:r>
          </w:p>
        </w:tc>
      </w:tr>
      <w:tr>
        <w:trPr>
          <w:trHeight w:val="153"/>
        </w:trPr>
        <w:tc>
          <w:tcPr>
            <w:tcW w:w="5320" w:type="dxa"/>
            <w:vAlign w:val="bottom"/>
          </w:tcPr>
          <w:p>
            <w:pPr>
              <w:ind w:left="20"/>
              <w:spacing w:after="0"/>
              <w:rPr>
                <w:sz w:val="20"/>
                <w:szCs w:val="20"/>
                <w:color w:val="auto"/>
              </w:rPr>
            </w:pPr>
            <w:r>
              <w:rPr>
                <w:rFonts w:ascii="Arial" w:cs="Arial" w:eastAsia="Arial" w:hAnsi="Arial"/>
                <w:sz w:val="12"/>
                <w:szCs w:val="12"/>
                <w:i w:val="1"/>
                <w:iCs w:val="1"/>
                <w:color w:val="auto"/>
              </w:rPr>
              <w:t>Note: Percentages reflect line item as a percentage of net revenue, adjusted for rounding.</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891"/>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00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80"/>
          </w:cols>
          <w:pgMar w:left="300" w:top="640" w:right="3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60" w:type="dxa"/>
            <w:vAlign w:val="bottom"/>
          </w:tcPr>
          <w:p>
            <w:pPr>
              <w:spacing w:after="0"/>
              <w:rPr>
                <w:sz w:val="20"/>
                <w:szCs w:val="20"/>
                <w:color w:val="auto"/>
              </w:rPr>
            </w:pPr>
            <w:r>
              <w:rPr>
                <w:rFonts w:ascii="Arial" w:cs="Arial" w:eastAsia="Arial" w:hAnsi="Arial"/>
                <w:sz w:val="12"/>
                <w:szCs w:val="12"/>
                <w:b w:val="1"/>
                <w:bCs w:val="1"/>
                <w:color w:val="auto"/>
              </w:rPr>
              <w:t>Reconciliation of Adjusted Diluted EPS to Diluted EPS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2"/>
                <w:szCs w:val="12"/>
                <w:color w:val="auto"/>
              </w:rPr>
              <w:t>Three Months Ended</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color w:val="auto"/>
                <w:w w:val="91"/>
              </w:rPr>
              <w:t>Nine Months Ended</w:t>
            </w:r>
          </w:p>
        </w:tc>
      </w:tr>
      <w:tr>
        <w:trPr>
          <w:trHeight w:val="14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Shares in thousands, except per share amounts</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color w:val="auto"/>
              </w:rPr>
              <w:t>September 30, 2023</w:t>
            </w: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October 1, 2022</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w w:val="99"/>
              </w:rPr>
              <w:t>September 30, 2023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October 1, 2022</w:t>
            </w:r>
          </w:p>
        </w:tc>
      </w:tr>
      <w:tr>
        <w:trPr>
          <w:trHeight w:val="142"/>
        </w:trPr>
        <w:tc>
          <w:tcPr>
            <w:tcW w:w="5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EPS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9"/>
              </w:rPr>
              <w:t>(0.94)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5"/>
              </w:rPr>
              <w:t>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0.63</w:t>
            </w:r>
          </w:p>
        </w:tc>
      </w:tr>
      <w:tr>
        <w:trPr>
          <w:trHeight w:val="153"/>
        </w:trPr>
        <w:tc>
          <w:tcPr>
            <w:tcW w:w="5260" w:type="dxa"/>
            <w:vAlign w:val="bottom"/>
          </w:tcPr>
          <w:p>
            <w:pPr>
              <w:spacing w:after="0" w:line="153" w:lineRule="exact"/>
              <w:rPr>
                <w:sz w:val="20"/>
                <w:szCs w:val="20"/>
                <w:color w:val="auto"/>
              </w:rPr>
            </w:pPr>
            <w:r>
              <w:rPr>
                <w:rFonts w:ascii="Arial" w:cs="Arial" w:eastAsia="Arial" w:hAnsi="Arial"/>
                <w:sz w:val="12"/>
                <w:szCs w:val="12"/>
                <w:color w:val="auto"/>
              </w:rPr>
              <w:t xml:space="preserve">Stock-based compensation expense </w:t>
            </w:r>
            <w:r>
              <w:rPr>
                <w:rFonts w:ascii="Arial" w:cs="Arial" w:eastAsia="Arial" w:hAnsi="Arial"/>
                <w:sz w:val="15"/>
                <w:szCs w:val="15"/>
                <w:color w:val="auto"/>
                <w:vertAlign w:val="superscript"/>
              </w:rPr>
              <w:t>(a)</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2"/>
                <w:szCs w:val="12"/>
                <w:color w:val="auto"/>
                <w:w w:val="85"/>
              </w:rPr>
              <w:t>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0.11</w:t>
            </w:r>
          </w:p>
        </w:tc>
      </w:tr>
      <w:tr>
        <w:trPr>
          <w:trHeight w:val="153"/>
        </w:trPr>
        <w:tc>
          <w:tcPr>
            <w:tcW w:w="52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Asset impairment </w:t>
            </w:r>
            <w:r>
              <w:rPr>
                <w:rFonts w:ascii="Arial" w:cs="Arial" w:eastAsia="Arial" w:hAnsi="Arial"/>
                <w:sz w:val="15"/>
                <w:szCs w:val="15"/>
                <w:color w:val="auto"/>
                <w:vertAlign w:val="superscript"/>
              </w:rPr>
              <w:t>(b)</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5"/>
              </w:rPr>
              <w:t>0.02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0.06</w:t>
            </w:r>
          </w:p>
        </w:tc>
      </w:tr>
      <w:tr>
        <w:trPr>
          <w:trHeight w:val="153"/>
        </w:trPr>
        <w:tc>
          <w:tcPr>
            <w:tcW w:w="5260" w:type="dxa"/>
            <w:vAlign w:val="bottom"/>
          </w:tcPr>
          <w:p>
            <w:pPr>
              <w:spacing w:after="0" w:line="153" w:lineRule="exact"/>
              <w:rPr>
                <w:sz w:val="20"/>
                <w:szCs w:val="20"/>
                <w:color w:val="auto"/>
              </w:rPr>
            </w:pPr>
            <w:r>
              <w:rPr>
                <w:rFonts w:ascii="Arial" w:cs="Arial" w:eastAsia="Arial" w:hAnsi="Arial"/>
                <w:sz w:val="12"/>
                <w:szCs w:val="12"/>
                <w:color w:val="auto"/>
              </w:rPr>
              <w:t xml:space="preserve">Amortization of acquisition intangibles </w:t>
            </w:r>
            <w:r>
              <w:rPr>
                <w:rFonts w:ascii="Arial" w:cs="Arial" w:eastAsia="Arial" w:hAnsi="Arial"/>
                <w:sz w:val="15"/>
                <w:szCs w:val="15"/>
                <w:color w:val="auto"/>
                <w:vertAlign w:val="superscript"/>
              </w:rPr>
              <w:t>(c)</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2"/>
                <w:szCs w:val="12"/>
                <w:color w:val="auto"/>
                <w:w w:val="85"/>
              </w:rPr>
              <w:t>0.02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0.06</w:t>
            </w:r>
          </w:p>
        </w:tc>
      </w:tr>
      <w:tr>
        <w:trPr>
          <w:trHeight w:val="153"/>
        </w:trPr>
        <w:tc>
          <w:tcPr>
            <w:tcW w:w="52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Amortization of debt discount and deferred financing costs </w:t>
            </w:r>
            <w:r>
              <w:rPr>
                <w:rFonts w:ascii="Arial" w:cs="Arial" w:eastAsia="Arial" w:hAnsi="Arial"/>
                <w:sz w:val="15"/>
                <w:szCs w:val="15"/>
                <w:color w:val="auto"/>
                <w:vertAlign w:val="superscript"/>
              </w:rPr>
              <w:t>(d)</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5"/>
              </w:rPr>
              <w:t>0.01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5260" w:type="dxa"/>
            <w:vAlign w:val="bottom"/>
          </w:tcPr>
          <w:p>
            <w:pPr>
              <w:spacing w:after="0" w:line="153" w:lineRule="exact"/>
              <w:rPr>
                <w:sz w:val="20"/>
                <w:szCs w:val="20"/>
                <w:color w:val="auto"/>
              </w:rPr>
            </w:pPr>
            <w:r>
              <w:rPr>
                <w:rFonts w:ascii="Arial" w:cs="Arial" w:eastAsia="Arial" w:hAnsi="Arial"/>
                <w:sz w:val="12"/>
                <w:szCs w:val="12"/>
                <w:color w:val="auto"/>
              </w:rPr>
              <w:t xml:space="preserve">Losses (gains) on change in fair value of derivatives </w:t>
            </w:r>
            <w:r>
              <w:rPr>
                <w:rFonts w:ascii="Arial" w:cs="Arial" w:eastAsia="Arial" w:hAnsi="Arial"/>
                <w:sz w:val="15"/>
                <w:szCs w:val="15"/>
                <w:color w:val="auto"/>
                <w:vertAlign w:val="superscript"/>
              </w:rPr>
              <w:t>(e)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2"/>
                <w:szCs w:val="12"/>
                <w:color w:val="auto"/>
              </w:rPr>
              <w:t>(0.08)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(0.18)</w:t>
            </w:r>
          </w:p>
        </w:tc>
      </w:tr>
      <w:tr>
        <w:trPr>
          <w:trHeight w:val="153"/>
        </w:trPr>
        <w:tc>
          <w:tcPr>
            <w:tcW w:w="52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ERP implementation expenses </w:t>
            </w:r>
            <w:r>
              <w:rPr>
                <w:rFonts w:ascii="Arial" w:cs="Arial" w:eastAsia="Arial" w:hAnsi="Arial"/>
                <w:sz w:val="15"/>
                <w:szCs w:val="15"/>
                <w:color w:val="auto"/>
                <w:vertAlign w:val="superscript"/>
              </w:rPr>
              <w:t>(f)</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260" w:type="dxa"/>
            <w:vAlign w:val="bottom"/>
          </w:tcPr>
          <w:p>
            <w:pPr>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(j)</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2"/>
                <w:szCs w:val="12"/>
                <w:color w:val="auto"/>
              </w:rPr>
              <w:t>(0.00)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2"/>
                <w:szCs w:val="12"/>
                <w:color w:val="auto"/>
              </w:rPr>
              <w:t>0.05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0.02</w:t>
            </w:r>
          </w:p>
        </w:tc>
      </w:tr>
      <w:tr>
        <w:trPr>
          <w:trHeight w:val="153"/>
        </w:trPr>
        <w:tc>
          <w:tcPr>
            <w:tcW w:w="52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Tax expense (benefit) from stock-based compensation </w:t>
            </w:r>
            <w:r>
              <w:rPr>
                <w:rFonts w:ascii="Arial" w:cs="Arial" w:eastAsia="Arial" w:hAnsi="Arial"/>
                <w:sz w:val="15"/>
                <w:szCs w:val="15"/>
                <w:color w:val="auto"/>
                <w:vertAlign w:val="superscript"/>
              </w:rPr>
              <w:t>(h)</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w:t>
            </w:r>
          </w:p>
        </w:tc>
      </w:tr>
      <w:tr>
        <w:trPr>
          <w:trHeight w:val="153"/>
        </w:trPr>
        <w:tc>
          <w:tcPr>
            <w:tcW w:w="52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Tax effect of total adjustments </w:t>
            </w:r>
            <w:r>
              <w:rPr>
                <w:rFonts w:ascii="Arial" w:cs="Arial" w:eastAsia="Arial" w:hAnsi="Arial"/>
                <w:sz w:val="15"/>
                <w:szCs w:val="15"/>
                <w:color w:val="auto"/>
                <w:vertAlign w:val="superscript"/>
              </w:rPr>
              <w:t>(i)</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w w:val="89"/>
              </w:rPr>
              <w:t>(0.11)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(0.00)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(0.17)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(0.02)</w:t>
            </w:r>
          </w:p>
        </w:tc>
      </w:tr>
      <w:tr>
        <w:trPr>
          <w:trHeight w:val="162"/>
        </w:trPr>
        <w:tc>
          <w:tcPr>
            <w:tcW w:w="526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Adjusted Diluted EPS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5"/>
              </w:rPr>
              <w:t>0.15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0.69</w:t>
            </w:r>
          </w:p>
        </w:tc>
      </w:tr>
      <w:tr>
        <w:trPr>
          <w:trHeight w:val="311"/>
        </w:trPr>
        <w:tc>
          <w:tcPr>
            <w:tcW w:w="526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Weighted average diluted shares outstanding</w:t>
            </w: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2"/>
                <w:szCs w:val="12"/>
                <w:color w:val="auto"/>
              </w:rPr>
              <w:t>78,163</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2"/>
                <w:szCs w:val="12"/>
                <w:color w:val="auto"/>
              </w:rPr>
              <w:t>79,304</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78,328</w:t>
            </w: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93,477</w:t>
            </w:r>
          </w:p>
        </w:tc>
      </w:tr>
      <w:tr>
        <w:trPr>
          <w:trHeight w:val="153"/>
        </w:trPr>
        <w:tc>
          <w:tcPr>
            <w:tcW w:w="5260" w:type="dxa"/>
            <w:vAlign w:val="bottom"/>
          </w:tcPr>
          <w:p>
            <w:pPr>
              <w:ind w:left="20"/>
              <w:spacing w:after="0"/>
              <w:rPr>
                <w:sz w:val="20"/>
                <w:szCs w:val="20"/>
                <w:color w:val="auto"/>
              </w:rPr>
            </w:pPr>
            <w:r>
              <w:rPr>
                <w:rFonts w:ascii="Arial" w:cs="Arial" w:eastAsia="Arial" w:hAnsi="Arial"/>
                <w:sz w:val="12"/>
                <w:szCs w:val="12"/>
                <w:i w:val="1"/>
                <w:iCs w:val="1"/>
                <w:color w:val="auto"/>
              </w:rPr>
              <w:t>Note: Some of the totals in the table above do not foot due to rounding differences.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96"/>
        </w:trPr>
        <w:tc>
          <w:tcPr>
            <w:tcW w:w="5260" w:type="dxa"/>
            <w:vAlign w:val="bottom"/>
          </w:tcPr>
          <w:p>
            <w:pPr>
              <w:spacing w:after="0"/>
              <w:rPr>
                <w:sz w:val="20"/>
                <w:szCs w:val="20"/>
                <w:color w:val="auto"/>
              </w:rPr>
            </w:pPr>
            <w:r>
              <w:rPr>
                <w:rFonts w:ascii="Arial" w:cs="Arial" w:eastAsia="Arial" w:hAnsi="Arial"/>
                <w:sz w:val="12"/>
                <w:szCs w:val="12"/>
                <w:b w:val="1"/>
                <w:bCs w:val="1"/>
                <w:color w:val="auto"/>
              </w:rPr>
              <w:t>Reconciliation of Adjusted SG&amp;A and Adjusted SG&amp;A Percent of Net Revenue to SG&amp;A</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53"/>
        </w:trPr>
        <w:tc>
          <w:tcPr>
            <w:tcW w:w="5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2"/>
                <w:szCs w:val="12"/>
                <w:color w:val="auto"/>
              </w:rPr>
              <w:t>Three Months Ended</w:t>
            </w: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2"/>
                <w:szCs w:val="12"/>
                <w:color w:val="auto"/>
              </w:rPr>
              <w:t>Nine Months Ended</w:t>
            </w:r>
          </w:p>
        </w:tc>
      </w:tr>
      <w:tr>
        <w:trPr>
          <w:trHeight w:val="142"/>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September 30, 2023</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90"/>
              </w:rPr>
              <w:t>October 1, 2022</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8"/>
              </w:rPr>
              <w:t>September 30, 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97"/>
              </w:rPr>
              <w:t>October 1, 2022</w:t>
            </w:r>
          </w:p>
        </w:tc>
      </w:tr>
      <w:tr>
        <w:trPr>
          <w:trHeight w:val="142"/>
        </w:trPr>
        <w:tc>
          <w:tcPr>
            <w:tcW w:w="5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SG&amp;A</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249,705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225,028</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743,598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681,411</w:t>
            </w:r>
          </w:p>
        </w:tc>
      </w:tr>
      <w:tr>
        <w:trPr>
          <w:trHeight w:val="153"/>
        </w:trPr>
        <w:tc>
          <w:tcPr>
            <w:tcW w:w="5260" w:type="dxa"/>
            <w:vAlign w:val="bottom"/>
          </w:tcPr>
          <w:p>
            <w:pPr>
              <w:spacing w:after="0" w:line="153" w:lineRule="exact"/>
              <w:rPr>
                <w:sz w:val="20"/>
                <w:szCs w:val="20"/>
                <w:color w:val="auto"/>
              </w:rPr>
            </w:pPr>
            <w:r>
              <w:rPr>
                <w:rFonts w:ascii="Arial" w:cs="Arial" w:eastAsia="Arial" w:hAnsi="Arial"/>
                <w:sz w:val="12"/>
                <w:szCs w:val="12"/>
                <w:color w:val="auto"/>
              </w:rPr>
              <w:t xml:space="preserve">Stock compensation expense </w:t>
            </w:r>
            <w:r>
              <w:rPr>
                <w:rFonts w:ascii="Arial" w:cs="Arial" w:eastAsia="Arial" w:hAnsi="Arial"/>
                <w:sz w:val="15"/>
                <w:szCs w:val="15"/>
                <w:color w:val="auto"/>
                <w:vertAlign w:val="superscript"/>
              </w:rPr>
              <w:t>(a)</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5,252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3,168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15,040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10,540</w:t>
            </w:r>
          </w:p>
        </w:tc>
      </w:tr>
      <w:tr>
        <w:trPr>
          <w:trHeight w:val="153"/>
        </w:trPr>
        <w:tc>
          <w:tcPr>
            <w:tcW w:w="52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ERP implementation expenses </w:t>
            </w:r>
            <w:r>
              <w:rPr>
                <w:rFonts w:ascii="Arial" w:cs="Arial" w:eastAsia="Arial" w:hAnsi="Arial"/>
                <w:sz w:val="15"/>
                <w:szCs w:val="15"/>
                <w:color w:val="auto"/>
                <w:vertAlign w:val="superscript"/>
              </w:rPr>
              <w:t>(f)</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52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(k)</w:t>
            </w: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2,802</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3,278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1,896</w:t>
            </w:r>
          </w:p>
        </w:tc>
      </w:tr>
      <w:tr>
        <w:trPr>
          <w:trHeight w:val="158"/>
        </w:trPr>
        <w:tc>
          <w:tcPr>
            <w:tcW w:w="526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Adjusted SG&amp;A</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241,478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222,059</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725,107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668,975</w:t>
            </w:r>
          </w:p>
        </w:tc>
      </w:tr>
      <w:tr>
        <w:trPr>
          <w:trHeight w:val="90"/>
        </w:trPr>
        <w:tc>
          <w:tcPr>
            <w:tcW w:w="5260" w:type="dxa"/>
            <w:vAlign w:val="bottom"/>
            <w:tcBorders>
              <w:top w:val="single" w:sz="8" w:color="CCEEFF"/>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r>
      <w:tr>
        <w:trPr>
          <w:trHeight w:val="153"/>
        </w:trPr>
        <w:tc>
          <w:tcPr>
            <w:tcW w:w="526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SG&amp;A Percent of Net Revenue</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46.9 %</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45.1 %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44.3 %</w:t>
            </w:r>
          </w:p>
        </w:tc>
      </w:tr>
      <w:tr>
        <w:trPr>
          <w:trHeight w:val="153"/>
        </w:trPr>
        <w:tc>
          <w:tcPr>
            <w:tcW w:w="5260" w:type="dxa"/>
            <w:vAlign w:val="bottom"/>
          </w:tcPr>
          <w:p>
            <w:pPr>
              <w:ind w:left="80"/>
              <w:spacing w:after="0"/>
              <w:rPr>
                <w:sz w:val="20"/>
                <w:szCs w:val="20"/>
                <w:color w:val="auto"/>
              </w:rPr>
            </w:pPr>
            <w:r>
              <w:rPr>
                <w:rFonts w:ascii="Arial" w:cs="Arial" w:eastAsia="Arial" w:hAnsi="Arial"/>
                <w:sz w:val="12"/>
                <w:szCs w:val="12"/>
                <w:b w:val="1"/>
                <w:bCs w:val="1"/>
                <w:color w:val="auto"/>
              </w:rPr>
              <w:t>Adjusted SG&amp;A Percent of Net Revenue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45.4 %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44.5 %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44.8 %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43.5 %</w:t>
            </w:r>
          </w:p>
        </w:tc>
      </w:tr>
      <w:tr>
        <w:trPr>
          <w:trHeight w:val="153"/>
        </w:trPr>
        <w:tc>
          <w:tcPr>
            <w:tcW w:w="5260" w:type="dxa"/>
            <w:vAlign w:val="bottom"/>
          </w:tcPr>
          <w:p>
            <w:pPr>
              <w:ind w:left="20"/>
              <w:spacing w:after="0"/>
              <w:rPr>
                <w:sz w:val="20"/>
                <w:szCs w:val="20"/>
                <w:color w:val="auto"/>
              </w:rPr>
            </w:pPr>
            <w:r>
              <w:rPr>
                <w:rFonts w:ascii="Arial" w:cs="Arial" w:eastAsia="Arial" w:hAnsi="Arial"/>
                <w:sz w:val="12"/>
                <w:szCs w:val="12"/>
                <w:i w:val="1"/>
                <w:iCs w:val="1"/>
                <w:color w:val="auto"/>
              </w:rPr>
              <w:t>Note: Percentages reflect line item as a percentage of net revenue.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204"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Non-cash charges related to stock-based compensation programs, which vary from period to period depending on the timing of awards and performance vesting conditions.</w:t>
      </w:r>
    </w:p>
    <w:p>
      <w:pPr>
        <w:spacing w:after="0" w:line="6" w:lineRule="exact"/>
        <w:rPr>
          <w:rFonts w:ascii="Arial" w:cs="Arial" w:eastAsia="Arial" w:hAnsi="Arial"/>
          <w:sz w:val="10"/>
          <w:szCs w:val="10"/>
          <w:color w:val="auto"/>
        </w:rPr>
      </w:pPr>
    </w:p>
    <w:p>
      <w:pPr>
        <w:ind w:left="420" w:right="440" w:hanging="212"/>
        <w:spacing w:after="0" w:line="244" w:lineRule="auto"/>
        <w:tabs>
          <w:tab w:leader="none" w:pos="415"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Reflects write-off related to impairment of long-lived assets, primarily goodwill of the Legacy Segment, Walmart contracts and relationship asset, property and equipment at Walmart stores and associated with our AC Lens business, and impairment of property, equipment and lease-related assets on closed or underperforming stores.</w:t>
      </w: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Amortization of the increase in carrying values of finite-lived intangible assets resulting from the application of purchase accounting following the acquisition of the Company by affiliates of KKR &amp; Co. Inc.</w:t>
      </w:r>
    </w:p>
    <w:p>
      <w:pPr>
        <w:spacing w:after="0" w:line="2" w:lineRule="exact"/>
        <w:rPr>
          <w:rFonts w:ascii="Arial" w:cs="Arial" w:eastAsia="Arial" w:hAnsi="Arial"/>
          <w:sz w:val="10"/>
          <w:szCs w:val="10"/>
          <w:color w:val="auto"/>
        </w:rPr>
      </w:pPr>
    </w:p>
    <w:p>
      <w:pPr>
        <w:ind w:left="420" w:right="440" w:hanging="212"/>
        <w:spacing w:after="0" w:line="234" w:lineRule="auto"/>
        <w:tabs>
          <w:tab w:leader="none" w:pos="415" w:val="left"/>
        </w:tabs>
        <w:numPr>
          <w:ilvl w:val="0"/>
          <w:numId w:val="12"/>
        </w:numPr>
        <w:rPr>
          <w:rFonts w:ascii="Arial" w:cs="Arial" w:eastAsia="Arial" w:hAnsi="Arial"/>
          <w:sz w:val="10"/>
          <w:szCs w:val="10"/>
          <w:color w:val="auto"/>
        </w:rPr>
      </w:pPr>
      <w:r>
        <w:rPr>
          <w:rFonts w:ascii="Arial" w:cs="Arial" w:eastAsia="Arial" w:hAnsi="Arial"/>
          <w:sz w:val="10"/>
          <w:szCs w:val="10"/>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Reflects losses (gains) recognized in interest expense (income), net on change in fair value of de-designated hedges.</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Costs related to the Company's ERP implementation.</w:t>
      </w:r>
    </w:p>
    <w:p>
      <w:pPr>
        <w:spacing w:after="0" w:line="2" w:lineRule="exact"/>
        <w:rPr>
          <w:rFonts w:ascii="Arial" w:cs="Arial" w:eastAsia="Arial" w:hAnsi="Arial"/>
          <w:sz w:val="10"/>
          <w:szCs w:val="10"/>
          <w:color w:val="auto"/>
        </w:rPr>
      </w:pPr>
    </w:p>
    <w:p>
      <w:pPr>
        <w:jc w:val="both"/>
        <w:ind w:left="420" w:right="440" w:hanging="212"/>
        <w:spacing w:after="0" w:line="237" w:lineRule="auto"/>
        <w:tabs>
          <w:tab w:leader="none" w:pos="415" w:val="left"/>
        </w:tabs>
        <w:numPr>
          <w:ilvl w:val="0"/>
          <w:numId w:val="12"/>
        </w:numPr>
        <w:rPr>
          <w:rFonts w:ascii="Arial" w:cs="Arial" w:eastAsia="Arial" w:hAnsi="Arial"/>
          <w:sz w:val="10"/>
          <w:szCs w:val="10"/>
          <w:color w:val="auto"/>
        </w:rPr>
      </w:pPr>
      <w:r>
        <w:rPr>
          <w:rFonts w:ascii="Arial" w:cs="Arial" w:eastAsia="Arial" w:hAnsi="Arial"/>
          <w:sz w:val="10"/>
          <w:szCs w:val="10"/>
          <w:color w:val="auto"/>
        </w:rPr>
        <w:t>Other adjustments include amounts that management believes are not representative of our operating performance (amounts in brackets represent reductions in Adjusted Operating Income, Adjusted Diluted EPS and Adjusted EBITDA), which are primarily costs related to the termination of the Walmart partnership of $2.1 million for the three and nine months ended September 30, 2023, excess payroll taxes on vesting of restricted stock units and exercises of stock options, executive severance and relocation and other expenses and adjustments, including losses on other investments of $0.3 million for the nine months ended October 1, 2022.</w:t>
      </w:r>
    </w:p>
    <w:p>
      <w:pPr>
        <w:spacing w:after="0" w:line="1" w:lineRule="exact"/>
        <w:rPr>
          <w:rFonts w:ascii="Arial" w:cs="Arial" w:eastAsia="Arial" w:hAnsi="Arial"/>
          <w:sz w:val="10"/>
          <w:szCs w:val="10"/>
          <w:color w:val="auto"/>
        </w:rPr>
      </w:pPr>
    </w:p>
    <w:p>
      <w:pPr>
        <w:ind w:left="420" w:hanging="212"/>
        <w:spacing w:after="0"/>
        <w:tabs>
          <w:tab w:leader="none" w:pos="420" w:val="left"/>
        </w:tabs>
        <w:numPr>
          <w:ilvl w:val="0"/>
          <w:numId w:val="12"/>
        </w:numPr>
        <w:rPr>
          <w:rFonts w:ascii="Arial" w:cs="Arial" w:eastAsia="Arial" w:hAnsi="Arial"/>
          <w:sz w:val="8"/>
          <w:szCs w:val="8"/>
          <w:color w:val="auto"/>
        </w:rPr>
      </w:pPr>
      <w:r>
        <w:rPr>
          <w:rFonts w:ascii="Arial" w:cs="Arial" w:eastAsia="Arial" w:hAnsi="Arial"/>
          <w:sz w:val="8"/>
          <w:szCs w:val="8"/>
          <w:color w:val="auto"/>
        </w:rPr>
        <w:t>Tax expense (benefit) associated with accounting guidance requiring excess tax expense (benefit) related to vesting of restricted stock units and exercises of stock options to be recorded in earnings as discrete items in the reporting period in which they occur.</w:t>
      </w:r>
    </w:p>
    <w:p>
      <w:pPr>
        <w:spacing w:after="0" w:line="25" w:lineRule="exact"/>
        <w:rPr>
          <w:rFonts w:ascii="Arial" w:cs="Arial" w:eastAsia="Arial" w:hAnsi="Arial"/>
          <w:sz w:val="8"/>
          <w:szCs w:val="8"/>
          <w:color w:val="auto"/>
        </w:rPr>
      </w:pP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Represents the income tax effect of the total adjustments at our combined statutory federal and state income tax rates, excluding Walmart goodwill impairment charges of $60.1 million for the three and nine months ended September 30, 2023.</w:t>
      </w:r>
    </w:p>
    <w:p>
      <w:pPr>
        <w:spacing w:after="0" w:line="2" w:lineRule="exact"/>
        <w:rPr>
          <w:rFonts w:ascii="Arial" w:cs="Arial" w:eastAsia="Arial" w:hAnsi="Arial"/>
          <w:sz w:val="10"/>
          <w:szCs w:val="10"/>
          <w:color w:val="auto"/>
        </w:rPr>
      </w:pPr>
    </w:p>
    <w:p>
      <w:pPr>
        <w:ind w:left="420" w:hanging="212"/>
        <w:spacing w:after="0"/>
        <w:tabs>
          <w:tab w:leader="none" w:pos="4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Reflects other expenses in (g) above, including debt issuance costs of $0.2 million for the nine months ended September 30, 2023.</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667" w:right="299" w:bottom="1440" w:gutter="0" w:footer="0" w:header="0"/>
        </w:sectPr>
      </w:pPr>
    </w:p>
    <w:bookmarkStart w:id="16" w:name="page17"/>
    <w:bookmarkEnd w:id="16"/>
    <w:p>
      <w:pPr>
        <w:ind w:left="420" w:right="320" w:hanging="212"/>
        <w:spacing w:after="0" w:line="257" w:lineRule="auto"/>
        <w:tabs>
          <w:tab w:leader="none" w:pos="415" w:val="left"/>
        </w:tabs>
        <w:numPr>
          <w:ilvl w:val="0"/>
          <w:numId w:val="13"/>
        </w:numPr>
        <w:rPr>
          <w:rFonts w:ascii="Arial" w:cs="Arial" w:eastAsia="Arial" w:hAnsi="Arial"/>
          <w:sz w:val="10"/>
          <w:szCs w:val="10"/>
          <w:color w:val="auto"/>
        </w:rPr>
      </w:pPr>
      <w:r>
        <w:rPr>
          <w:rFonts w:ascii="Arial" w:cs="Arial" w:eastAsia="Arial" w:hAnsi="Arial"/>
          <w:sz w:val="10"/>
          <w:szCs w:val="10"/>
          <w:color w:val="auto"/>
        </w:rPr>
        <w:t>Reflects other expenses in (g) above, except for immaterial amounts for the three and nine months ended September 30, 2023, losses on other investments of $0.3 million for the nine months ended October 1, 2022, and optometrist-related employee retention bonuses of $0.3 million for the three and nine months ended September 30, 2023.</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6140" w:type="dxa"/>
            <w:vAlign w:val="bottom"/>
            <w:gridSpan w:val="5"/>
          </w:tcPr>
          <w:p>
            <w:pPr>
              <w:ind w:left="20"/>
              <w:spacing w:after="0"/>
              <w:rPr>
                <w:sz w:val="20"/>
                <w:szCs w:val="20"/>
                <w:color w:val="auto"/>
              </w:rPr>
            </w:pPr>
            <w:r>
              <w:rPr>
                <w:rFonts w:ascii="Arial" w:cs="Arial" w:eastAsia="Arial" w:hAnsi="Arial"/>
                <w:sz w:val="12"/>
                <w:szCs w:val="12"/>
                <w:b w:val="1"/>
                <w:bCs w:val="1"/>
                <w:color w:val="auto"/>
              </w:rPr>
              <w:t>Reconciliation of Adjusted Comparable Store Sales Growth to Total Comparable Store Sales Growth</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3"/>
        </w:trPr>
        <w:tc>
          <w:tcPr>
            <w:tcW w:w="316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4"/>
          </w:tcPr>
          <w:p>
            <w:pPr>
              <w:ind w:left="180"/>
              <w:spacing w:after="0" w:line="153" w:lineRule="exact"/>
              <w:rPr>
                <w:sz w:val="20"/>
                <w:szCs w:val="20"/>
                <w:color w:val="auto"/>
              </w:rPr>
            </w:pPr>
            <w:r>
              <w:rPr>
                <w:rFonts w:ascii="Arial" w:cs="Arial" w:eastAsia="Arial" w:hAnsi="Arial"/>
                <w:sz w:val="12"/>
                <w:szCs w:val="12"/>
                <w:color w:val="auto"/>
              </w:rPr>
              <w:t xml:space="preserve">Comparable store sales growth </w:t>
            </w:r>
            <w:r>
              <w:rPr>
                <w:rFonts w:ascii="Arial" w:cs="Arial" w:eastAsia="Arial" w:hAnsi="Arial"/>
                <w:sz w:val="15"/>
                <w:szCs w:val="15"/>
                <w:color w:val="auto"/>
                <w:vertAlign w:val="superscript"/>
              </w:rPr>
              <w:t>(a)</w:t>
            </w:r>
          </w:p>
        </w:tc>
        <w:tc>
          <w:tcPr>
            <w:tcW w:w="1860" w:type="dxa"/>
            <w:vAlign w:val="bottom"/>
            <w:tcBorders>
              <w:bottom w:val="single" w:sz="8" w:color="auto"/>
            </w:tcBorders>
          </w:tcPr>
          <w:p>
            <w:pPr>
              <w:spacing w:after="0"/>
              <w:rPr>
                <w:sz w:val="13"/>
                <w:szCs w:val="13"/>
                <w:color w:val="auto"/>
              </w:rPr>
            </w:pPr>
          </w:p>
        </w:tc>
      </w:tr>
      <w:tr>
        <w:trPr>
          <w:trHeight w:val="115"/>
        </w:trPr>
        <w:tc>
          <w:tcPr>
            <w:tcW w:w="3160" w:type="dxa"/>
            <w:vAlign w:val="bottom"/>
          </w:tcPr>
          <w:p>
            <w:pPr>
              <w:spacing w:after="0"/>
              <w:rPr>
                <w:sz w:val="10"/>
                <w:szCs w:val="10"/>
                <w:color w:val="auto"/>
              </w:rPr>
            </w:pPr>
          </w:p>
        </w:tc>
        <w:tc>
          <w:tcPr>
            <w:tcW w:w="1500" w:type="dxa"/>
            <w:vAlign w:val="bottom"/>
            <w:gridSpan w:val="2"/>
          </w:tcPr>
          <w:p>
            <w:pPr>
              <w:jc w:val="center"/>
              <w:ind w:right="80"/>
              <w:spacing w:after="0" w:line="115" w:lineRule="exact"/>
              <w:rPr>
                <w:sz w:val="20"/>
                <w:szCs w:val="20"/>
                <w:color w:val="auto"/>
              </w:rPr>
            </w:pPr>
            <w:r>
              <w:rPr>
                <w:rFonts w:ascii="Arial" w:cs="Arial" w:eastAsia="Arial" w:hAnsi="Arial"/>
                <w:sz w:val="12"/>
                <w:szCs w:val="12"/>
                <w:color w:val="auto"/>
                <w:w w:val="90"/>
              </w:rPr>
              <w:t>Three Months Ended</w:t>
            </w:r>
          </w:p>
        </w:tc>
        <w:tc>
          <w:tcPr>
            <w:tcW w:w="1480" w:type="dxa"/>
            <w:vAlign w:val="bottom"/>
            <w:gridSpan w:val="2"/>
          </w:tcPr>
          <w:p>
            <w:pPr>
              <w:jc w:val="center"/>
              <w:ind w:right="60"/>
              <w:spacing w:after="0" w:line="115" w:lineRule="exact"/>
              <w:rPr>
                <w:sz w:val="20"/>
                <w:szCs w:val="20"/>
                <w:color w:val="auto"/>
              </w:rPr>
            </w:pPr>
            <w:r>
              <w:rPr>
                <w:rFonts w:ascii="Arial" w:cs="Arial" w:eastAsia="Arial" w:hAnsi="Arial"/>
                <w:sz w:val="12"/>
                <w:szCs w:val="12"/>
                <w:color w:val="auto"/>
                <w:w w:val="90"/>
              </w:rPr>
              <w:t>Three Months Ended</w:t>
            </w:r>
          </w:p>
        </w:tc>
        <w:tc>
          <w:tcPr>
            <w:tcW w:w="1580" w:type="dxa"/>
            <w:vAlign w:val="bottom"/>
            <w:gridSpan w:val="2"/>
          </w:tcPr>
          <w:p>
            <w:pPr>
              <w:ind w:left="280"/>
              <w:spacing w:after="0" w:line="115" w:lineRule="exact"/>
              <w:rPr>
                <w:sz w:val="20"/>
                <w:szCs w:val="20"/>
                <w:color w:val="auto"/>
              </w:rPr>
            </w:pPr>
            <w:r>
              <w:rPr>
                <w:rFonts w:ascii="Arial" w:cs="Arial" w:eastAsia="Arial" w:hAnsi="Arial"/>
                <w:sz w:val="12"/>
                <w:szCs w:val="12"/>
                <w:color w:val="auto"/>
              </w:rPr>
              <w:t>Nine Months Ended</w:t>
            </w:r>
          </w:p>
        </w:tc>
        <w:tc>
          <w:tcPr>
            <w:tcW w:w="1500" w:type="dxa"/>
            <w:vAlign w:val="bottom"/>
            <w:gridSpan w:val="2"/>
          </w:tcPr>
          <w:p>
            <w:pPr>
              <w:ind w:left="20"/>
              <w:spacing w:after="0" w:line="115" w:lineRule="exact"/>
              <w:rPr>
                <w:sz w:val="20"/>
                <w:szCs w:val="20"/>
                <w:color w:val="auto"/>
              </w:rPr>
            </w:pPr>
            <w:r>
              <w:rPr>
                <w:rFonts w:ascii="Arial" w:cs="Arial" w:eastAsia="Arial" w:hAnsi="Arial"/>
                <w:sz w:val="12"/>
                <w:szCs w:val="12"/>
                <w:color w:val="auto"/>
                <w:w w:val="96"/>
              </w:rPr>
              <w:t>Nine Months Ended October</w:t>
            </w:r>
          </w:p>
        </w:tc>
        <w:tc>
          <w:tcPr>
            <w:tcW w:w="1860" w:type="dxa"/>
            <w:vAlign w:val="bottom"/>
          </w:tcPr>
          <w:p>
            <w:pPr>
              <w:spacing w:after="0"/>
              <w:rPr>
                <w:sz w:val="10"/>
                <w:szCs w:val="10"/>
                <w:color w:val="auto"/>
              </w:rPr>
            </w:pPr>
          </w:p>
        </w:tc>
      </w:tr>
      <w:tr>
        <w:trPr>
          <w:trHeight w:val="153"/>
        </w:trPr>
        <w:tc>
          <w:tcPr>
            <w:tcW w:w="3160" w:type="dxa"/>
            <w:vAlign w:val="bottom"/>
          </w:tcPr>
          <w:p>
            <w:pPr>
              <w:spacing w:after="0"/>
              <w:rPr>
                <w:sz w:val="13"/>
                <w:szCs w:val="13"/>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2"/>
                <w:szCs w:val="12"/>
                <w:color w:val="auto"/>
                <w:w w:val="88"/>
              </w:rPr>
              <w:t>September 30, 2023</w:t>
            </w:r>
          </w:p>
        </w:tc>
        <w:tc>
          <w:tcPr>
            <w:tcW w:w="1480" w:type="dxa"/>
            <w:vAlign w:val="bottom"/>
            <w:gridSpan w:val="2"/>
          </w:tcPr>
          <w:p>
            <w:pPr>
              <w:jc w:val="center"/>
              <w:ind w:right="60"/>
              <w:spacing w:after="0"/>
              <w:rPr>
                <w:sz w:val="20"/>
                <w:szCs w:val="20"/>
                <w:color w:val="auto"/>
              </w:rPr>
            </w:pPr>
            <w:r>
              <w:rPr>
                <w:rFonts w:ascii="Arial" w:cs="Arial" w:eastAsia="Arial" w:hAnsi="Arial"/>
                <w:sz w:val="12"/>
                <w:szCs w:val="12"/>
                <w:color w:val="auto"/>
                <w:w w:val="90"/>
              </w:rPr>
              <w:t>October 1, 2022</w:t>
            </w:r>
          </w:p>
        </w:tc>
        <w:tc>
          <w:tcPr>
            <w:tcW w:w="1580" w:type="dxa"/>
            <w:vAlign w:val="bottom"/>
            <w:gridSpan w:val="2"/>
          </w:tcPr>
          <w:p>
            <w:pPr>
              <w:ind w:left="280"/>
              <w:spacing w:after="0"/>
              <w:rPr>
                <w:sz w:val="20"/>
                <w:szCs w:val="20"/>
                <w:color w:val="auto"/>
              </w:rPr>
            </w:pPr>
            <w:r>
              <w:rPr>
                <w:rFonts w:ascii="Arial" w:cs="Arial" w:eastAsia="Arial" w:hAnsi="Arial"/>
                <w:sz w:val="12"/>
                <w:szCs w:val="12"/>
                <w:color w:val="auto"/>
              </w:rPr>
              <w:t>September 30, 2023</w:t>
            </w:r>
          </w:p>
        </w:tc>
        <w:tc>
          <w:tcPr>
            <w:tcW w:w="1420" w:type="dxa"/>
            <w:vAlign w:val="bottom"/>
          </w:tcPr>
          <w:p>
            <w:pPr>
              <w:jc w:val="right"/>
              <w:ind w:right="460"/>
              <w:spacing w:after="0"/>
              <w:rPr>
                <w:sz w:val="20"/>
                <w:szCs w:val="20"/>
                <w:color w:val="auto"/>
              </w:rPr>
            </w:pPr>
            <w:r>
              <w:rPr>
                <w:rFonts w:ascii="Arial" w:cs="Arial" w:eastAsia="Arial" w:hAnsi="Arial"/>
                <w:sz w:val="12"/>
                <w:szCs w:val="12"/>
                <w:color w:val="auto"/>
              </w:rPr>
              <w:t>1, 2022</w:t>
            </w:r>
          </w:p>
        </w:tc>
        <w:tc>
          <w:tcPr>
            <w:tcW w:w="80" w:type="dxa"/>
            <w:vAlign w:val="bottom"/>
          </w:tcPr>
          <w:p>
            <w:pPr>
              <w:spacing w:after="0"/>
              <w:rPr>
                <w:sz w:val="13"/>
                <w:szCs w:val="13"/>
                <w:color w:val="auto"/>
              </w:rPr>
            </w:pPr>
          </w:p>
        </w:tc>
        <w:tc>
          <w:tcPr>
            <w:tcW w:w="1860" w:type="dxa"/>
            <w:vAlign w:val="bottom"/>
          </w:tcPr>
          <w:p>
            <w:pPr>
              <w:jc w:val="center"/>
              <w:spacing w:after="0" w:line="153" w:lineRule="exact"/>
              <w:rPr>
                <w:sz w:val="20"/>
                <w:szCs w:val="20"/>
                <w:color w:val="auto"/>
              </w:rPr>
            </w:pPr>
            <w:r>
              <w:rPr>
                <w:rFonts w:ascii="Arial" w:cs="Arial" w:eastAsia="Arial" w:hAnsi="Arial"/>
                <w:sz w:val="12"/>
                <w:szCs w:val="12"/>
                <w:color w:val="auto"/>
                <w:w w:val="89"/>
              </w:rPr>
              <w:t xml:space="preserve">2023 Outlook </w:t>
            </w:r>
            <w:r>
              <w:rPr>
                <w:rFonts w:ascii="Arial" w:cs="Arial" w:eastAsia="Arial" w:hAnsi="Arial"/>
                <w:sz w:val="15"/>
                <w:szCs w:val="15"/>
                <w:color w:val="auto"/>
                <w:w w:val="89"/>
                <w:vertAlign w:val="superscript"/>
              </w:rPr>
              <w:t>(b)</w:t>
            </w:r>
          </w:p>
        </w:tc>
      </w:tr>
      <w:tr>
        <w:trPr>
          <w:trHeight w:val="133"/>
        </w:trPr>
        <w:tc>
          <w:tcPr>
            <w:tcW w:w="31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Owned &amp; Host segment</w:t>
            </w: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auto"/>
            </w:tcBorders>
            <w:shd w:val="clear" w:color="auto" w:fill="CCEEFF"/>
          </w:tcPr>
          <w:p>
            <w:pPr>
              <w:spacing w:after="0"/>
              <w:rPr>
                <w:sz w:val="11"/>
                <w:szCs w:val="11"/>
                <w:color w:val="auto"/>
              </w:rPr>
            </w:pPr>
          </w:p>
        </w:tc>
      </w:tr>
      <w:tr>
        <w:trPr>
          <w:trHeight w:val="153"/>
        </w:trPr>
        <w:tc>
          <w:tcPr>
            <w:tcW w:w="3160" w:type="dxa"/>
            <w:vAlign w:val="bottom"/>
          </w:tcPr>
          <w:p>
            <w:pPr>
              <w:ind w:left="20"/>
              <w:spacing w:after="0"/>
              <w:rPr>
                <w:sz w:val="20"/>
                <w:szCs w:val="20"/>
                <w:color w:val="auto"/>
              </w:rPr>
            </w:pPr>
            <w:r>
              <w:rPr>
                <w:rFonts w:ascii="Arial" w:cs="Arial" w:eastAsia="Arial" w:hAnsi="Arial"/>
                <w:sz w:val="12"/>
                <w:szCs w:val="12"/>
                <w:color w:val="auto"/>
              </w:rPr>
              <w:t>America’s Best</w:t>
            </w:r>
          </w:p>
        </w:tc>
        <w:tc>
          <w:tcPr>
            <w:tcW w:w="1420" w:type="dxa"/>
            <w:vAlign w:val="bottom"/>
          </w:tcPr>
          <w:p>
            <w:pPr>
              <w:jc w:val="right"/>
              <w:spacing w:after="0"/>
              <w:rPr>
                <w:sz w:val="20"/>
                <w:szCs w:val="20"/>
                <w:color w:val="auto"/>
              </w:rPr>
            </w:pPr>
            <w:r>
              <w:rPr>
                <w:rFonts w:ascii="Arial" w:cs="Arial" w:eastAsia="Arial" w:hAnsi="Arial"/>
                <w:sz w:val="12"/>
                <w:szCs w:val="12"/>
                <w:color w:val="auto"/>
              </w:rPr>
              <w:t>5.7 %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(7.8)%</w:t>
            </w:r>
          </w:p>
        </w:tc>
        <w:tc>
          <w:tcPr>
            <w:tcW w:w="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3.0 %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Eyeglass World</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153"/>
        </w:trPr>
        <w:tc>
          <w:tcPr>
            <w:tcW w:w="3160" w:type="dxa"/>
            <w:vAlign w:val="bottom"/>
          </w:tcPr>
          <w:p>
            <w:pPr>
              <w:ind w:left="20"/>
              <w:spacing w:after="0"/>
              <w:rPr>
                <w:sz w:val="20"/>
                <w:szCs w:val="20"/>
                <w:color w:val="auto"/>
              </w:rPr>
            </w:pPr>
            <w:r>
              <w:rPr>
                <w:rFonts w:ascii="Arial" w:cs="Arial" w:eastAsia="Arial" w:hAnsi="Arial"/>
                <w:sz w:val="12"/>
                <w:szCs w:val="12"/>
                <w:color w:val="auto"/>
              </w:rPr>
              <w:t>Military</w:t>
            </w:r>
          </w:p>
        </w:tc>
        <w:tc>
          <w:tcPr>
            <w:tcW w:w="1420" w:type="dxa"/>
            <w:vAlign w:val="bottom"/>
          </w:tcPr>
          <w:p>
            <w:pPr>
              <w:jc w:val="right"/>
              <w:spacing w:after="0"/>
              <w:rPr>
                <w:sz w:val="20"/>
                <w:szCs w:val="20"/>
                <w:color w:val="auto"/>
              </w:rPr>
            </w:pPr>
            <w:r>
              <w:rPr>
                <w:rFonts w:ascii="Arial" w:cs="Arial" w:eastAsia="Arial" w:hAnsi="Arial"/>
                <w:sz w:val="12"/>
                <w:szCs w:val="12"/>
                <w:color w:val="auto"/>
              </w:rPr>
              <w:t>3.8 %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(6.3)%</w:t>
            </w:r>
          </w:p>
        </w:tc>
        <w:tc>
          <w:tcPr>
            <w:tcW w:w="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Fred Meyer</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15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Legacy segment</w:t>
            </w:r>
          </w:p>
        </w:tc>
        <w:tc>
          <w:tcPr>
            <w:tcW w:w="1420" w:type="dxa"/>
            <w:vAlign w:val="bottom"/>
          </w:tcPr>
          <w:p>
            <w:pPr>
              <w:jc w:val="right"/>
              <w:spacing w:after="0"/>
              <w:rPr>
                <w:sz w:val="20"/>
                <w:szCs w:val="20"/>
                <w:color w:val="auto"/>
              </w:rPr>
            </w:pPr>
            <w:r>
              <w:rPr>
                <w:rFonts w:ascii="Arial" w:cs="Arial" w:eastAsia="Arial" w:hAnsi="Arial"/>
                <w:sz w:val="12"/>
                <w:szCs w:val="12"/>
                <w:color w:val="auto"/>
              </w:rPr>
              <w:t>1.0 %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(10.7)%</w:t>
            </w:r>
          </w:p>
        </w:tc>
        <w:tc>
          <w:tcPr>
            <w:tcW w:w="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0"/>
        </w:trPr>
        <w:tc>
          <w:tcPr>
            <w:tcW w:w="3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53"/>
        </w:trPr>
        <w:tc>
          <w:tcPr>
            <w:tcW w:w="3160" w:type="dxa"/>
            <w:vAlign w:val="bottom"/>
          </w:tcPr>
          <w:p>
            <w:pPr>
              <w:ind w:left="20"/>
              <w:spacing w:after="0"/>
              <w:rPr>
                <w:sz w:val="20"/>
                <w:szCs w:val="20"/>
                <w:color w:val="auto"/>
              </w:rPr>
            </w:pPr>
            <w:r>
              <w:rPr>
                <w:rFonts w:ascii="Arial" w:cs="Arial" w:eastAsia="Arial" w:hAnsi="Arial"/>
                <w:sz w:val="12"/>
                <w:szCs w:val="12"/>
                <w:color w:val="auto"/>
              </w:rPr>
              <w:t>Total comparable store sales growth</w:t>
            </w:r>
          </w:p>
        </w:tc>
        <w:tc>
          <w:tcPr>
            <w:tcW w:w="1420" w:type="dxa"/>
            <w:vAlign w:val="bottom"/>
          </w:tcPr>
          <w:p>
            <w:pPr>
              <w:jc w:val="right"/>
              <w:spacing w:after="0"/>
              <w:rPr>
                <w:sz w:val="20"/>
                <w:szCs w:val="20"/>
                <w:color w:val="auto"/>
              </w:rPr>
            </w:pPr>
            <w:r>
              <w:rPr>
                <w:rFonts w:ascii="Arial" w:cs="Arial" w:eastAsia="Arial" w:hAnsi="Arial"/>
                <w:sz w:val="12"/>
                <w:szCs w:val="12"/>
                <w:color w:val="auto"/>
              </w:rPr>
              <w:t>3.8 %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(8.0)%</w:t>
            </w:r>
          </w:p>
        </w:tc>
        <w:tc>
          <w:tcPr>
            <w:tcW w:w="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2.3 %</w:t>
            </w: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2"/>
                <w:szCs w:val="12"/>
                <w:color w:val="auto"/>
                <w:w w:val="90"/>
              </w:rPr>
              <w:t>~2%</w:t>
            </w:r>
          </w:p>
        </w:tc>
      </w:tr>
      <w:tr>
        <w:trPr>
          <w:trHeight w:val="153"/>
        </w:trPr>
        <w:tc>
          <w:tcPr>
            <w:tcW w:w="316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Adjusted Comparable Store Sales Growth </w:t>
            </w:r>
            <w:r>
              <w:rPr>
                <w:rFonts w:ascii="Arial" w:cs="Arial" w:eastAsia="Arial" w:hAnsi="Arial"/>
                <w:sz w:val="15"/>
                <w:szCs w:val="15"/>
                <w:color w:val="auto"/>
                <w:vertAlign w:val="superscript"/>
              </w:rPr>
              <w:t>(b)</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~2%</w:t>
            </w:r>
          </w:p>
        </w:tc>
      </w:tr>
    </w:tbl>
    <w:p>
      <w:pPr>
        <w:spacing w:after="0" w:line="123" w:lineRule="exact"/>
        <w:rPr>
          <w:sz w:val="20"/>
          <w:szCs w:val="20"/>
          <w:color w:val="auto"/>
        </w:rPr>
      </w:pPr>
    </w:p>
    <w:p>
      <w:pPr>
        <w:jc w:val="both"/>
        <w:ind w:left="160" w:hanging="6"/>
        <w:spacing w:after="0" w:line="242" w:lineRule="auto"/>
        <w:tabs>
          <w:tab w:leader="none" w:pos="296" w:val="left"/>
        </w:tabs>
        <w:numPr>
          <w:ilvl w:val="0"/>
          <w:numId w:val="14"/>
        </w:numPr>
        <w:rPr>
          <w:rFonts w:ascii="Arial" w:cs="Arial" w:eastAsia="Arial" w:hAnsi="Arial"/>
          <w:sz w:val="10"/>
          <w:szCs w:val="10"/>
          <w:color w:val="auto"/>
        </w:rPr>
      </w:pPr>
      <w:r>
        <w:rPr>
          <w:rFonts w:ascii="Arial" w:cs="Arial" w:eastAsia="Arial" w:hAnsi="Arial"/>
          <w:sz w:val="10"/>
          <w:szCs w:val="10"/>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I. Item 1. in our Quarterly Report on Form 10-Q for the period ended September 30, 2023, with the exception of the Legacy segment, which is adjusted as noted in (b) (ii) below.</w:t>
      </w:r>
    </w:p>
    <w:p>
      <w:pPr>
        <w:spacing w:after="0" w:line="67" w:lineRule="exact"/>
        <w:rPr>
          <w:rFonts w:ascii="Arial" w:cs="Arial" w:eastAsia="Arial" w:hAnsi="Arial"/>
          <w:sz w:val="10"/>
          <w:szCs w:val="10"/>
          <w:color w:val="auto"/>
        </w:rPr>
      </w:pPr>
    </w:p>
    <w:p>
      <w:pPr>
        <w:jc w:val="both"/>
        <w:ind w:left="160" w:hanging="6"/>
        <w:spacing w:after="0" w:line="315" w:lineRule="auto"/>
        <w:tabs>
          <w:tab w:leader="none" w:pos="296" w:val="left"/>
        </w:tabs>
        <w:numPr>
          <w:ilvl w:val="0"/>
          <w:numId w:val="14"/>
        </w:numPr>
        <w:rPr>
          <w:rFonts w:ascii="Arial" w:cs="Arial" w:eastAsia="Arial" w:hAnsi="Arial"/>
          <w:sz w:val="8"/>
          <w:szCs w:val="8"/>
          <w:color w:val="auto"/>
        </w:rPr>
      </w:pPr>
      <w:r>
        <w:rPr>
          <w:rFonts w:ascii="Arial" w:cs="Arial" w:eastAsia="Arial" w:hAnsi="Arial"/>
          <w:sz w:val="8"/>
          <w:szCs w:val="8"/>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0.4% for the three months ended September 30, 2023, and a decrease of 0.2% and a decrease of 1.0% for the nine months ended September 30, 2023 and October 1, 2022,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an increase of 0.1% and a decrease of 0.1% for the three months ended September 30, 2023 and October 1, 2022, respectively, and a decrease of 0.1% and a decrease of 0.1% for the nine months ended September 30, 2023 and October 1, 2022, respectively; (iii) with respect to the Company’s 2023 Outlook, Adjusted Comparable Store Sales Growth includes an estimated 0.5% decrease for the effect of deferred and unearned revenue as if such revenues were earned at the point of sale and retail sales to the Legacy partner’s customers (rather than the revenues recognized consistent with the management &amp; services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Caitlin Churchill, ICR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investor.relations@nationalvision.com</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Racheal Peters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media@nationalvision.com</w:t>
      </w: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13</w:t>
      </w:r>
    </w:p>
    <w:sectPr>
      <w:pgSz w:w="11900" w:h="16838" w:orient="portrait"/>
      <w:cols w:equalWidth="0" w:num="1">
        <w:col w:w="11180"/>
      </w:cols>
      <w:pgMar w:left="300" w:top="6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4"/>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2023-11-09T05:22:58Z</dcterms:created>
  <dcterms:modified xsi:type="dcterms:W3CDTF">2023-11-09T05:22:58Z</dcterms:modified>
</cp:coreProperties>
</file>