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Acharya Ravi</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20"/>
        <w:spacing w:after="0" w:line="385"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Technology Officer</w:t>
            </w:r>
          </w:p>
        </w:tc>
        <w:tc>
          <w:tcPr>
            <w:tcW w:w="0" w:type="dxa"/>
            <w:vAlign w:val="bottom"/>
          </w:tcPr>
          <w:p>
            <w:pPr>
              <w:spacing w:after="0"/>
              <w:rPr>
                <w:sz w:val="1"/>
                <w:szCs w:val="1"/>
                <w:color w:val="auto"/>
              </w:rPr>
            </w:pPr>
          </w:p>
        </w:tc>
      </w:tr>
      <w:tr>
        <w:trPr>
          <w:trHeight w:val="219"/>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03/16/2023</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03/16/2023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897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8,129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03/16/2023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270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7,859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03/16/2023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897</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23,845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16, 2023, 897 restricted stock units vested and 270 shares of the Company's common stock were withheld to satisfy tax withholding obligations. The closing price on March 16, 2023 of the Company's common stock on NASDAQ was $18.53 per share.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16, 2020, the reporting person was granted 2,689 restricted stock units, vesting in three equal annual installments beginning on the first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03/20/2023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91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2023-03-20T16:19:19Z</dcterms:created>
  <dcterms:modified xsi:type="dcterms:W3CDTF">2023-03-20T16:19:19Z</dcterms:modified>
</cp:coreProperties>
</file>