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17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6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PEELER D RANDOLPH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560" w:type="dxa"/>
            <w:vAlign w:val="bottom"/>
            <w:gridSpan w:val="3"/>
            <w:vMerge w:val="restart"/>
          </w:tcPr>
          <w:p>
            <w:pPr>
              <w:ind w:left="360"/>
              <w:spacing w:after="0"/>
              <w:rPr>
                <w:sz w:val="20"/>
                <w:szCs w:val="20"/>
                <w:color w:val="auto"/>
              </w:rPr>
            </w:pPr>
            <w:r>
              <w:rPr>
                <w:rFonts w:ascii="Arial" w:cs="Arial" w:eastAsia="Arial" w:hAnsi="Arial"/>
                <w:sz w:val="14"/>
                <w:szCs w:val="14"/>
                <w:color w:val="auto"/>
              </w:rPr>
              <w:t>Officer (give title</w:t>
            </w: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6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below)</w:t>
            </w:r>
          </w:p>
        </w:tc>
        <w:tc>
          <w:tcPr>
            <w:tcW w:w="3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BERKSHIRE PARTNERS LLC</w:t>
            </w: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03/26/2018</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gridSpan w:val="7"/>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380"/>
              <w:spacing w:after="0" w:line="136" w:lineRule="exact"/>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jc w:val="right"/>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vMerge w:val="restart"/>
          </w:tcPr>
          <w:p>
            <w:pPr>
              <w:ind w:left="600"/>
              <w:spacing w:after="0"/>
              <w:rPr>
                <w:sz w:val="20"/>
                <w:szCs w:val="20"/>
                <w:color w:val="auto"/>
              </w:rPr>
            </w:pPr>
            <w:r>
              <w:rPr>
                <w:rFonts w:ascii="Arial" w:cs="Arial" w:eastAsia="Arial" w:hAnsi="Arial"/>
                <w:sz w:val="18"/>
                <w:szCs w:val="18"/>
                <w:color w:val="0000FF"/>
                <w:w w:val="88"/>
              </w:rPr>
              <w:t>03/26/2018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0000FF"/>
                <w:w w:val="84"/>
              </w:rPr>
              <w:t>331,961</w:t>
            </w:r>
            <w:r>
              <w:rPr>
                <w:rFonts w:ascii="Arial" w:cs="Arial" w:eastAsia="Arial" w:hAnsi="Arial"/>
                <w:sz w:val="22"/>
                <w:szCs w:val="22"/>
                <w:color w:val="008000"/>
                <w:w w:val="84"/>
                <w:vertAlign w:val="superscript"/>
              </w:rPr>
              <w:t>(1)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31.68</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7,443,860</w:t>
            </w:r>
          </w:p>
        </w:tc>
        <w:tc>
          <w:tcPr>
            <w:tcW w:w="36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Partnership</w:t>
            </w:r>
            <w:r>
              <w:rPr>
                <w:rFonts w:ascii="Arial" w:cs="Arial" w:eastAsia="Arial" w:hAnsi="Arial"/>
                <w:sz w:val="22"/>
                <w:szCs w:val="22"/>
                <w:color w:val="008000"/>
                <w:w w:val="89"/>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ind w:left="600"/>
              <w:spacing w:after="0"/>
              <w:rPr>
                <w:sz w:val="20"/>
                <w:szCs w:val="20"/>
                <w:color w:val="auto"/>
              </w:rPr>
            </w:pPr>
            <w:r>
              <w:rPr>
                <w:rFonts w:ascii="Arial" w:cs="Arial" w:eastAsia="Arial" w:hAnsi="Arial"/>
                <w:sz w:val="18"/>
                <w:szCs w:val="18"/>
                <w:color w:val="0000FF"/>
                <w:w w:val="88"/>
              </w:rPr>
              <w:t>03/26/2018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tcPr>
          <w:p>
            <w:pPr>
              <w:jc w:val="center"/>
              <w:ind w:right="80"/>
              <w:spacing w:after="0" w:line="217" w:lineRule="exact"/>
              <w:rPr>
                <w:sz w:val="20"/>
                <w:szCs w:val="20"/>
                <w:color w:val="auto"/>
              </w:rPr>
            </w:pPr>
            <w:r>
              <w:rPr>
                <w:rFonts w:ascii="Arial" w:cs="Arial" w:eastAsia="Arial" w:hAnsi="Arial"/>
                <w:sz w:val="18"/>
                <w:szCs w:val="18"/>
                <w:color w:val="0000FF"/>
                <w:w w:val="85"/>
              </w:rPr>
              <w:t>4,313</w:t>
            </w:r>
            <w:r>
              <w:rPr>
                <w:rFonts w:ascii="Arial" w:cs="Arial" w:eastAsia="Arial" w:hAnsi="Arial"/>
                <w:sz w:val="22"/>
                <w:szCs w:val="22"/>
                <w:color w:val="008000"/>
                <w:w w:val="85"/>
                <w:vertAlign w:val="superscript"/>
              </w:rPr>
              <w:t>(1)</w:t>
            </w:r>
          </w:p>
        </w:tc>
        <w:tc>
          <w:tcPr>
            <w:tcW w:w="480" w:type="dxa"/>
            <w:vAlign w:val="bottom"/>
          </w:tcPr>
          <w:p>
            <w:pPr>
              <w:ind w:left="18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31.68</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7"/>
              </w:rPr>
              <w:t>96,714</w:t>
            </w:r>
          </w:p>
        </w:tc>
        <w:tc>
          <w:tcPr>
            <w:tcW w:w="3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ind w:left="600"/>
              <w:spacing w:after="0"/>
              <w:rPr>
                <w:sz w:val="20"/>
                <w:szCs w:val="20"/>
                <w:color w:val="auto"/>
              </w:rPr>
            </w:pPr>
            <w:r>
              <w:rPr>
                <w:rFonts w:ascii="Arial" w:cs="Arial" w:eastAsia="Arial" w:hAnsi="Arial"/>
                <w:sz w:val="18"/>
                <w:szCs w:val="18"/>
                <w:color w:val="0000FF"/>
                <w:w w:val="88"/>
              </w:rPr>
              <w:t>03/26/2018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tcPr>
          <w:p>
            <w:pPr>
              <w:jc w:val="center"/>
              <w:ind w:right="80"/>
              <w:spacing w:after="0" w:line="217" w:lineRule="exact"/>
              <w:rPr>
                <w:sz w:val="20"/>
                <w:szCs w:val="20"/>
                <w:color w:val="auto"/>
              </w:rPr>
            </w:pPr>
            <w:r>
              <w:rPr>
                <w:rFonts w:ascii="Arial" w:cs="Arial" w:eastAsia="Arial" w:hAnsi="Arial"/>
                <w:sz w:val="18"/>
                <w:szCs w:val="18"/>
                <w:color w:val="0000FF"/>
                <w:w w:val="85"/>
              </w:rPr>
              <w:t>1,757</w:t>
            </w:r>
            <w:r>
              <w:rPr>
                <w:rFonts w:ascii="Arial" w:cs="Arial" w:eastAsia="Arial" w:hAnsi="Arial"/>
                <w:sz w:val="22"/>
                <w:szCs w:val="22"/>
                <w:color w:val="008000"/>
                <w:w w:val="85"/>
                <w:vertAlign w:val="superscript"/>
              </w:rPr>
              <w:t>(1)</w:t>
            </w:r>
          </w:p>
        </w:tc>
        <w:tc>
          <w:tcPr>
            <w:tcW w:w="480" w:type="dxa"/>
            <w:vAlign w:val="bottom"/>
          </w:tcPr>
          <w:p>
            <w:pPr>
              <w:ind w:left="18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31.68</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7"/>
              </w:rPr>
              <w:t>39,394</w:t>
            </w:r>
          </w:p>
        </w:tc>
        <w:tc>
          <w:tcPr>
            <w:tcW w:w="3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 III</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7"/>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14"/>
          </w:tcPr>
          <w:p>
            <w:pPr>
              <w:jc w:val="center"/>
              <w:ind w:left="5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secondary offering of common stock, par value $0.01 per share (the "Common Stock") of the Issuer by certain selling shareholders to Merrill Lynch, Pierce, Fenner &amp; Smith Incorporated, Citigroup Global Markets Inc., Goldman Sachs &amp; Co. LLC, Jefferies LLC and KKR Capital Markets LLC pursuant to an underwriting agreement and final prospectus, each dated March 14, 2018, and the exercise of the underwriters' over-allotment option (the "Over-Allotment Option"), Fund VI (as defined below), Berkshire Investors (as defined below) and Berkshire Investors III (as defined below), as selling shareholders, sold 331,961; 4,313 and 1,757 shares of Common Stock, respectively. The Over-Allotment Option closed on March 26, 2018.</w:t>
      </w:r>
    </w:p>
    <w:p>
      <w:pPr>
        <w:spacing w:after="0" w:line="8" w:lineRule="exact"/>
        <w:rPr>
          <w:rFonts w:ascii="Arial" w:cs="Arial" w:eastAsia="Arial" w:hAnsi="Arial"/>
          <w:sz w:val="12"/>
          <w:szCs w:val="12"/>
          <w:color w:val="008000"/>
        </w:rPr>
      </w:pPr>
    </w:p>
    <w:p>
      <w:pPr>
        <w:ind w:left="40" w:right="1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The Reporting Person was previously a managing member of each of BPH, BPSP, Berkshire Partners and 6BA. By virtue of the relationships described above, the Reporting Person may be deemed to share beneficial ownership with respect to the shares of Common Stock held by Fund VI. The Reporting Person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11" w:lineRule="exact"/>
        <w:rPr>
          <w:rFonts w:ascii="Arial" w:cs="Arial" w:eastAsia="Arial" w:hAnsi="Arial"/>
          <w:sz w:val="12"/>
          <w:szCs w:val="12"/>
          <w:color w:val="008000"/>
        </w:rPr>
      </w:pPr>
    </w:p>
    <w:p>
      <w:pPr>
        <w:jc w:val="both"/>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LLC ("Berkshire Investors"). The Reporting Person was previously a managing member of Berkshire Investors. By virtue of the relationships described above, the Reporting Person may be deemed to share beneficial ownership with respect to the shares of Common Stock held by Berkshire Investors. The Reporting Person disclaims beneficial ownership of the shares held by Berkshire Investors,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1" w:lineRule="exact"/>
        <w:rPr>
          <w:rFonts w:ascii="Arial" w:cs="Arial" w:eastAsia="Arial" w:hAnsi="Arial"/>
          <w:sz w:val="14"/>
          <w:szCs w:val="14"/>
          <w:color w:val="008000"/>
        </w:rPr>
      </w:pPr>
    </w:p>
    <w:p>
      <w:pPr>
        <w:ind w:left="40" w:right="2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 LLC ("Berkshire Investors III"). The Reporting Person was previously a managing member of Berkshire Investors III. By virtue of the relationships described above, the Reporting Person may be deemed to share beneficial ownership with respect to the shares of Common Stock held by Berkshire Investors III. The Reporting Person disclaims beneficial ownership of the shares held by Berkshire Investors III,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7"/>
              </w:rPr>
              <w:t>/s/ D. Randolph Peeler</w:t>
            </w:r>
          </w:p>
        </w:tc>
        <w:tc>
          <w:tcPr>
            <w:tcW w:w="5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03/28/2018</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72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2019-12-23T16:14:41Z</dcterms:created>
  <dcterms:modified xsi:type="dcterms:W3CDTF">2019-12-23T16:14:41Z</dcterms:modified>
</cp:coreProperties>
</file>