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Moore Patrick 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460"/>
        <w:spacing w:after="0" w:line="379"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0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180"/>
              <w:spacing w:after="0"/>
              <w:rPr>
                <w:sz w:val="20"/>
                <w:szCs w:val="20"/>
                <w:color w:val="auto"/>
              </w:rPr>
            </w:pPr>
            <w:r>
              <w:rPr>
                <w:rFonts w:ascii="Arial" w:cs="Arial" w:eastAsia="Arial" w:hAnsi="Arial"/>
                <w:sz w:val="17"/>
                <w:szCs w:val="17"/>
                <w:color w:val="0000FF"/>
              </w:rPr>
              <w:t>SVP, Chief Financial Officer</w:t>
            </w:r>
          </w:p>
        </w:tc>
        <w:tc>
          <w:tcPr>
            <w:tcW w:w="0" w:type="dxa"/>
            <w:vAlign w:val="bottom"/>
          </w:tcPr>
          <w:p>
            <w:pPr>
              <w:spacing w:after="0"/>
              <w:rPr>
                <w:sz w:val="1"/>
                <w:szCs w:val="1"/>
                <w:color w:val="auto"/>
              </w:rPr>
            </w:pPr>
          </w:p>
        </w:tc>
      </w:tr>
      <w:tr>
        <w:trPr>
          <w:trHeight w:val="215"/>
        </w:trPr>
        <w:tc>
          <w:tcPr>
            <w:tcW w:w="2620" w:type="dxa"/>
            <w:vAlign w:val="bottom"/>
            <w:gridSpan w:val="3"/>
          </w:tcPr>
          <w:p>
            <w:pPr>
              <w:ind w:left="60"/>
              <w:spacing w:after="0"/>
              <w:rPr>
                <w:sz w:val="20"/>
                <w:szCs w:val="20"/>
                <w:color w:val="auto"/>
              </w:rPr>
            </w:pPr>
            <w:r>
              <w:rPr>
                <w:rFonts w:ascii="Arial" w:cs="Arial" w:eastAsia="Arial" w:hAnsi="Arial"/>
                <w:sz w:val="17"/>
                <w:szCs w:val="17"/>
                <w:color w:val="0000FF"/>
              </w:rPr>
              <w:t>11/18/2021</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11/18/2021</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5,488</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right"/>
              <w:ind w:right="4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7"/>
                <w:szCs w:val="17"/>
                <w:color w:val="0000FF"/>
              </w:rPr>
              <w:t>11,237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11/18/2021</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F</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2,476</w:t>
            </w:r>
          </w:p>
        </w:tc>
        <w:tc>
          <w:tcPr>
            <w:tcW w:w="620" w:type="dxa"/>
            <w:vAlign w:val="bottom"/>
          </w:tcPr>
          <w:p>
            <w:pPr>
              <w:ind w:left="400"/>
              <w:spacing w:after="0"/>
              <w:rPr>
                <w:sz w:val="20"/>
                <w:szCs w:val="20"/>
                <w:color w:val="auto"/>
              </w:rPr>
            </w:pPr>
            <w:r>
              <w:rPr>
                <w:rFonts w:ascii="Arial" w:cs="Arial" w:eastAsia="Arial" w:hAnsi="Arial"/>
                <w:sz w:val="17"/>
                <w:szCs w:val="17"/>
                <w:color w:val="0000FF"/>
              </w:rPr>
              <w:t>D</w:t>
            </w:r>
          </w:p>
        </w:tc>
        <w:tc>
          <w:tcPr>
            <w:tcW w:w="520" w:type="dxa"/>
            <w:vAlign w:val="bottom"/>
          </w:tcPr>
          <w:p>
            <w:pPr>
              <w:jc w:val="right"/>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22"/>
                <w:szCs w:val="22"/>
                <w:color w:val="auto"/>
              </w:rPr>
            </w:pPr>
          </w:p>
        </w:tc>
        <w:tc>
          <w:tcPr>
            <w:tcW w:w="1320" w:type="dxa"/>
            <w:vAlign w:val="bottom"/>
            <w:gridSpan w:val="3"/>
          </w:tcPr>
          <w:p>
            <w:pPr>
              <w:jc w:val="right"/>
              <w:ind w:right="381"/>
              <w:spacing w:after="0"/>
              <w:rPr>
                <w:sz w:val="20"/>
                <w:szCs w:val="20"/>
                <w:color w:val="auto"/>
              </w:rPr>
            </w:pPr>
            <w:r>
              <w:rPr>
                <w:rFonts w:ascii="Arial" w:cs="Arial" w:eastAsia="Arial" w:hAnsi="Arial"/>
                <w:sz w:val="17"/>
                <w:szCs w:val="17"/>
                <w:color w:val="0000FF"/>
              </w:rPr>
              <w:t>8,761</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5,488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11/18/2021</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60"/>
              <w:spacing w:after="0" w:line="143" w:lineRule="exact"/>
              <w:rPr>
                <w:sz w:val="20"/>
                <w:szCs w:val="20"/>
                <w:color w:val="auto"/>
              </w:rPr>
            </w:pPr>
            <w:r>
              <w:rPr>
                <w:rFonts w:ascii="Arial" w:cs="Arial" w:eastAsia="Arial" w:hAnsi="Arial"/>
                <w:sz w:val="13"/>
                <w:szCs w:val="13"/>
                <w:color w:val="0000FF"/>
              </w:rPr>
              <w:t>5,488</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90"/>
              </w:rPr>
              <w:t>14,109</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2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November 18, 2021, 5,488 restricted stock units vested and 2,476 shares of the Company's common stock were withheld to satisfy tax withholding obligations. The closing price on November 18, 2021 of the Company's common stock on NASDAQ was $48.330 per share.</w:t>
      </w:r>
    </w:p>
    <w:p>
      <w:pPr>
        <w:spacing w:after="0" w:line="24" w:lineRule="exact"/>
        <w:rPr>
          <w:rFonts w:ascii="Arial" w:cs="Arial" w:eastAsia="Arial" w:hAnsi="Arial"/>
          <w:sz w:val="13"/>
          <w:szCs w:val="13"/>
          <w:color w:val="008000"/>
        </w:rPr>
      </w:pPr>
    </w:p>
    <w:p>
      <w:pPr>
        <w:ind w:left="40" w:right="52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November 18, 2019, the reporting person was granted 5,488 restricted stock units, which will vest in three installments, with 5,488 shares vesting on the second anniversary of the grant date, 2,744 sharesvesting on the third anniversary of the grant date and 2,745 shares vesting on the fourth anniversary of the grant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11/22/2021</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9844"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2021-11-22T15:46:57Z</dcterms:created>
  <dcterms:modified xsi:type="dcterms:W3CDTF">2021-11-22T15:46:57Z</dcterms:modified>
</cp:coreProperties>
</file>