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6943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437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725" cy="26035"/>
                    </a:xfrm>
                    <a:prstGeom prst="rect">
                      <a:avLst/>
                    </a:prstGeom>
                    <a:noFill/>
                  </pic:spPr>
                </pic:pic>
              </a:graphicData>
            </a:graphic>
          </wp:anchor>
        </w:drawing>
        <w:t>UNITED STATES</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5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May 8, 2024</w:t>
      </w:r>
    </w:p>
    <w:p>
      <w:pPr>
        <w:spacing w:after="0" w:line="10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001-38257</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152" w:lineRule="exact"/>
        <w:rPr>
          <w:sz w:val="24"/>
          <w:szCs w:val="24"/>
          <w:color w:val="auto"/>
        </w:rPr>
      </w:pPr>
    </w:p>
    <w:tbl>
      <w:tblPr>
        <w:tblLayout w:type="fixed"/>
        <w:tblInd w:w="1880" w:type="dxa"/>
        <w:tblCellMar>
          <w:top w:w="0" w:type="dxa"/>
          <w:left w:w="0" w:type="dxa"/>
          <w:bottom w:w="0" w:type="dxa"/>
          <w:right w:w="0" w:type="dxa"/>
        </w:tblCellMar>
      </w:tblPr>
      <w:tr>
        <w:trPr>
          <w:trHeight w:val="212"/>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9"/>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color w:val="auto"/>
              </w:rPr>
              <w:t>incorporation)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0"/>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80" w:type="dxa"/>
            <w:vAlign w:val="bottom"/>
          </w:tcPr>
          <w:p>
            <w:pPr>
              <w:spacing w:after="0"/>
              <w:rPr>
                <w:sz w:val="23"/>
                <w:szCs w:val="23"/>
                <w:color w:val="auto"/>
              </w:rPr>
            </w:pPr>
          </w:p>
        </w:tc>
      </w:tr>
      <w:tr>
        <w:trPr>
          <w:trHeight w:val="216"/>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80" w:type="dxa"/>
            <w:vAlign w:val="bottom"/>
          </w:tcPr>
          <w:p>
            <w:pPr>
              <w:spacing w:after="0"/>
              <w:rPr>
                <w:sz w:val="18"/>
                <w:szCs w:val="18"/>
                <w:color w:val="auto"/>
              </w:rPr>
            </w:pPr>
          </w:p>
        </w:tc>
      </w:tr>
      <w:tr>
        <w:trPr>
          <w:trHeight w:val="276"/>
        </w:trPr>
        <w:tc>
          <w:tcPr>
            <w:tcW w:w="5520" w:type="dxa"/>
            <w:vAlign w:val="bottom"/>
          </w:tcPr>
          <w:p>
            <w:pPr>
              <w:jc w:val="center"/>
              <w:ind w:left="189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80" w:type="dxa"/>
            <w:vAlign w:val="bottom"/>
          </w:tcPr>
          <w:p>
            <w:pPr>
              <w:spacing w:after="0"/>
              <w:rPr>
                <w:sz w:val="23"/>
                <w:szCs w:val="23"/>
                <w:color w:val="auto"/>
              </w:rPr>
            </w:pPr>
          </w:p>
        </w:tc>
      </w:tr>
      <w:tr>
        <w:trPr>
          <w:trHeight w:val="210"/>
        </w:trPr>
        <w:tc>
          <w:tcPr>
            <w:tcW w:w="5520" w:type="dxa"/>
            <w:vAlign w:val="bottom"/>
          </w:tcPr>
          <w:p>
            <w:pPr>
              <w:jc w:val="center"/>
              <w:ind w:left="18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80" w:type="dxa"/>
            <w:vAlign w:val="bottom"/>
          </w:tcPr>
          <w:p>
            <w:pPr>
              <w:spacing w:after="0"/>
              <w:rPr>
                <w:sz w:val="18"/>
                <w:szCs w:val="18"/>
                <w:color w:val="auto"/>
              </w:rPr>
            </w:pPr>
          </w:p>
        </w:tc>
      </w:tr>
    </w:tbl>
    <w:p>
      <w:pPr>
        <w:spacing w:after="0" w:line="8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364"/>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06374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063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8, 2024, National Vision Holdings, Inc. (“</w:t>
      </w:r>
      <w:r>
        <w:rPr>
          <w:rFonts w:ascii="Times New Roman" w:cs="Times New Roman" w:eastAsia="Times New Roman" w:hAnsi="Times New Roman"/>
          <w:sz w:val="18"/>
          <w:szCs w:val="18"/>
          <w:u w:val="single" w:color="auto"/>
          <w:color w:val="auto"/>
        </w:rPr>
        <w:t>National Vision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financial results for the quarter ended March 30,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release is furnished herewith as Exhibit 99.1 and incorporated by reference herein.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Item 2.02 of Form 8-K and shall not be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Vision Holdings, Inc. Press Release dated May 8, 2024.</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22"/>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27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2740" w:type="dxa"/>
            <w:vAlign w:val="bottom"/>
          </w:tcPr>
          <w:p>
            <w:pPr>
              <w:spacing w:after="0"/>
              <w:rPr>
                <w:sz w:val="18"/>
                <w:szCs w:val="18"/>
                <w:color w:val="auto"/>
              </w:rPr>
            </w:pPr>
          </w:p>
        </w:tc>
        <w:tc>
          <w:tcPr>
            <w:tcW w:w="27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2740" w:type="dxa"/>
            <w:vAlign w:val="bottom"/>
          </w:tcPr>
          <w:p>
            <w:pPr>
              <w:spacing w:after="0"/>
              <w:rPr>
                <w:sz w:val="20"/>
                <w:szCs w:val="20"/>
                <w:color w:val="auto"/>
              </w:rPr>
            </w:pPr>
          </w:p>
        </w:tc>
        <w:tc>
          <w:tcPr>
            <w:tcW w:w="27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1105535" cy="857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5"/>
          <w:szCs w:val="25"/>
          <w:b w:val="1"/>
          <w:bCs w:val="1"/>
          <w:color w:val="auto"/>
        </w:rPr>
        <w:t>National Vision Holdings, Inc. Reports First Quarter 2024 Financial Results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Continuing Operations Highlights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revenue of $542.5 million, an increase of 4.2% from $520.8 million</w:t>
      </w:r>
    </w:p>
    <w:p>
      <w:pPr>
        <w:spacing w:after="0" w:line="1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Comparable store sales growth of 1.4% and Adjusted Comparable Store Sales Growth of 0.4%</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Company Net income of $11.7 million</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Income of $35.8 million</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Diluted EPS of $0.16 and Adjusted Diluted EPS of $0.30</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Total Company Highlights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1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revenue of $560.9 million, a decrease of (0.3)% from $562.4 million</w:t>
      </w:r>
    </w:p>
    <w:p>
      <w:pPr>
        <w:spacing w:after="0" w:line="1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Comparable store sales growth of 2.1% and Adjusted Comparable Store Sales Growth of (0.1)%</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Income of $35.0 million</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Diluted EPS of $0.15 and Adjusted Diluted EPS of $0.32</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reaffirms fiscal 2024 outlook and increases whitespace opportunity to at least 2,500 stores</w:t>
      </w:r>
    </w:p>
    <w:p>
      <w:pPr>
        <w:spacing w:after="0" w:line="304" w:lineRule="exact"/>
        <w:rPr>
          <w:sz w:val="20"/>
          <w:szCs w:val="20"/>
          <w:color w:val="auto"/>
        </w:rPr>
      </w:pPr>
    </w:p>
    <w:p>
      <w:pPr>
        <w:jc w:val="both"/>
        <w:ind w:firstLine="8"/>
        <w:spacing w:after="0" w:line="272" w:lineRule="auto"/>
        <w:tabs>
          <w:tab w:leader="none" w:pos="146" w:val="left"/>
        </w:tabs>
        <w:numPr>
          <w:ilvl w:val="0"/>
          <w:numId w:val="5"/>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On February 23, 2024, the Company completed the termination of the Walmart Management and Services Agreement and discontinued the former Legacy reportable segment. “Total Company” results include operations from the Company's former Legacy reportable segment as discontinued operations, while results on a continuing basis do not. Unless otherwise noted, results above correspond to the heading under which they appear.</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Duluth, Ga.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May 8, 2024 </w:t>
      </w:r>
      <w:r>
        <w:rPr>
          <w:rFonts w:ascii="Times New Roman" w:cs="Times New Roman" w:eastAsia="Times New Roman" w:hAnsi="Times New Roman"/>
          <w:sz w:val="18"/>
          <w:szCs w:val="18"/>
          <w:color w:val="auto"/>
        </w:rPr>
        <w:t>-- National Vision Holdings, Inc. (NASDAQ: EYE) (“National Vision” or the “Company”) today reported its financial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quarter ended March 30, 2024.</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delivered first quarter results in line with our expectations, reflecting a sequential improvement in the second half of the period. While weather and a slower start to the tax refund season at the beginning of the quarter adversely impacted sales, our teams remained focused on the areas of our business that we can control and continued to make progress on our strategic initiatives. We built upon the actions we put in place to improve doctor recruitment and retention, and we furthered our rollout of remote technology and electronic health records in our stores. Thanks to our team’s dedication and agility, we delivered increased revenues and profitability on a continuing basis despite operating in what remains a challenging macroeconomic environment. We are committed to continuing to build our foundation for growth to drive shareholder value,” said Reade Fahs, National Vision’s CEO.</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2024, the Company ceased providing management services to Walmart stores. These services, which historically comprised the Company's former Legacy reportable segment, met the accounting requirements for presentation as discontinued operations. Accordingly, the condensed consolidated financial statements reflect the results of the former Legacy segment as a discontinued operation for all periods presented. Unless otherwise noted, amounts and disclosures below relate to the Company’s continuing operations.</w:t>
      </w:r>
    </w:p>
    <w:p>
      <w:pPr>
        <w:spacing w:after="0" w:line="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release includes certain Non-GAAP Financial Measures that are not recognized under generally accepted accounting principles (“GAAP”). Please see “Non-GAAP Financial Measures” and “Reconciliation of Non-GAAP to GAAP Financial Measures” below for more information.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Continuing Operations Summary</w:t>
      </w:r>
    </w:p>
    <w:p>
      <w:pPr>
        <w:spacing w:after="0" w:line="54" w:lineRule="exact"/>
        <w:rPr>
          <w:sz w:val="20"/>
          <w:szCs w:val="20"/>
          <w:color w:val="auto"/>
        </w:rPr>
      </w:pPr>
    </w:p>
    <w:p>
      <w:pPr>
        <w:jc w:val="both"/>
        <w:ind w:left="260" w:hanging="252"/>
        <w:spacing w:after="0" w:line="24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4.2% to $542.5 million compared to the first quarter of 2023 and was primarily driven by growth from new store sales, higher revenue from the Company’s AC Lens business and the effect of unearned revenue compared with the prior-year period. Net revenue includes a 0.5% impact from the timing of unearned revenue in the current-year period compared with the prior-year period.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ind w:left="260" w:hanging="252"/>
        <w:spacing w:after="0" w:line="258" w:lineRule="auto"/>
        <w:tabs>
          <w:tab w:leader="none" w:pos="2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Comparable store sales growth was 1.4% and Adjusted Comparable Store Sales Growth was 0.4%, primarily due to higher average ticket, partially offset by a decrease in customer transactions.</w:t>
      </w:r>
    </w:p>
    <w:p>
      <w:pPr>
        <w:ind w:left="260" w:hanging="252"/>
        <w:spacing w:after="0" w:line="266"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14 new stores, and converted 20 Eyeglass World stores to America's Best stores, and ended the period with 1,201 stores. Overall, store count grew 6.5% from April 1, 2023 to March 30, 2024.</w:t>
      </w:r>
    </w:p>
    <w:p>
      <w:pPr>
        <w:jc w:val="both"/>
        <w:ind w:left="260" w:right="20" w:hanging="252"/>
        <w:spacing w:after="0" w:line="24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5.6% to $248.7 million compared to the first quarter of 2023. As a percentage of net revenue, compared to the first quarter of 2023, costs applicable to revenue increased 60 basis points to 45.8%, mainly due to lower eyeglass mix and an increase in optometrist-related costs, as well as other mix and margin effects. These costs were partially offset by increased exam revenue.</w:t>
      </w:r>
    </w:p>
    <w:p>
      <w:pPr>
        <w:spacing w:after="0" w:line="21" w:lineRule="exact"/>
        <w:rPr>
          <w:rFonts w:ascii="Times New Roman" w:cs="Times New Roman" w:eastAsia="Times New Roman" w:hAnsi="Times New Roman"/>
          <w:sz w:val="18"/>
          <w:szCs w:val="18"/>
          <w:color w:val="auto"/>
        </w:rPr>
      </w:pPr>
    </w:p>
    <w:p>
      <w:pPr>
        <w:jc w:val="both"/>
        <w:ind w:left="260" w:hanging="252"/>
        <w:spacing w:after="0" w:line="235"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(SG&amp;A) increased 5.2% to $245.4 million compared with the first quarter of 2023. Adjusted SG&amp;A increased 2.4% to $234.8 million compared with the first quarter of 2023. As a percentage of net revenue, SG&amp;A increased 40 basis points to 45.2% compared with the first quarter of 2023, mainly due to litigation settlement and legal and professional expenses as well as other operating expenses, partially offset by decreases in performance-based incentive and stock-based compensation. As a percentage of net revenue, Adjusted SG&amp;A decreased 70 basis points compared with the first quarter of 2023, driven by decreases in performance-based incentive compensation, partially offset by other operating expenses.</w:t>
      </w:r>
    </w:p>
    <w:p>
      <w:pPr>
        <w:spacing w:after="0" w:line="25"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of $23.6 million increased 4.0% from the prior-year period, primarily due to new store openings and investments in remote medicine technology.</w:t>
      </w:r>
    </w:p>
    <w:p>
      <w:pPr>
        <w:spacing w:after="0" w:line="14" w:lineRule="exact"/>
        <w:rPr>
          <w:rFonts w:ascii="Times New Roman" w:cs="Times New Roman" w:eastAsia="Times New Roman" w:hAnsi="Times New Roman"/>
          <w:sz w:val="18"/>
          <w:szCs w:val="18"/>
          <w:color w:val="auto"/>
        </w:rPr>
      </w:pPr>
    </w:p>
    <w:p>
      <w:pPr>
        <w:ind w:left="260" w:hanging="252"/>
        <w:spacing w:after="0" w:line="257" w:lineRule="auto"/>
        <w:tabs>
          <w:tab w:leader="none" w:pos="2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Income from continuing operations, net of tax decreased to $12.2 million compared to $16.0 million in the first quarter of 2023. Income from continuing operations, net of tax margin decreased to 2.3% compared to 3.1% in the first quarter of 2023.</w:t>
      </w:r>
    </w:p>
    <w:p>
      <w:pPr>
        <w:spacing w:after="0" w:line="2" w:lineRule="exact"/>
        <w:rPr>
          <w:rFonts w:ascii="Times New Roman" w:cs="Times New Roman" w:eastAsia="Times New Roman" w:hAnsi="Times New Roman"/>
          <w:sz w:val="18"/>
          <w:szCs w:val="18"/>
          <w:i w:val="1"/>
          <w:iCs w:val="1"/>
          <w:color w:val="auto"/>
        </w:rPr>
      </w:pPr>
    </w:p>
    <w:p>
      <w:pPr>
        <w:ind w:left="260" w:hanging="252"/>
        <w:spacing w:after="0" w:line="258" w:lineRule="auto"/>
        <w:tabs>
          <w:tab w:leader="none" w:pos="2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Diluted earnings per share (EPS) decreased to $0.16 compared to $0.20 in the first quarter of 2023. Adjusted Diluted EPS increased to $0.30 compared to $0.27 in the first quarter of 2023. The net change in margin on unearned revenue benefited both Diluted EPS and Adjusted Diluted EPS by $0.02.</w:t>
      </w:r>
    </w:p>
    <w:p>
      <w:pPr>
        <w:jc w:val="both"/>
        <w:ind w:left="260" w:hanging="252"/>
        <w:spacing w:after="0" w:line="25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increased 5.5% to $35.8 million compared with the first quarter of 2023. Adjusted Operating Margin increased 10 basis points to 6.6% compared with the first quarter of 2023. The net change in margin on unearned revenue benefited net income by $1.8 million and Adjusted Operating Income by $2.4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 as of March 30, 2024</w:t>
      </w:r>
    </w:p>
    <w:p>
      <w:pPr>
        <w:spacing w:after="0" w:line="108" w:lineRule="exact"/>
        <w:rPr>
          <w:sz w:val="20"/>
          <w:szCs w:val="20"/>
          <w:color w:val="auto"/>
        </w:rPr>
      </w:pPr>
    </w:p>
    <w:p>
      <w:pPr>
        <w:ind w:left="260" w:right="20" w:hanging="252"/>
        <w:spacing w:after="0" w:line="258"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Vision’s cash balance was $150.0 million as of March 30, 2024. The Company had no borrowings under its $300.0 million first lien revolving credit facility (“Revolving Loans”), exclusive of letters of credit of $6.4 million.</w:t>
      </w:r>
    </w:p>
    <w:p>
      <w:pPr>
        <w:ind w:left="260" w:hanging="252"/>
        <w:spacing w:after="0" w:line="266"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was $458.9 million as of March 30, 2024, consisting of outstanding first lien term loans, 2.50% convertible senior notes due on May 15, 2025 (“2025 Notes”) and finance lease obligations, net of unamortized discounts.</w:t>
      </w:r>
    </w:p>
    <w:p>
      <w:pPr>
        <w:ind w:left="240" w:hanging="23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for the first quarter of 2024 were $24.0 million compared to $74.1 million for the first quarter of 2023.</w:t>
      </w:r>
    </w:p>
    <w:p>
      <w:pPr>
        <w:spacing w:after="0" w:line="3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first quarter of 2024 totaled $20.0 million compared to $27.7 million for the first quarter of 2023.</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Walmart MSA</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announced on July 26, 2023, the Company’s Management and Services Agreement with Walmart Inc. (“Walmart MSA”) terminated as of February 23, 2024. This included supplying and operating Vision Centers in 225 Walmart stores, providing contact lens distribution and related services to Walmart and its affiliate, Sam's Club, and arranging for the provision of optometric services at certain Walmart locations in California. The Company has commenced the process of winding down its AC Lens operations, including the closing of its Ohio distribution center, and expects the AC Lens operations to be included in discontinued operations in the second quarter of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Whitespace Opportunity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independent research, the Company is raising its whitespace opportunity for its America’s Best brand by 350 stores, for a new total of at least 1,650 locations. The analysis assumes maintaining the whitespace opportunity for Eyeglass World of at least 850 locations. In total, the Company now believes its whitespace opportunity to be at least 2,500 stores.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Outlook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National Vision's fiscal 2024 outlook reflects current expected or estimated impacts related to macroeconomic factors, including inflation, geopolitical instability and risks of recession, as well as constraints on exam capacity; however, the ultimate impact of these factors on the Company’s financial outlook remains uncertain with dynamic market conditions and the outlook shown below assumes no material deterioration to the Company’s current business operations as a result of such factors or as a result of the termination of the Walmart MSA.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3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is reaffirming outlook for the 52 weeks ending December 28, 2024:</w:t>
            </w:r>
          </w:p>
        </w:tc>
        <w:tc>
          <w:tcPr>
            <w:tcW w:w="2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53"/>
        </w:trPr>
        <w:tc>
          <w:tcPr>
            <w:tcW w:w="3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64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Total Company Fiscal 2024</w:t>
            </w:r>
          </w:p>
        </w:tc>
      </w:tr>
      <w:tr>
        <w:trPr>
          <w:trHeight w:val="241"/>
        </w:trPr>
        <w:tc>
          <w:tcPr>
            <w:tcW w:w="30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364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Outlook</w:t>
            </w:r>
          </w:p>
        </w:tc>
      </w:tr>
      <w:tr>
        <w:trPr>
          <w:trHeight w:val="232"/>
        </w:trPr>
        <w:tc>
          <w:tcPr>
            <w:tcW w:w="300" w:type="dxa"/>
            <w:vAlign w:val="bottom"/>
          </w:tcPr>
          <w:p>
            <w:pPr>
              <w:spacing w:after="0"/>
              <w:rPr>
                <w:sz w:val="20"/>
                <w:szCs w:val="20"/>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w:t>
            </w:r>
          </w:p>
        </w:tc>
      </w:tr>
      <w:tr>
        <w:trPr>
          <w:trHeight w:val="229"/>
        </w:trPr>
        <w:tc>
          <w:tcPr>
            <w:tcW w:w="300" w:type="dxa"/>
            <w:vAlign w:val="bottom"/>
          </w:tcPr>
          <w:p>
            <w:pPr>
              <w:spacing w:after="0"/>
              <w:rPr>
                <w:sz w:val="19"/>
                <w:szCs w:val="19"/>
                <w:color w:val="auto"/>
              </w:rPr>
            </w:pPr>
          </w:p>
        </w:tc>
        <w:tc>
          <w:tcPr>
            <w:tcW w:w="7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Comparable Store Sales Growth</w:t>
            </w:r>
            <w:r>
              <w:rPr>
                <w:rFonts w:ascii="Times New Roman" w:cs="Times New Roman" w:eastAsia="Times New Roman" w:hAnsi="Times New Roman"/>
                <w:sz w:val="23"/>
                <w:szCs w:val="23"/>
                <w:color w:val="auto"/>
                <w:vertAlign w:val="superscript"/>
              </w:rPr>
              <w:t>1</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- 4.0%</w:t>
            </w:r>
          </w:p>
        </w:tc>
      </w:tr>
      <w:tr>
        <w:trPr>
          <w:trHeight w:val="230"/>
        </w:trPr>
        <w:tc>
          <w:tcPr>
            <w:tcW w:w="30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64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$1.965 - $2.005 billion</w:t>
            </w:r>
          </w:p>
        </w:tc>
      </w:tr>
      <w:tr>
        <w:trPr>
          <w:trHeight w:val="229"/>
        </w:trPr>
        <w:tc>
          <w:tcPr>
            <w:tcW w:w="30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64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$61 - $76 million</w:t>
            </w:r>
          </w:p>
        </w:tc>
      </w:tr>
      <w:tr>
        <w:trPr>
          <w:trHeight w:val="230"/>
        </w:trPr>
        <w:tc>
          <w:tcPr>
            <w:tcW w:w="300" w:type="dxa"/>
            <w:vAlign w:val="bottom"/>
          </w:tcPr>
          <w:p>
            <w:pPr>
              <w:spacing w:after="0"/>
              <w:rPr>
                <w:sz w:val="19"/>
                <w:szCs w:val="19"/>
                <w:color w:val="auto"/>
              </w:rPr>
            </w:pPr>
          </w:p>
        </w:tc>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2</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$0.65</w:t>
            </w:r>
          </w:p>
        </w:tc>
      </w:tr>
      <w:tr>
        <w:trPr>
          <w:trHeight w:val="229"/>
        </w:trPr>
        <w:tc>
          <w:tcPr>
            <w:tcW w:w="300" w:type="dxa"/>
            <w:vAlign w:val="bottom"/>
          </w:tcPr>
          <w:p>
            <w:pPr>
              <w:spacing w:after="0"/>
              <w:rPr>
                <w:sz w:val="19"/>
                <w:szCs w:val="19"/>
                <w:color w:val="auto"/>
              </w:rPr>
            </w:pPr>
          </w:p>
        </w:tc>
        <w:tc>
          <w:tcPr>
            <w:tcW w:w="7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3</w:t>
            </w:r>
          </w:p>
        </w:tc>
        <w:tc>
          <w:tcPr>
            <w:tcW w:w="364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9"/>
              </w:rPr>
              <w:t>$95 - $100 million</w:t>
            </w:r>
          </w:p>
        </w:tc>
      </w:tr>
      <w:tr>
        <w:trPr>
          <w:trHeight w:val="229"/>
        </w:trPr>
        <w:tc>
          <w:tcPr>
            <w:tcW w:w="300" w:type="dxa"/>
            <w:vAlign w:val="bottom"/>
          </w:tcPr>
          <w:p>
            <w:pPr>
              <w:spacing w:after="0"/>
              <w:rPr>
                <w:sz w:val="19"/>
                <w:szCs w:val="19"/>
                <w:color w:val="auto"/>
              </w:rPr>
            </w:pPr>
          </w:p>
        </w:tc>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w:t>
            </w:r>
            <w:r>
              <w:rPr>
                <w:rFonts w:ascii="Times New Roman" w:cs="Times New Roman" w:eastAsia="Times New Roman" w:hAnsi="Times New Roman"/>
                <w:sz w:val="23"/>
                <w:szCs w:val="23"/>
                <w:color w:val="auto"/>
                <w:vertAlign w:val="superscript"/>
              </w:rPr>
              <w:t>4</w:t>
            </w:r>
          </w:p>
        </w:tc>
        <w:tc>
          <w:tcPr>
            <w:tcW w:w="364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8"/>
              </w:rPr>
              <w:t>$7 - $9 million</w:t>
            </w:r>
          </w:p>
        </w:tc>
      </w:tr>
      <w:tr>
        <w:trPr>
          <w:trHeight w:val="230"/>
        </w:trPr>
        <w:tc>
          <w:tcPr>
            <w:tcW w:w="300" w:type="dxa"/>
            <w:vAlign w:val="bottom"/>
          </w:tcPr>
          <w:p>
            <w:pPr>
              <w:spacing w:after="0"/>
              <w:rPr>
                <w:sz w:val="19"/>
                <w:szCs w:val="19"/>
                <w:color w:val="auto"/>
              </w:rPr>
            </w:pPr>
          </w:p>
        </w:tc>
        <w:tc>
          <w:tcPr>
            <w:tcW w:w="7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5</w:t>
            </w:r>
          </w:p>
        </w:tc>
        <w:tc>
          <w:tcPr>
            <w:tcW w:w="364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26% to 28%</w:t>
            </w:r>
          </w:p>
        </w:tc>
      </w:tr>
      <w:tr>
        <w:trPr>
          <w:trHeight w:val="229"/>
        </w:trPr>
        <w:tc>
          <w:tcPr>
            <w:tcW w:w="30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64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8"/>
              </w:rPr>
              <w:t>$110 - $115 million</w:t>
            </w:r>
          </w:p>
        </w:tc>
      </w:tr>
    </w:tbl>
    <w:p>
      <w:pPr>
        <w:spacing w:after="0" w:line="124" w:lineRule="exact"/>
        <w:rPr>
          <w:sz w:val="20"/>
          <w:szCs w:val="20"/>
          <w:color w:val="auto"/>
        </w:rPr>
      </w:pPr>
    </w:p>
    <w:p>
      <w:pPr>
        <w:ind w:left="160" w:hanging="71"/>
        <w:spacing w:after="0"/>
        <w:tabs>
          <w:tab w:leader="none" w:pos="160" w:val="left"/>
        </w:tabs>
        <w:numPr>
          <w:ilvl w:val="0"/>
          <w:numId w:val="9"/>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Refer to the Reconciliation of Adjusted Comparable Stores Sales Growth to Total Comparable Store Sales Growth.</w:t>
      </w:r>
    </w:p>
    <w:p>
      <w:pPr>
        <w:ind w:left="80" w:firstLine="9"/>
        <w:spacing w:after="0" w:line="215" w:lineRule="auto"/>
        <w:tabs>
          <w:tab w:leader="none" w:pos="181" w:val="left"/>
        </w:tabs>
        <w:numPr>
          <w:ilvl w:val="0"/>
          <w:numId w:val="10"/>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Assumes approximately 79 million shares, and does not include 9.7 million shares attributable to the 2025 Notes as the Company anticipates them to be anti-dilutive to earnings per share for fiscal year 2024.</w:t>
      </w:r>
    </w:p>
    <w:p>
      <w:pPr>
        <w:ind w:left="80" w:right="1660"/>
        <w:spacing w:after="0" w:line="194" w:lineRule="auto"/>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21"/>
          <w:szCs w:val="21"/>
          <w:i w:val="1"/>
          <w:iCs w:val="1"/>
          <w:color w:val="auto"/>
          <w:vertAlign w:val="superscript"/>
        </w:rPr>
        <w:t>3</w:t>
      </w:r>
      <w:r>
        <w:rPr>
          <w:rFonts w:ascii="Times New Roman" w:cs="Times New Roman" w:eastAsia="Times New Roman" w:hAnsi="Times New Roman"/>
          <w:sz w:val="16"/>
          <w:szCs w:val="16"/>
          <w:i w:val="1"/>
          <w:iCs w:val="1"/>
          <w:color w:val="auto"/>
        </w:rPr>
        <w:t xml:space="preserve"> Includes amortization of acquisition intangibles of approximately $1.6 million, which is excluded in the definition of Adjusted Operating Income. </w:t>
      </w:r>
      <w:r>
        <w:rPr>
          <w:rFonts w:ascii="Times New Roman" w:cs="Times New Roman" w:eastAsia="Times New Roman" w:hAnsi="Times New Roman"/>
          <w:sz w:val="21"/>
          <w:szCs w:val="21"/>
          <w:i w:val="1"/>
          <w:iCs w:val="1"/>
          <w:color w:val="auto"/>
          <w:vertAlign w:val="superscript"/>
        </w:rPr>
        <w:t>4</w:t>
      </w:r>
      <w:r>
        <w:rPr>
          <w:rFonts w:ascii="Times New Roman" w:cs="Times New Roman" w:eastAsia="Times New Roman" w:hAnsi="Times New Roman"/>
          <w:sz w:val="16"/>
          <w:szCs w:val="16"/>
          <w:i w:val="1"/>
          <w:iCs w:val="1"/>
          <w:color w:val="auto"/>
        </w:rPr>
        <w:t xml:space="preserve"> Before the impact of gains or losses on change in fair value of derivatives and charges related to debt discounts and deferred financing costs.</w:t>
      </w:r>
    </w:p>
    <w:p>
      <w:pPr>
        <w:spacing w:after="0" w:line="1" w:lineRule="exact"/>
        <w:rPr>
          <w:rFonts w:ascii="Times New Roman" w:cs="Times New Roman" w:eastAsia="Times New Roman" w:hAnsi="Times New Roman"/>
          <w:sz w:val="21"/>
          <w:szCs w:val="21"/>
          <w:i w:val="1"/>
          <w:iCs w:val="1"/>
          <w:color w:val="auto"/>
          <w:vertAlign w:val="superscript"/>
        </w:rPr>
      </w:pPr>
    </w:p>
    <w:p>
      <w:pPr>
        <w:ind w:left="80"/>
        <w:spacing w:after="0"/>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21"/>
          <w:szCs w:val="21"/>
          <w:i w:val="1"/>
          <w:iCs w:val="1"/>
          <w:color w:val="auto"/>
          <w:vertAlign w:val="superscript"/>
        </w:rPr>
        <w:t>5</w:t>
      </w:r>
      <w:r>
        <w:rPr>
          <w:rFonts w:ascii="Times New Roman" w:cs="Times New Roman" w:eastAsia="Times New Roman" w:hAnsi="Times New Roman"/>
          <w:sz w:val="16"/>
          <w:szCs w:val="16"/>
          <w:i w:val="1"/>
          <w:iCs w:val="1"/>
          <w:color w:val="auto"/>
        </w:rPr>
        <w:t xml:space="preserve"> Excluding the impact of vesting of restricted stock units and stock option exercises.</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fiscal 2024 outlook information provided above includes Adjusted Operating Income and Adjusted Diluted EPS guidance, which are non-GAAP financial measures management uses in measuring performance. The Company is not able to reconcile these forward-looking non-GAAP measures to comparable GAAP measures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fiscal 2024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2024 outlook. The Company uses these forward-looking measures internally to assess and benchmark its results and strategic plans. See “Forward-Looking Statements” below.</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will host a conference call to discuss the first quarter 2024 financial results and fiscal-year 2024 guidance today, May 8, 2024, at 8:30 a.m. Eastern Time. To pre-register for the conference call and obtain a dial-in number and passcode please refer to the “Investors” section of the Company’s website at </w:t>
      </w:r>
      <w:r>
        <w:rPr>
          <w:rFonts w:ascii="Times New Roman" w:cs="Times New Roman" w:eastAsia="Times New Roman" w:hAnsi="Times New Roman"/>
          <w:sz w:val="18"/>
          <w:szCs w:val="18"/>
          <w:u w:val="single" w:color="auto"/>
          <w:color w:val="0E32E1"/>
        </w:rPr>
        <w:t>www.nationalvision.com/investors</w:t>
      </w:r>
      <w:r>
        <w:rPr>
          <w:rFonts w:ascii="Times New Roman" w:cs="Times New Roman" w:eastAsia="Times New Roman" w:hAnsi="Times New Roman"/>
          <w:sz w:val="18"/>
          <w:szCs w:val="18"/>
          <w:color w:val="auto"/>
        </w:rPr>
        <w:t xml:space="preserve">. A live audio webcast of the conference call will be available on the “Investors” section of the Company’s website at </w:t>
      </w:r>
      <w:r>
        <w:rPr>
          <w:rFonts w:ascii="Times New Roman" w:cs="Times New Roman" w:eastAsia="Times New Roman" w:hAnsi="Times New Roman"/>
          <w:sz w:val="18"/>
          <w:szCs w:val="18"/>
          <w:u w:val="single" w:color="auto"/>
          <w:color w:val="0E32E1"/>
        </w:rPr>
        <w:t>www.nationalvision.com/investors</w:t>
      </w:r>
      <w:r>
        <w:rPr>
          <w:rFonts w:ascii="Times New Roman" w:cs="Times New Roman" w:eastAsia="Times New Roman" w:hAnsi="Times New Roman"/>
          <w:sz w:val="18"/>
          <w:szCs w:val="18"/>
          <w:color w:val="auto"/>
        </w:rPr>
        <w:t>, where presentation materials will be posted prior to the conference call. A replay of the audio webcast will also be archived on the “Investors” section of the Company’s website.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National Vision Holdings, Inc. (NASDAQ: EYE) is one of the largest optical retail companies in the United States with more than 1,200 stores in 38 states and Puerto Rico. With a mission of helping people by making quality eye care and eyewear more affordable and accessible, the company operates four retail brands: America’s Best Contacts &amp; Eyeglasses, Eyeglass World, and Vista Opticals inside select Fred Meyer stores and on select military bases, and e-commerce websites, offering a variety of products and services for customers’ eye care needs. For more information, please visit www.nationalvision.com.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These statements include,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91" w:right="33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t>but are not limited to, statements contained under “Fiscal 2024 Outlook,” as well as other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Forward-looking statements are not guarantees and are subject to various risks and uncertainties, which may cause actual results to differ materially from those implied in forward-looking statements. Such factors include, but are not limited to, the termination of our partnership with Walmart, including the transition period and other wind down activities, will have an impact on our business, revenues, profitability and cash flows, which impact could be material; market volatility, an overall decline in the health of the economy and other factors impacting consumer spending, including inflation, uncertainty in financial markets, recessionary conditions, escalated interest rates, the timing and issuance of tax refunds, governmental instability, war and natural disasters, may affect consumer purchases, which could reduce demand for our products and materially harm our sales, profitability and financial condition; failure to recruit and retain vision care professionals for in-store roles or to provide remote care offerings could adversely affect our business, financial condition and results of operations; the optical retail industry is highly competitive, and if we do not compete successfully, our business may be adversely impacted; if we fail to open and operate new stores in a timely and cost-effective manner or fail to successfully enter new markets, our financial performance could be materially and adversely affected; if the performance of our Host brands declines or we are unable to maintain or extend our operating relationships with our Host partners, our business, profitability and cash flows may be adversely affected and we may be required to incur impairment charges; we are a low-cost provider and our business model relies on the low-cost of inputs and factors such as wage rate increases, inflation, cost increases, increases in the price of raw materials and energy prices could have a material adverse effect on our business, financial condition and results of operations; we require significant capital to fund our expanding business, including updating our Enterprise Resource Planning (“ERP”), and other technological, systems and capabilities; our growth strategy could strain our existing resources and cause the performance of our existing stores to suffer; our success depends upon our marketing, advertising and promotional efforts and if we are unable to implement them successfully or efficiently, or if our competitors are more effective than we are, we may experience a material adverse effect on our business, financial condition and results of operations; we are subject to risks associated with leasing substantial amounts of space, including future increases in occupancy costs; 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 if we fail to retain our existing senior management team or attract qualified new personnel such failure could have a material adverse effect on our business, financial condition and results of operations; our profitability and cash flows may be negatively affected if we are not successful in managing our inventory balances and inventory shrinkage; our operating results and inventory levels fluctuate on a seasonal basis; our e-commerce and omni-channel business faces distinct risks, and our failure to successfully manage those risks could have a negative impact on our profitability; we depend on our distribution centers and/or optical laboratories; we may incur losses arising from our investments in technological innovators in the optical retail industry, including artificial intelligence, which would negatively affect our financial results; ESG issues, including those related to climate change, could have a material adverse effect on our business, financial condition and results of operations; changing climate and weather patterns leading to severe weather and disasters may cause significant business interruptions and expenditures; future operational success depends on our ability to develop, maintain and extend relationships with managed vision care companies, vision insurance providers and other third-party payors; we face risks associated with vendors from whom our products are sourced and are dependent on a limited number of suppliers; 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 we rely on third-party coverage and reimbursement, including government programs, for an increasing portion of our revenues, the future reduction of which could adversely affect our results of operations; we are subject to extensive state, local and federal vision care and healthcare laws and regulations and failure to adhere to such laws and regulations would adversely affect our business; we are subject to managed vision care laws and regulations; we are subject to rapidly changing and increasingly stringent laws, regulations, contractual obligations, and industry standards relating to privacy, data security and data protection which could subject us to liabilities that adversely affect our business, operations and financial performance; we could be adversely affected by product liability, product recall or personal injury issues; failure to comply with laws, regulations and enforcement activities or changes in statutory, regulatory, accounting and other legal requirements could potentially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impact our operating and financial results; adverse judgments or settlements resulting from legal proceedings relating to our business operations could materially adversely affect our business, financial condition and results of operations; we may not be able to adequately protect our intellectual property, which could harm the value of our brand and adversely affect our business; we have a significant amount of indebtedness which could adversely affect our business and financial position, including limiting our business flexibility and preventing us from meeting our debt obligations; a change in interest rates may adversely affect our business; our credit agreement contains restrictions that limit our flexibility in operating our business; conversion of the 2025 Notes could dilute the ownership interest of existing stockholders or may otherwise depress the price of our common stock;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“Adjusted SG&amp;A Percent of Net Revenue,” and “Total Company Net Revenue.” We believe EBITDA, Adjusted Operating Income, Adjusted Operating Margin, Adjusted EBITDA, Adjusted EBITDA Margin, Adjusted Diluted EPS, Adjusted SG&amp;A, Adjusted SG&amp;A Percent of Net Revenue and Total Company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EBITDA: </w:t>
      </w:r>
      <w:r>
        <w:rPr>
          <w:rFonts w:ascii="Times New Roman" w:cs="Times New Roman" w:eastAsia="Times New Roman" w:hAnsi="Times New Roman"/>
          <w:sz w:val="18"/>
          <w:szCs w:val="18"/>
          <w:color w:val="auto"/>
        </w:rPr>
        <w:t>We define EBITDA as net income, plus interest expense (income), net, income tax provision (benefit), and depreciation and amortization.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presenting EBITDA from continuing operations, we use the same definition as EBITDA and also exclude income (loss) from discontinued operations, net of tax.</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Income: </w:t>
      </w:r>
      <w:r>
        <w:rPr>
          <w:rFonts w:ascii="Times New Roman" w:cs="Times New Roman" w:eastAsia="Times New Roman" w:hAnsi="Times New Roman"/>
          <w:sz w:val="18"/>
          <w:szCs w:val="18"/>
          <w:color w:val="auto"/>
        </w:rPr>
        <w:t>We define Adjusted Operating Income as net income, plus interest expense (income), net and income tax provision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adjusted to exclude stock-based compensation expense, loss on extinguishment of debt, asset impairment, litigation settlement, secondary offering expenses, management realignment expenses, long-term incentive plan expenses, amortization of acquisition intangibles, Enterprise Resource Planning (“ERP”) implementation expenses and certain other expenses. When presenting Adjusted Operating Income from continuing operations, we use the same definition for Adjusted Operating Income, and also exclude income (loss) from discontinued operations, net of tax. We define Adjusted Operating Income from discontinued operations as income (loss) from discontinued operations, net of tax, plus income tax provision (benefit), further adjusted to exclude stock-based compensation expense, asset impairment, amortization of acquisition intangibles, and certain other expenses.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Margin: </w:t>
      </w:r>
      <w:r>
        <w:rPr>
          <w:rFonts w:ascii="Times New Roman" w:cs="Times New Roman" w:eastAsia="Times New Roman" w:hAnsi="Times New Roman"/>
          <w:sz w:val="18"/>
          <w:szCs w:val="18"/>
          <w:color w:val="auto"/>
        </w:rPr>
        <w:t>We define Adjusted Operating Margin as Adjusted Operating Income as a percentage of Total Company Net Revenue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presenting total company Adjusted Operating Margin, total net revenue when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91"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presenting Adjusted Operating Margin from continuing operations, or total net revenue from discontinued operations when presenting Adjusted Operating Margin from discontinued operations</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net income, plus interest expense (income), net, income tax provision (benefit) and depreciation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further adjusted to exclude stock-based compensation expense, loss on extinguishment of debt, asset impairment, litigation settlement, secondary offering expenses, management realignment expenses, long-term incentive plan expenses, ERP implementation expenses and certain other expenses. When presenting Adjusted EBITDA from continuing operations, we use the same definition for Adjusted EBITDA, and also exclude income (loss) from discontinued operations, net of tax.</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Margin: </w:t>
      </w:r>
      <w:r>
        <w:rPr>
          <w:rFonts w:ascii="Times New Roman" w:cs="Times New Roman" w:eastAsia="Times New Roman" w:hAnsi="Times New Roman"/>
          <w:sz w:val="18"/>
          <w:szCs w:val="18"/>
          <w:color w:val="auto"/>
        </w:rPr>
        <w:t>We define Adjusted EBITDA Margin as Adjusted EBITDA as a percentage of Total Company Net Revenue when 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company Adjusted EBITDA, or total net revenue when presenting Adjusted EBITDA from continuing operations.</w:t>
      </w:r>
    </w:p>
    <w:p>
      <w:pPr>
        <w:spacing w:after="0" w:line="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Diluted EPS: </w:t>
      </w:r>
      <w:r>
        <w:rPr>
          <w:rFonts w:ascii="Times New Roman" w:cs="Times New Roman" w:eastAsia="Times New Roman" w:hAnsi="Times New Roman"/>
          <w:sz w:val="18"/>
          <w:szCs w:val="18"/>
          <w:color w:val="auto"/>
        </w:rPr>
        <w:t>We define Adjusted Diluted EPS as diluted earnings per share, adjusted for the per share impact of stock-based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2025 Notes when not required under U.S. GAAP to be added back for diluted earnings per share, derivative fair value adjustments, ERP implementation expenses, certain other expenses, and tax expense (benefit) from stock-based compensation, less the tax effect of these adjustments. When presenting Adjusted Diluted EPS from continuing operations, we use the same definition for Adjusted Diluted EPS, and also exclude diluted earnings per share from discontinued operations.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Diluted EPS from discontinued operations as diluted earnings per share from discontinued operations adjusted for the per share impact of stock-based compensation expense, asset impairment, amortization of acquisition intangibles, certain other expenses, and tax expense (benefit) from stock-based compensation, less the tax effect of these adjustments.</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w:t>
      </w:r>
      <w:r>
        <w:rPr>
          <w:rFonts w:ascii="Times New Roman" w:cs="Times New Roman" w:eastAsia="Times New Roman" w:hAnsi="Times New Roman"/>
          <w:sz w:val="18"/>
          <w:szCs w:val="18"/>
          <w:color w:val="auto"/>
        </w:rPr>
        <w:t>We define Adjusted SG&amp;A as SG&amp;A plus SG&amp;A from discontinued operations adjusted to exclude stock-based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 settlement, secondary offering expenses, management realignment expenses, long-term incentive plan expense, ERP implementation expenses, and certain other expenses. When presenting Adjusted SG&amp;A from continuing operations, we use the same definition for Adjusted SG&amp;A, as applicable for continuing operations, and also exclude SG&amp;A from discontinued operations.</w:t>
      </w:r>
    </w:p>
    <w:p>
      <w:pPr>
        <w:spacing w:after="0" w:line="68"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Percent of Net Revenue: </w:t>
      </w:r>
      <w:r>
        <w:rPr>
          <w:rFonts w:ascii="Times New Roman" w:cs="Times New Roman" w:eastAsia="Times New Roman" w:hAnsi="Times New Roman"/>
          <w:sz w:val="18"/>
          <w:szCs w:val="18"/>
          <w:color w:val="auto"/>
        </w:rPr>
        <w:t>We define Adjusted SG&amp;A Percent of Net Revenue as Adjusted SG&amp;A as a percentage of Total Company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when presenting total company Adjusted SG&amp;A Percent of Net Revenue, or total net revenue when presenting Adjusted SG&amp;A Percent of Net Revenue from continuing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Total Company Net Revenue: </w:t>
      </w:r>
      <w:r>
        <w:rPr>
          <w:rFonts w:ascii="Times New Roman" w:cs="Times New Roman" w:eastAsia="Times New Roman" w:hAnsi="Times New Roman"/>
          <w:sz w:val="18"/>
          <w:szCs w:val="18"/>
          <w:color w:val="auto"/>
        </w:rPr>
        <w:t>We define Total Company Net Revenue as total net revenue plus total net revenue from discontinued operations.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Comparable Store Sales Growth: </w:t>
      </w:r>
      <w:r>
        <w:rPr>
          <w:rFonts w:ascii="Times New Roman" w:cs="Times New Roman" w:eastAsia="Times New Roman" w:hAnsi="Times New Roman"/>
          <w:sz w:val="18"/>
          <w:szCs w:val="18"/>
          <w:color w:val="auto"/>
        </w:rPr>
        <w:t>We measure Adjusted Comparable Store Sales Growth as the increase or decrease in sales recorded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91" w:right="3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t>EBITDA, Adjusted Operating Income, Adjusted Operating Margin, Adjusted EBITDA, Adjusted EBITDA Margin, Adjusted Diluted EPS, Adjusted SG&amp;A, Adjusted SG&amp;A Percent of Net Revenue, Total Company Net Revenue and Adjusted Comparable Store Sales Growth are not recognized terms under U.S.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w:t>
      </w:r>
    </w:p>
    <w:p>
      <w:pPr>
        <w:spacing w:after="0" w:line="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tc>
        <w:tc>
          <w:tcPr>
            <w:tcW w:w="280" w:type="dxa"/>
            <w:vAlign w:val="bottom"/>
          </w:tcPr>
          <w:p>
            <w:pPr>
              <w:spacing w:after="0"/>
              <w:rPr>
                <w:sz w:val="17"/>
                <w:szCs w:val="17"/>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00" w:type="dxa"/>
            <w:vAlign w:val="bottom"/>
          </w:tcPr>
          <w:p>
            <w:pPr>
              <w:spacing w:after="0"/>
              <w:rPr>
                <w:sz w:val="17"/>
                <w:szCs w:val="17"/>
                <w:color w:val="auto"/>
              </w:rPr>
            </w:pPr>
          </w:p>
        </w:tc>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71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March 30, 2024</w:t>
            </w:r>
          </w:p>
        </w:tc>
        <w:tc>
          <w:tcPr>
            <w:tcW w:w="200" w:type="dxa"/>
            <w:vAlign w:val="bottom"/>
          </w:tcPr>
          <w:p>
            <w:pPr>
              <w:spacing w:after="0"/>
              <w:rPr>
                <w:sz w:val="21"/>
                <w:szCs w:val="21"/>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149,896</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86,854</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40,012</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396,670</w:t>
            </w: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360,772</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use assets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406,275</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2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noncurrent assets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1,776,456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1,775,841</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2,155,368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67,556</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Unearned revenue</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62,867</w:t>
            </w: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85,090</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397,700</w:t>
            </w: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450,771</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376,814</w:t>
            </w: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87,884</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945,393</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85,194 and 84,831 shares issued as of</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March 30, 2024 and December 30, 2023, respectively; 78,558 and 78,311 shares outstanding as of</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30, 2024 and December 30, 2023, respectively</w:t>
            </w: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788,967</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254,616</w:t>
            </w: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at cost; 6,636 and 6,520 shares as of March 30, 2024 and December 30, 2023,</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(217,315)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(214,594)</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829,418</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2,155,368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765" w:right="339"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p>
      <w:pPr>
        <w:spacing w:after="0" w:line="36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30, 2024</w:t>
            </w:r>
          </w:p>
        </w:tc>
        <w:tc>
          <w:tcPr>
            <w:tcW w:w="180" w:type="dxa"/>
            <w:vAlign w:val="bottom"/>
          </w:tcPr>
          <w:p>
            <w:pPr>
              <w:spacing w:after="0"/>
              <w:rPr>
                <w:sz w:val="19"/>
                <w:szCs w:val="19"/>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April 1, 2023</w:t>
            </w:r>
          </w:p>
        </w:tc>
      </w:tr>
      <w:tr>
        <w:trPr>
          <w:trHeight w:val="209"/>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436,114</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84,683</w:t>
            </w: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520,797</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 amortization):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160,334</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and plans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75,075</w:t>
            </w: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235,409</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233,331</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22,734</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256,302</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29,086</w:t>
            </w:r>
          </w:p>
        </w:tc>
      </w:tr>
      <w:tr>
        <w:trPr>
          <w:trHeight w:val="229"/>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24,219</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57"/>
        </w:trPr>
        <w:tc>
          <w:tcPr>
            <w:tcW w:w="8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78,721</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92,136</w:t>
            </w:r>
          </w:p>
        </w:tc>
      </w:tr>
      <w:tr>
        <w:trPr>
          <w:trHeight w:val="270"/>
        </w:trPr>
        <w:tc>
          <w:tcPr>
            <w:tcW w:w="8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hedge instruments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provision of unrealized gain on hedge instruments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18,458</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Note: Diluted EPS related to the 2025 Notes is calculated using the if-converted method. The 2025 Notes were anti-dilutive for the three months ended March 30, 2024 and excluded from the computation of the weighted average shares for diluted EPS. The 2025 Notes were dilutive for the three months ended April 1, 2023. The Company added back $2.4 million in interest expense (after tax) related to the 2025 Notes and assumed conversion of the 2025 Notes at the beginning of the period.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765"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30, 2024</w:t>
            </w:r>
          </w:p>
        </w:tc>
        <w:tc>
          <w:tcPr>
            <w:tcW w:w="180" w:type="dxa"/>
            <w:vAlign w:val="bottom"/>
          </w:tcPr>
          <w:p>
            <w:pPr>
              <w:spacing w:after="0"/>
              <w:rPr>
                <w:sz w:val="19"/>
                <w:szCs w:val="19"/>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April 1, 2023</w:t>
            </w:r>
          </w:p>
        </w:tc>
      </w:tr>
      <w:tr>
        <w:trPr>
          <w:trHeight w:val="210"/>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24,813</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 and deferred financing costs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cloud computing implementation costs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Losses (gains) on change in fair value of derivatives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 adjustments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 of use assets and lease liabilities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and unearned revenue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r>
      <w:tr>
        <w:trPr>
          <w:trHeight w:val="230"/>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11,537</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74,064</w:t>
            </w: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(27,721)</w:t>
            </w:r>
          </w:p>
        </w:tc>
      </w:tr>
      <w:tr>
        <w:trPr>
          <w:trHeight w:val="230"/>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(27,615)</w:t>
            </w: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on long-term debt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(27,609)</w:t>
            </w:r>
          </w:p>
        </w:tc>
      </w:tr>
      <w:tr>
        <w:trPr>
          <w:trHeight w:val="230"/>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(28,662)</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17,787</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230,624</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151,632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248,411</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8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 information:</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accrued at the end of the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73"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to GAAP Financial Measures (Unaudited)</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from Continuing Operations to Net Income</w:t>
            </w:r>
          </w:p>
        </w:tc>
        <w:tc>
          <w:tcPr>
            <w:tcW w:w="180" w:type="dxa"/>
            <w:vAlign w:val="bottom"/>
          </w:tcPr>
          <w:p>
            <w:pPr>
              <w:spacing w:after="0"/>
              <w:rPr>
                <w:sz w:val="20"/>
                <w:szCs w:val="20"/>
                <w:color w:val="auto"/>
              </w:rPr>
            </w:pPr>
          </w:p>
        </w:tc>
        <w:tc>
          <w:tcPr>
            <w:tcW w:w="3240" w:type="dxa"/>
            <w:vAlign w:val="bottom"/>
            <w:gridSpan w:val="4"/>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March 30, 2024</w:t>
            </w:r>
          </w:p>
        </w:tc>
        <w:tc>
          <w:tcPr>
            <w:tcW w:w="22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April 1, 2023</w:t>
            </w:r>
          </w:p>
        </w:tc>
        <w:tc>
          <w:tcPr>
            <w:tcW w:w="0" w:type="dxa"/>
            <w:vAlign w:val="bottom"/>
          </w:tcPr>
          <w:p>
            <w:pPr>
              <w:spacing w:after="0"/>
              <w:rPr>
                <w:sz w:val="1"/>
                <w:szCs w:val="1"/>
                <w:color w:val="auto"/>
              </w:rPr>
            </w:pPr>
          </w:p>
        </w:tc>
      </w:tr>
      <w:tr>
        <w:trPr>
          <w:trHeight w:val="223"/>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542,523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520,797</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18,270</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 net of tax</w:t>
            </w: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15,973</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4,867</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8,246</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(d)</w:t>
            </w: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implementation expenses </w:t>
            </w:r>
            <w:r>
              <w:rPr>
                <w:rFonts w:ascii="Times New Roman" w:cs="Times New Roman" w:eastAsia="Times New Roman" w:hAnsi="Times New Roman"/>
                <w:sz w:val="23"/>
                <w:szCs w:val="23"/>
                <w:color w:val="auto"/>
                <w:vertAlign w:val="superscript"/>
              </w:rPr>
              <w:t>(g)</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 from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33,891</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Operating Margin from continuing operations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162"/>
        </w:trPr>
        <w:tc>
          <w:tcPr>
            <w:tcW w:w="7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8"/>
          <w:szCs w:val="18"/>
          <w:i w:val="1"/>
          <w:iCs w:val="1"/>
          <w:color w:val="auto"/>
        </w:rPr>
        <w:t>Note: Percentages reflect line item as a percentage of total net revenue, adjusted for rounding.</w:t>
      </w:r>
    </w:p>
    <w:p>
      <w:pPr>
        <w:spacing w:after="0" w:line="378" w:lineRule="exact"/>
        <w:rPr>
          <w:sz w:val="20"/>
          <w:szCs w:val="20"/>
          <w:color w:val="auto"/>
        </w:rPr>
      </w:pPr>
    </w:p>
    <w:p>
      <w:pPr>
        <w:ind w:left="8700" w:right="740" w:hanging="8678"/>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Reconciliation of Adjusted Operating Income from Discontinued Operations to Income (Loss) from Discontinued Operations, Net of Tax </w:t>
      </w:r>
      <w:r>
        <w:rPr>
          <w:rFonts w:ascii="Times New Roman" w:cs="Times New Roman" w:eastAsia="Times New Roman" w:hAnsi="Times New Roman"/>
          <w:sz w:val="17"/>
          <w:szCs w:val="17"/>
          <w:color w:val="auto"/>
        </w:rPr>
        <w:t>Three Months Ended</w:t>
      </w:r>
    </w:p>
    <w:tbl>
      <w:tblPr>
        <w:tblLayout w:type="fixed"/>
        <w:tblInd w:w="0" w:type="dxa"/>
        <w:tblCellMar>
          <w:top w:w="0" w:type="dxa"/>
          <w:left w:w="0" w:type="dxa"/>
          <w:bottom w:w="0" w:type="dxa"/>
          <w:right w:w="0" w:type="dxa"/>
        </w:tblCellMar>
      </w:tblPr>
      <w:tr>
        <w:trPr>
          <w:trHeight w:val="204"/>
        </w:trPr>
        <w:tc>
          <w:tcPr>
            <w:tcW w:w="77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ind w:left="80"/>
              <w:spacing w:after="0" w:line="204" w:lineRule="exact"/>
              <w:rPr>
                <w:sz w:val="20"/>
                <w:szCs w:val="20"/>
                <w:color w:val="auto"/>
              </w:rPr>
            </w:pPr>
            <w:r>
              <w:rPr>
                <w:rFonts w:ascii="Times New Roman" w:cs="Times New Roman" w:eastAsia="Times New Roman" w:hAnsi="Times New Roman"/>
                <w:sz w:val="18"/>
                <w:szCs w:val="18"/>
                <w:color w:val="auto"/>
              </w:rPr>
              <w:t>March 30, 2024</w:t>
            </w: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70"/>
              <w:spacing w:after="0" w:line="204" w:lineRule="exact"/>
              <w:rPr>
                <w:sz w:val="20"/>
                <w:szCs w:val="20"/>
                <w:color w:val="auto"/>
              </w:rPr>
            </w:pPr>
            <w:r>
              <w:rPr>
                <w:rFonts w:ascii="Times New Roman" w:cs="Times New Roman" w:eastAsia="Times New Roman" w:hAnsi="Times New Roman"/>
                <w:sz w:val="18"/>
                <w:szCs w:val="18"/>
                <w:color w:val="auto"/>
              </w:rPr>
              <w:t>April 1, 2023</w:t>
            </w:r>
          </w:p>
        </w:tc>
      </w:tr>
      <w:tr>
        <w:trPr>
          <w:trHeight w:val="223"/>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 from discontinued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18,384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41,572</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 net of tax</w:t>
            </w:r>
          </w:p>
        </w:tc>
        <w:tc>
          <w:tcPr>
            <w:tcW w:w="18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2,297</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1,929</w:t>
            </w:r>
          </w:p>
        </w:tc>
      </w:tr>
      <w:tr>
        <w:trPr>
          <w:trHeight w:val="229"/>
        </w:trPr>
        <w:tc>
          <w:tcPr>
            <w:tcW w:w="7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(d)</w:t>
            </w: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1,491</w:t>
            </w: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(l)</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 from discontinued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5,982</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29"/>
        </w:trPr>
        <w:tc>
          <w:tcPr>
            <w:tcW w:w="7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 net of tax margin</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Margin from discontinued operations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r>
    </w:tbl>
    <w:p>
      <w:pPr>
        <w:spacing w:after="0" w:line="2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Note: Percentages reflect line item as a percentage of total net revenue from discontinued operations, adjusted for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887"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to Net Income</w:t>
            </w:r>
          </w:p>
        </w:tc>
        <w:tc>
          <w:tcPr>
            <w:tcW w:w="180" w:type="dxa"/>
            <w:vAlign w:val="bottom"/>
          </w:tcPr>
          <w:p>
            <w:pPr>
              <w:spacing w:after="0"/>
              <w:rPr>
                <w:sz w:val="20"/>
                <w:szCs w:val="20"/>
                <w:color w:val="auto"/>
              </w:rPr>
            </w:pPr>
          </w:p>
        </w:tc>
        <w:tc>
          <w:tcPr>
            <w:tcW w:w="3220" w:type="dxa"/>
            <w:vAlign w:val="bottom"/>
            <w:gridSpan w:val="4"/>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7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March 30, 2024</w:t>
            </w:r>
          </w:p>
        </w:tc>
        <w:tc>
          <w:tcPr>
            <w:tcW w:w="220" w:type="dxa"/>
            <w:vAlign w:val="bottom"/>
          </w:tcPr>
          <w:p>
            <w:pPr>
              <w:spacing w:after="0"/>
              <w:rPr>
                <w:sz w:val="19"/>
                <w:szCs w:val="19"/>
                <w:color w:val="auto"/>
              </w:rPr>
            </w:pP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April 1, 2023</w:t>
            </w:r>
          </w:p>
        </w:tc>
        <w:tc>
          <w:tcPr>
            <w:tcW w:w="0" w:type="dxa"/>
            <w:vAlign w:val="bottom"/>
          </w:tcPr>
          <w:p>
            <w:pPr>
              <w:spacing w:after="0"/>
              <w:rPr>
                <w:sz w:val="1"/>
                <w:szCs w:val="1"/>
                <w:color w:val="auto"/>
              </w:rPr>
            </w:pPr>
          </w:p>
        </w:tc>
      </w:tr>
      <w:tr>
        <w:trPr>
          <w:trHeight w:val="22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11,685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18,270</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4,867</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10,175</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4,315</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(c)</w:t>
            </w:r>
          </w:p>
        </w:tc>
        <w:tc>
          <w:tcPr>
            <w:tcW w:w="1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(d)</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Implementation expenses </w:t>
            </w:r>
            <w:r>
              <w:rPr>
                <w:rFonts w:ascii="Times New Roman" w:cs="Times New Roman" w:eastAsia="Times New Roman" w:hAnsi="Times New Roman"/>
                <w:sz w:val="23"/>
                <w:szCs w:val="23"/>
                <w:color w:val="auto"/>
                <w:vertAlign w:val="superscript"/>
              </w:rPr>
              <w:t>(g)</w:t>
            </w:r>
          </w:p>
        </w:tc>
        <w:tc>
          <w:tcPr>
            <w:tcW w:w="18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(k)</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34,978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39,873</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Operating Margin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0" w:right="1080" w:firstLine="45"/>
        <w:spacing w:after="0" w:line="238" w:lineRule="auto"/>
        <w:rPr>
          <w:sz w:val="20"/>
          <w:szCs w:val="20"/>
          <w:color w:val="auto"/>
        </w:rPr>
      </w:pPr>
      <w:r>
        <w:rPr>
          <w:rFonts w:ascii="Times New Roman" w:cs="Times New Roman" w:eastAsia="Times New Roman" w:hAnsi="Times New Roman"/>
          <w:sz w:val="18"/>
          <w:szCs w:val="18"/>
          <w:i w:val="1"/>
          <w:iCs w:val="1"/>
          <w:color w:val="auto"/>
        </w:rPr>
        <w:t>Note: Percentages reflect line item as a percentage of total net revenue for net income margin and Total Company Net Revenue for Adjusted Operating Margin, adjusted for rounding.</w:t>
      </w:r>
    </w:p>
    <w:p>
      <w:pPr>
        <w:spacing w:after="0" w:line="3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Reconciliation of EBITDA from Continuing Operations and Adjusted EBITDA from Continuing Operations to Net Income</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30, 2024</w:t>
            </w:r>
          </w:p>
        </w:tc>
        <w:tc>
          <w:tcPr>
            <w:tcW w:w="220" w:type="dxa"/>
            <w:vAlign w:val="bottom"/>
          </w:tcPr>
          <w:p>
            <w:pPr>
              <w:spacing w:after="0"/>
              <w:rPr>
                <w:sz w:val="19"/>
                <w:szCs w:val="19"/>
                <w:color w:val="auto"/>
              </w:rPr>
            </w:pP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April 1, 2023</w:t>
            </w:r>
          </w:p>
        </w:tc>
      </w:tr>
      <w:tr>
        <w:trPr>
          <w:trHeight w:val="223"/>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542,523</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520,797</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11,685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18,270</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2,297</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 net of tax</w:t>
            </w: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12,239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15,973</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4,867</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7,915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8,246</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23,637</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22,734</w:t>
            </w:r>
          </w:p>
        </w:tc>
      </w:tr>
      <w:tr>
        <w:trPr>
          <w:trHeight w:val="223"/>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EBITDA from continuing operations</w:t>
            </w: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48,047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51,820</w:t>
            </w:r>
          </w:p>
        </w:tc>
      </w:tr>
      <w:tr>
        <w:trPr>
          <w:trHeight w:val="162"/>
        </w:trPr>
        <w:tc>
          <w:tcPr>
            <w:tcW w:w="7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30"/>
        </w:trPr>
        <w:tc>
          <w:tcPr>
            <w:tcW w:w="7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4,087</w:t>
            </w:r>
          </w:p>
        </w:tc>
      </w:tr>
      <w:tr>
        <w:trPr>
          <w:trHeight w:val="230"/>
        </w:trPr>
        <w:tc>
          <w:tcPr>
            <w:tcW w:w="7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7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(c)</w:t>
            </w:r>
          </w:p>
        </w:tc>
        <w:tc>
          <w:tcPr>
            <w:tcW w:w="1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4,450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implementation expenses </w:t>
            </w:r>
            <w:r>
              <w:rPr>
                <w:rFonts w:ascii="Times New Roman" w:cs="Times New Roman" w:eastAsia="Times New Roman" w:hAnsi="Times New Roman"/>
                <w:sz w:val="23"/>
                <w:szCs w:val="23"/>
                <w:color w:val="auto"/>
                <w:vertAlign w:val="superscript"/>
              </w:rPr>
              <w:t>(g)</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3,117</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7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from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59,021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56,244</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8"/>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Margin from continuing operations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r>
    </w:tbl>
    <w:p>
      <w:pPr>
        <w:spacing w:after="0" w:line="1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Note: Percentages reflect line item as a percentage of total net revenue, adjusted for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27" w:right="339" w:bottom="1440" w:gutter="0" w:footer="0" w:header="0"/>
        </w:sectPr>
      </w:pPr>
    </w:p>
    <w:bookmarkStart w:id="15" w:name="page16"/>
    <w:bookmarkEnd w:id="15"/>
    <w:tbl>
      <w:tblPr>
        <w:tblLayout w:type="fixed"/>
        <w:tblInd w:w="40" w:type="dxa"/>
        <w:tblCellMar>
          <w:top w:w="0" w:type="dxa"/>
          <w:left w:w="0" w:type="dxa"/>
          <w:bottom w:w="0" w:type="dxa"/>
          <w:right w:w="0" w:type="dxa"/>
        </w:tblCellMar>
      </w:tblPr>
      <w:tr>
        <w:trPr>
          <w:trHeight w:val="23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Diluted EPS from Continuing Operations to Diluted EPS</w:t>
            </w:r>
          </w:p>
        </w:tc>
        <w:tc>
          <w:tcPr>
            <w:tcW w:w="140" w:type="dxa"/>
            <w:vAlign w:val="bottom"/>
          </w:tcPr>
          <w:p>
            <w:pPr>
              <w:spacing w:after="0"/>
              <w:rPr>
                <w:sz w:val="20"/>
                <w:szCs w:val="20"/>
                <w:color w:val="auto"/>
              </w:rPr>
            </w:pPr>
          </w:p>
        </w:tc>
        <w:tc>
          <w:tcPr>
            <w:tcW w:w="3020" w:type="dxa"/>
            <w:vAlign w:val="bottom"/>
            <w:gridSpan w:val="4"/>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 except per share amounts</w:t>
            </w: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30, 2024</w:t>
            </w:r>
          </w:p>
        </w:tc>
        <w:tc>
          <w:tcPr>
            <w:tcW w:w="200" w:type="dxa"/>
            <w:vAlign w:val="bottom"/>
          </w:tcPr>
          <w:p>
            <w:pPr>
              <w:spacing w:after="0"/>
              <w:rPr>
                <w:sz w:val="19"/>
                <w:szCs w:val="19"/>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April 1, 2023</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EPS from discontinued operations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 from continuing operations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(c)</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debt discount and deferred financing costs </w:t>
            </w:r>
            <w:r>
              <w:rPr>
                <w:rFonts w:ascii="Times New Roman" w:cs="Times New Roman" w:eastAsia="Times New Roman" w:hAnsi="Times New Roman"/>
                <w:sz w:val="23"/>
                <w:szCs w:val="23"/>
                <w:color w:val="auto"/>
                <w:vertAlign w:val="superscript"/>
              </w:rPr>
              <w:t>(e)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Derivatives fair value adjustments </w:t>
            </w:r>
            <w:r>
              <w:rPr>
                <w:rFonts w:ascii="Times New Roman" w:cs="Times New Roman" w:eastAsia="Times New Roman" w:hAnsi="Times New Roman"/>
                <w:sz w:val="23"/>
                <w:szCs w:val="23"/>
                <w:color w:val="auto"/>
                <w:vertAlign w:val="superscript"/>
              </w:rPr>
              <w:t>(f)</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implementation expenses </w:t>
            </w:r>
            <w:r>
              <w:rPr>
                <w:rFonts w:ascii="Times New Roman" w:cs="Times New Roman" w:eastAsia="Times New Roman" w:hAnsi="Times New Roman"/>
                <w:sz w:val="23"/>
                <w:szCs w:val="23"/>
                <w:color w:val="auto"/>
                <w:vertAlign w:val="superscript"/>
              </w:rPr>
              <w:t>(g)</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expense from stock-based compensation </w:t>
            </w:r>
            <w:r>
              <w:rPr>
                <w:rFonts w:ascii="Times New Roman" w:cs="Times New Roman" w:eastAsia="Times New Roman" w:hAnsi="Times New Roman"/>
                <w:sz w:val="23"/>
                <w:szCs w:val="23"/>
                <w:color w:val="auto"/>
                <w:vertAlign w:val="superscript"/>
              </w:rPr>
              <w:t>(i)</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 of total adjustments </w:t>
            </w:r>
            <w:r>
              <w:rPr>
                <w:rFonts w:ascii="Times New Roman" w:cs="Times New Roman" w:eastAsia="Times New Roman" w:hAnsi="Times New Roman"/>
                <w:sz w:val="23"/>
                <w:szCs w:val="23"/>
                <w:color w:val="auto"/>
                <w:vertAlign w:val="superscript"/>
              </w:rPr>
              <w:t>(j)</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Diluted EPS from continuing operations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Diluted EPS from 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Diluted EPS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92,136</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Note: Some of the totals in the table above do not foot due to rounding differences.</w:t>
      </w: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Diluted EPS from Discontinued Operations to Diluted EPS from Discontinued Operations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 except per share amounts</w:t>
            </w:r>
          </w:p>
        </w:tc>
        <w:tc>
          <w:tcPr>
            <w:tcW w:w="16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30, 2024</w:t>
            </w:r>
          </w:p>
        </w:tc>
        <w:tc>
          <w:tcPr>
            <w:tcW w:w="200" w:type="dxa"/>
            <w:vAlign w:val="bottom"/>
          </w:tcPr>
          <w:p>
            <w:pPr>
              <w:spacing w:after="0"/>
              <w:rPr>
                <w:sz w:val="19"/>
                <w:szCs w:val="19"/>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April 1, 2023</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 from discontinued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(d)</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(l)</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expense from stock-based compensation </w:t>
            </w:r>
            <w:r>
              <w:rPr>
                <w:rFonts w:ascii="Times New Roman" w:cs="Times New Roman" w:eastAsia="Times New Roman" w:hAnsi="Times New Roman"/>
                <w:sz w:val="23"/>
                <w:szCs w:val="23"/>
                <w:color w:val="auto"/>
                <w:vertAlign w:val="superscript"/>
              </w:rPr>
              <w:t>(i)</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 of total adjustments </w:t>
            </w:r>
            <w:r>
              <w:rPr>
                <w:rFonts w:ascii="Times New Roman" w:cs="Times New Roman" w:eastAsia="Times New Roman" w:hAnsi="Times New Roman"/>
                <w:sz w:val="23"/>
                <w:szCs w:val="23"/>
                <w:color w:val="auto"/>
                <w:vertAlign w:val="superscript"/>
              </w:rPr>
              <w:t>(j)</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2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Diluted EPS from discontinued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29"/>
        </w:trPr>
        <w:tc>
          <w:tcPr>
            <w:tcW w:w="8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23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92,136</w:t>
            </w:r>
          </w:p>
        </w:tc>
      </w:tr>
    </w:tbl>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Note: Some of the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927"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Diluted EPS to Diluted EPS</w:t>
            </w:r>
          </w:p>
        </w:tc>
        <w:tc>
          <w:tcPr>
            <w:tcW w:w="160" w:type="dxa"/>
            <w:vAlign w:val="bottom"/>
          </w:tcPr>
          <w:p>
            <w:pPr>
              <w:spacing w:after="0"/>
              <w:rPr>
                <w:sz w:val="20"/>
                <w:szCs w:val="20"/>
                <w:color w:val="auto"/>
              </w:rPr>
            </w:pPr>
          </w:p>
        </w:tc>
        <w:tc>
          <w:tcPr>
            <w:tcW w:w="3020" w:type="dxa"/>
            <w:vAlign w:val="bottom"/>
            <w:gridSpan w:val="4"/>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8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 except per share amounts</w:t>
            </w:r>
          </w:p>
        </w:tc>
        <w:tc>
          <w:tcPr>
            <w:tcW w:w="16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30, 2024</w:t>
            </w:r>
          </w:p>
        </w:tc>
        <w:tc>
          <w:tcPr>
            <w:tcW w:w="180" w:type="dxa"/>
            <w:vAlign w:val="bottom"/>
          </w:tcPr>
          <w:p>
            <w:pPr>
              <w:spacing w:after="0"/>
              <w:rPr>
                <w:sz w:val="19"/>
                <w:szCs w:val="19"/>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April 1, 2023</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(c)</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(d)</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debt discount and deferred financing costs </w:t>
            </w:r>
            <w:r>
              <w:rPr>
                <w:rFonts w:ascii="Times New Roman" w:cs="Times New Roman" w:eastAsia="Times New Roman" w:hAnsi="Times New Roman"/>
                <w:sz w:val="23"/>
                <w:szCs w:val="23"/>
                <w:color w:val="auto"/>
                <w:vertAlign w:val="superscript"/>
              </w:rPr>
              <w:t>(e)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 fair value adjustments </w:t>
            </w:r>
            <w:r>
              <w:rPr>
                <w:rFonts w:ascii="Times New Roman" w:cs="Times New Roman" w:eastAsia="Times New Roman" w:hAnsi="Times New Roman"/>
                <w:sz w:val="23"/>
                <w:szCs w:val="23"/>
                <w:color w:val="auto"/>
                <w:vertAlign w:val="superscript"/>
              </w:rPr>
              <w:t>(f)</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implementation expenses </w:t>
            </w:r>
            <w:r>
              <w:rPr>
                <w:rFonts w:ascii="Times New Roman" w:cs="Times New Roman" w:eastAsia="Times New Roman" w:hAnsi="Times New Roman"/>
                <w:sz w:val="23"/>
                <w:szCs w:val="23"/>
                <w:color w:val="auto"/>
                <w:vertAlign w:val="superscript"/>
              </w:rPr>
              <w:t>(g)</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(k)</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expense from stock-based compensation </w:t>
            </w:r>
            <w:r>
              <w:rPr>
                <w:rFonts w:ascii="Times New Roman" w:cs="Times New Roman" w:eastAsia="Times New Roman" w:hAnsi="Times New Roman"/>
                <w:sz w:val="23"/>
                <w:szCs w:val="23"/>
                <w:color w:val="auto"/>
                <w:vertAlign w:val="superscript"/>
              </w:rPr>
              <w:t>(i)</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 of total adjustments </w:t>
            </w:r>
            <w:r>
              <w:rPr>
                <w:rFonts w:ascii="Times New Roman" w:cs="Times New Roman" w:eastAsia="Times New Roman" w:hAnsi="Times New Roman"/>
                <w:sz w:val="23"/>
                <w:szCs w:val="23"/>
                <w:color w:val="auto"/>
                <w:vertAlign w:val="superscript"/>
              </w:rPr>
              <w:t>(j)</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Diluted EPS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8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Note: Some of the totals in the table above do not foot due to rounding differences.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7"/>
        </w:trPr>
        <w:tc>
          <w:tcPr>
            <w:tcW w:w="6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SG&amp;A from Continuing Operations to SG&amp;A from Continuing Operations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7"/>
            <w:vMerge w:val="restart"/>
          </w:tcPr>
          <w:p>
            <w:pPr>
              <w:jc w:val="right"/>
              <w:ind w:right="96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9"/>
                <w:szCs w:val="19"/>
                <w:color w:val="auto"/>
              </w:rPr>
            </w:pPr>
          </w:p>
        </w:tc>
        <w:tc>
          <w:tcPr>
            <w:tcW w:w="15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March 30, 2024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April 1, 2023</w:t>
            </w:r>
          </w:p>
        </w:tc>
        <w:tc>
          <w:tcPr>
            <w:tcW w:w="0" w:type="dxa"/>
            <w:vAlign w:val="bottom"/>
          </w:tcPr>
          <w:p>
            <w:pPr>
              <w:spacing w:after="0"/>
              <w:rPr>
                <w:sz w:val="1"/>
                <w:szCs w:val="1"/>
                <w:color w:val="auto"/>
              </w:rPr>
            </w:pPr>
          </w:p>
        </w:tc>
      </w:tr>
      <w:tr>
        <w:trPr>
          <w:trHeight w:val="223"/>
        </w:trPr>
        <w:tc>
          <w:tcPr>
            <w:tcW w:w="60" w:type="dxa"/>
            <w:vAlign w:val="bottom"/>
            <w:tcBorders>
              <w:right w:val="single" w:sz="8" w:color="CCEEFF"/>
            </w:tcBorders>
          </w:tcPr>
          <w:p>
            <w:pPr>
              <w:spacing w:after="0"/>
              <w:rPr>
                <w:sz w:val="19"/>
                <w:szCs w:val="19"/>
                <w:color w:val="auto"/>
              </w:rPr>
            </w:pPr>
          </w:p>
        </w:tc>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542,523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520,797</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SG&amp;A</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245,366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233,331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77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4,087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7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(c)</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19"/>
                <w:szCs w:val="19"/>
                <w:color w:val="auto"/>
              </w:rPr>
            </w:pPr>
          </w:p>
        </w:tc>
        <w:tc>
          <w:tcPr>
            <w:tcW w:w="77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ERP implementation expenses </w:t>
            </w:r>
            <w:r>
              <w:rPr>
                <w:rFonts w:ascii="Times New Roman" w:cs="Times New Roman" w:eastAsia="Times New Roman" w:hAnsi="Times New Roman"/>
                <w:sz w:val="23"/>
                <w:szCs w:val="23"/>
                <w:color w:val="auto"/>
                <w:vertAlign w:val="superscript"/>
              </w:rPr>
              <w:t>(g)</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700" w:type="dxa"/>
            <w:vAlign w:val="bottom"/>
            <w:tcBorders>
              <w:bottom w:val="single" w:sz="8" w:color="CCEEFF"/>
            </w:tcBorders>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Borders>
              <w:right w:val="single" w:sz="8" w:color="CCEEFF"/>
            </w:tcBorders>
          </w:tcPr>
          <w:p>
            <w:pPr>
              <w:spacing w:after="0"/>
              <w:rPr>
                <w:sz w:val="21"/>
                <w:szCs w:val="21"/>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Adjusted SG&amp;A from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234,848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229,261</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19"/>
                <w:szCs w:val="19"/>
                <w:color w:val="auto"/>
              </w:rPr>
            </w:pPr>
          </w:p>
        </w:tc>
        <w:tc>
          <w:tcPr>
            <w:tcW w:w="7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SG&amp;A from continuing operations Percent of Net Revenue</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44.8 %</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Adjusted SG&amp;A from continuing operations Percent of Net Revenue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44.0 %</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Note: Percentages reflect line item as a percentage of total net revenue.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6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Total Company Net Revenue to Total net revenue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7"/>
            <w:vMerge w:val="restart"/>
          </w:tcPr>
          <w:p>
            <w:pPr>
              <w:jc w:val="right"/>
              <w:ind w:right="84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March 30, 2024</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April 1, 2023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542,523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net revenue from discontinued operations</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18,384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7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Company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560,907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27"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related to impairment of long-lived assets, primarily impairment of property, equipment and lease-related assets on closed or underperforming stores.</w:t>
      </w:r>
    </w:p>
    <w:p>
      <w:pPr>
        <w:spacing w:after="0" w:line="1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associated with settlement of certain litigation.</w:t>
      </w:r>
    </w:p>
    <w:p>
      <w:pPr>
        <w:spacing w:after="0" w:line="4" w:lineRule="exact"/>
        <w:rPr>
          <w:rFonts w:ascii="Times New Roman" w:cs="Times New Roman" w:eastAsia="Times New Roman" w:hAnsi="Times New Roman"/>
          <w:sz w:val="14"/>
          <w:szCs w:val="14"/>
          <w:color w:val="auto"/>
        </w:rPr>
      </w:pPr>
    </w:p>
    <w:p>
      <w:pPr>
        <w:ind w:left="660" w:right="660" w:hanging="328"/>
        <w:spacing w:after="0" w:line="259" w:lineRule="auto"/>
        <w:tabs>
          <w:tab w:leader="none" w:pos="65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increase in carrying values of finite-lived intangible assets resulting from the application of purchase accounting following the acquisition of the Company by affiliates of KKR &amp; Co. Inc.</w:t>
      </w:r>
    </w:p>
    <w:p>
      <w:pPr>
        <w:ind w:left="660" w:right="640" w:hanging="328"/>
        <w:spacing w:after="0" w:line="283" w:lineRule="auto"/>
        <w:tabs>
          <w:tab w:leader="none" w:pos="6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27" w:right="339" w:bottom="1440" w:gutter="0" w:footer="0" w:header="0"/>
        </w:sectPr>
      </w:pPr>
    </w:p>
    <w:bookmarkStart w:id="17" w:name="page18"/>
    <w:bookmarkEnd w:id="17"/>
    <w:p>
      <w:pPr>
        <w:jc w:val="both"/>
        <w:ind w:left="490" w:right="500" w:hanging="328"/>
        <w:spacing w:after="0" w:line="262" w:lineRule="auto"/>
        <w:tabs>
          <w:tab w:leader="none" w:pos="48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spacing w:after="0" w:line="1" w:lineRule="exact"/>
        <w:rPr>
          <w:rFonts w:ascii="Times New Roman" w:cs="Times New Roman" w:eastAsia="Times New Roman" w:hAnsi="Times New Roman"/>
          <w:sz w:val="14"/>
          <w:szCs w:val="14"/>
          <w:color w:val="auto"/>
        </w:rPr>
      </w:pPr>
    </w:p>
    <w:p>
      <w:pPr>
        <w:ind w:left="470" w:hanging="308"/>
        <w:spacing w:after="0"/>
        <w:tabs>
          <w:tab w:leader="none" w:pos="47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the Company’s ERP implementation.</w:t>
      </w:r>
    </w:p>
    <w:p>
      <w:pPr>
        <w:spacing w:after="0" w:line="11" w:lineRule="exact"/>
        <w:rPr>
          <w:rFonts w:ascii="Times New Roman" w:cs="Times New Roman" w:eastAsia="Times New Roman" w:hAnsi="Times New Roman"/>
          <w:sz w:val="14"/>
          <w:szCs w:val="14"/>
          <w:color w:val="auto"/>
        </w:rPr>
      </w:pPr>
    </w:p>
    <w:p>
      <w:pPr>
        <w:jc w:val="both"/>
        <w:ind w:left="490" w:right="480" w:hanging="328"/>
        <w:spacing w:after="0" w:line="257" w:lineRule="auto"/>
        <w:tabs>
          <w:tab w:leader="none" w:pos="4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costs associated with the digitization of paper-based records of $1.8 million, costs primarily related to the wind down of AC Lens of $0.9 million for the three months ended March 30, 2024, excess payroll taxes on vesting of restricted stock units and exercises of stock options, executive severance and relocation and other expenses and adjustments.</w:t>
      </w:r>
    </w:p>
    <w:p>
      <w:pPr>
        <w:spacing w:after="0" w:line="2" w:lineRule="exact"/>
        <w:rPr>
          <w:rFonts w:ascii="Times New Roman" w:cs="Times New Roman" w:eastAsia="Times New Roman" w:hAnsi="Times New Roman"/>
          <w:sz w:val="14"/>
          <w:szCs w:val="14"/>
          <w:color w:val="auto"/>
        </w:rPr>
      </w:pPr>
    </w:p>
    <w:p>
      <w:pPr>
        <w:ind w:left="490" w:right="480" w:hanging="328"/>
        <w:spacing w:after="0" w:line="259" w:lineRule="auto"/>
        <w:tabs>
          <w:tab w:leader="none" w:pos="47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expense (benefit) associated with accounting guidance requiring excess tax expense (benefit) related to vesting of restricted stock units and exercises of stock options to be recorded in earnings as discrete items in the reporting period in which they occur.</w:t>
      </w:r>
    </w:p>
    <w:p>
      <w:pPr>
        <w:ind w:left="470" w:hanging="308"/>
        <w:spacing w:after="0"/>
        <w:tabs>
          <w:tab w:leader="none" w:pos="47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w:t>
      </w:r>
    </w:p>
    <w:p>
      <w:pPr>
        <w:spacing w:after="0" w:line="14" w:lineRule="exact"/>
        <w:rPr>
          <w:rFonts w:ascii="Times New Roman" w:cs="Times New Roman" w:eastAsia="Times New Roman" w:hAnsi="Times New Roman"/>
          <w:sz w:val="14"/>
          <w:szCs w:val="14"/>
          <w:color w:val="auto"/>
        </w:rPr>
      </w:pPr>
    </w:p>
    <w:p>
      <w:pPr>
        <w:ind w:left="490" w:right="500" w:hanging="328"/>
        <w:spacing w:after="0" w:line="254" w:lineRule="auto"/>
        <w:tabs>
          <w:tab w:leader="none" w:pos="48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other expenses in (h) above, as well as $1.9 million for the three months ended March 30, 2024 that are related to the termination of the Walmart MSA and are presented in discontinued operations.</w:t>
      </w:r>
    </w:p>
    <w:p>
      <w:pPr>
        <w:ind w:left="490" w:right="500" w:hanging="328"/>
        <w:spacing w:after="0" w:line="278" w:lineRule="auto"/>
        <w:tabs>
          <w:tab w:leader="none" w:pos="47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costs primarily related to the termination of the Walmart MSA of $1.8 million and other immaterial adjustments for costs applicable to revenue for the three months ended March 30, 2024.</w:t>
      </w:r>
    </w:p>
    <w:p>
      <w:pPr>
        <w:spacing w:after="0" w:line="97" w:lineRule="exact"/>
        <w:rPr>
          <w:sz w:val="20"/>
          <w:szCs w:val="20"/>
          <w:color w:val="auto"/>
        </w:rPr>
      </w:pPr>
    </w:p>
    <w:p>
      <w:pPr>
        <w:ind w:left="70" w:right="440"/>
        <w:spacing w:after="0" w:line="239" w:lineRule="auto"/>
        <w:rPr>
          <w:sz w:val="20"/>
          <w:szCs w:val="20"/>
          <w:color w:val="auto"/>
        </w:rPr>
      </w:pPr>
      <w:r>
        <w:rPr>
          <w:rFonts w:ascii="Times New Roman" w:cs="Times New Roman" w:eastAsia="Times New Roman" w:hAnsi="Times New Roman"/>
          <w:sz w:val="18"/>
          <w:szCs w:val="18"/>
          <w:b w:val="1"/>
          <w:bCs w:val="1"/>
          <w:color w:val="auto"/>
        </w:rPr>
        <w:t>Reconciliation of Adjusted Comparable Store Sales Growth from Continuing Operations to Total Comparable Store Sales Growth from Continuing Operations</w:t>
      </w:r>
    </w:p>
    <w:p>
      <w:pPr>
        <w:jc w:val="center"/>
        <w:ind w:left="7300"/>
        <w:spacing w:after="0" w:line="225" w:lineRule="auto"/>
        <w:rPr>
          <w:sz w:val="20"/>
          <w:szCs w:val="20"/>
          <w:color w:val="auto"/>
        </w:rPr>
      </w:pPr>
      <w:r>
        <w:rPr>
          <w:rFonts w:ascii="Times New Roman" w:cs="Times New Roman" w:eastAsia="Times New Roman" w:hAnsi="Times New Roman"/>
          <w:sz w:val="18"/>
          <w:szCs w:val="18"/>
          <w:color w:val="auto"/>
        </w:rPr>
        <w:t>Comparable store sales growth from continuing</w:t>
      </w:r>
    </w:p>
    <w:p>
      <w:pPr>
        <w:jc w:val="center"/>
        <w:ind w:left="7300"/>
        <w:spacing w:after="0" w:line="217" w:lineRule="auto"/>
        <w:rPr>
          <w:sz w:val="20"/>
          <w:szCs w:val="20"/>
          <w:color w:val="auto"/>
        </w:rPr>
      </w:pPr>
      <w:r>
        <w:rPr>
          <w:rFonts w:ascii="Times New Roman" w:cs="Times New Roman" w:eastAsia="Times New Roman" w:hAnsi="Times New Roman"/>
          <w:sz w:val="18"/>
          <w:szCs w:val="18"/>
          <w:color w:val="auto"/>
        </w:rPr>
        <w:t xml:space="preserve">operations </w:t>
      </w:r>
      <w:r>
        <w:rPr>
          <w:rFonts w:ascii="Times New Roman" w:cs="Times New Roman" w:eastAsia="Times New Roman" w:hAnsi="Times New Roman"/>
          <w:sz w:val="23"/>
          <w:szCs w:val="23"/>
          <w:color w:val="auto"/>
          <w:vertAlign w:val="superscript"/>
        </w:rPr>
        <w:t>(a)</w:t>
      </w:r>
    </w:p>
    <w:tbl>
      <w:tblPr>
        <w:tblLayout w:type="fixed"/>
        <w:tblInd w:w="50" w:type="dxa"/>
        <w:tblCellMar>
          <w:top w:w="0" w:type="dxa"/>
          <w:left w:w="0" w:type="dxa"/>
          <w:bottom w:w="0" w:type="dxa"/>
          <w:right w:w="0" w:type="dxa"/>
        </w:tblCellMar>
      </w:tblPr>
      <w:tr>
        <w:trPr>
          <w:trHeight w:val="169"/>
        </w:trPr>
        <w:tc>
          <w:tcPr>
            <w:tcW w:w="7300" w:type="dxa"/>
            <w:vAlign w:val="bottom"/>
          </w:tcPr>
          <w:p>
            <w:pPr>
              <w:spacing w:after="0"/>
              <w:rPr>
                <w:sz w:val="14"/>
                <w:szCs w:val="14"/>
                <w:color w:val="auto"/>
              </w:rPr>
            </w:pPr>
          </w:p>
        </w:tc>
        <w:tc>
          <w:tcPr>
            <w:tcW w:w="1860" w:type="dxa"/>
            <w:vAlign w:val="bottom"/>
            <w:tcBorders>
              <w:top w:val="single" w:sz="8" w:color="auto"/>
            </w:tcBorders>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6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Three Months Ended</w:t>
            </w:r>
          </w:p>
        </w:tc>
      </w:tr>
      <w:tr>
        <w:trPr>
          <w:trHeight w:val="239"/>
        </w:trPr>
        <w:tc>
          <w:tcPr>
            <w:tcW w:w="730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March 30, 2024</w:t>
            </w:r>
          </w:p>
        </w:tc>
        <w:tc>
          <w:tcPr>
            <w:tcW w:w="16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April 1, 2023</w:t>
            </w:r>
          </w:p>
        </w:tc>
      </w:tr>
      <w:tr>
        <w:trPr>
          <w:trHeight w:val="214"/>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 Best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Eyeglass World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Military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Fred Meyer</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70"/>
        </w:trPr>
        <w:tc>
          <w:tcPr>
            <w:tcW w:w="73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comparable store sales growth from continuing operations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9"/>
        </w:trPr>
        <w:tc>
          <w:tcPr>
            <w:tcW w:w="7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for effects of: </w:t>
            </w:r>
            <w:r>
              <w:rPr>
                <w:rFonts w:ascii="Times New Roman" w:cs="Times New Roman" w:eastAsia="Times New Roman" w:hAnsi="Times New Roman"/>
                <w:sz w:val="23"/>
                <w:szCs w:val="23"/>
                <w:color w:val="auto"/>
                <w:vertAlign w:val="superscript"/>
              </w:rPr>
              <w:t>(b)</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Unearned &amp; deferred revenue</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Comparable Store Sales Growth from continuing operations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73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250" w:hanging="250"/>
        <w:spacing w:after="0" w:line="266" w:lineRule="auto"/>
        <w:tabs>
          <w:tab w:leader="none" w:pos="20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comparable store sales is calculated based on consolidated net revenue from continuing operations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12. “Segment Reporting” in our unaudited condensed consolidated financial statements included in Part I. Item 1. in our Quarterly Report on Form 10-Q for the period ended March 30, 2024.</w:t>
      </w:r>
    </w:p>
    <w:p>
      <w:pPr>
        <w:spacing w:after="0" w:line="79" w:lineRule="exact"/>
        <w:rPr>
          <w:rFonts w:ascii="Times New Roman" w:cs="Times New Roman" w:eastAsia="Times New Roman" w:hAnsi="Times New Roman"/>
          <w:sz w:val="14"/>
          <w:szCs w:val="14"/>
          <w:color w:val="auto"/>
        </w:rPr>
      </w:pPr>
    </w:p>
    <w:p>
      <w:pPr>
        <w:ind w:left="250" w:hanging="250"/>
        <w:spacing w:after="0" w:line="302" w:lineRule="auto"/>
        <w:tabs>
          <w:tab w:leader="none" w:pos="21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Comparable Store Sales Growth from continuing operations includes the effect of deferred and unearned revenue as if such revenues were earned at the point of sale, resulting in the changes from total comparable store sales growth from continuing operations based on consolidated net revenue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10"/>
          </w:cols>
          <w:pgMar w:left="490" w:top="886" w:right="499" w:bottom="1440" w:gutter="0" w:footer="0" w:header="0"/>
        </w:sectPr>
      </w:pPr>
    </w:p>
    <w:bookmarkStart w:id="18" w:name="page19"/>
    <w:bookmarkEnd w:id="18"/>
    <w:tbl>
      <w:tblPr>
        <w:tblLayout w:type="fixed"/>
        <w:tblInd w:w="220" w:type="dxa"/>
        <w:tblCellMar>
          <w:top w:w="0" w:type="dxa"/>
          <w:left w:w="0" w:type="dxa"/>
          <w:bottom w:w="0" w:type="dxa"/>
          <w:right w:w="0" w:type="dxa"/>
        </w:tblCellMar>
      </w:tblPr>
      <w:tr>
        <w:trPr>
          <w:trHeight w:val="230"/>
        </w:trPr>
        <w:tc>
          <w:tcPr>
            <w:tcW w:w="9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Comparable Store Sales Growth to Total Comparable Store Sales Growth</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4960" w:type="dxa"/>
            <w:vAlign w:val="bottom"/>
            <w:tcBorders>
              <w:bottom w:val="single" w:sz="8" w:color="auto"/>
            </w:tcBorders>
            <w:gridSpan w:val="5"/>
          </w:tcPr>
          <w:p>
            <w:pPr>
              <w:ind w:left="1280"/>
              <w:spacing w:after="0" w:line="237" w:lineRule="exact"/>
              <w:rPr>
                <w:sz w:val="20"/>
                <w:szCs w:val="20"/>
                <w:color w:val="auto"/>
              </w:rPr>
            </w:pPr>
            <w:r>
              <w:rPr>
                <w:rFonts w:ascii="Times New Roman" w:cs="Times New Roman" w:eastAsia="Times New Roman" w:hAnsi="Times New Roman"/>
                <w:sz w:val="18"/>
                <w:szCs w:val="18"/>
                <w:color w:val="auto"/>
              </w:rPr>
              <w:t xml:space="preserve">Comparable store sales growth </w:t>
            </w:r>
            <w:r>
              <w:rPr>
                <w:rFonts w:ascii="Times New Roman" w:cs="Times New Roman" w:eastAsia="Times New Roman" w:hAnsi="Times New Roman"/>
                <w:sz w:val="23"/>
                <w:szCs w:val="23"/>
                <w:color w:val="auto"/>
                <w:vertAlign w:val="superscript"/>
              </w:rPr>
              <w:t>(a)</w:t>
            </w: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180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5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 xml:space="preserve">2024 Outlook </w:t>
            </w:r>
            <w:r>
              <w:rPr>
                <w:rFonts w:ascii="Times New Roman" w:cs="Times New Roman" w:eastAsia="Times New Roman" w:hAnsi="Times New Roman"/>
                <w:sz w:val="23"/>
                <w:szCs w:val="23"/>
                <w:color w:val="auto"/>
                <w:w w:val="95"/>
                <w:vertAlign w:val="superscript"/>
              </w:rPr>
              <w:t>(b)</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30, 2024</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April 1, 2023</w:t>
            </w:r>
          </w:p>
        </w:tc>
        <w:tc>
          <w:tcPr>
            <w:tcW w:w="10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 Best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Eyeglass World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Military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Fred Meyer</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Walmart stores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comparable store sales growth</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2.5% - 4.5%</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for effects of: </w:t>
            </w:r>
            <w:r>
              <w:rPr>
                <w:rFonts w:ascii="Times New Roman" w:cs="Times New Roman" w:eastAsia="Times New Roman" w:hAnsi="Times New Roman"/>
                <w:sz w:val="23"/>
                <w:szCs w:val="23"/>
                <w:color w:val="auto"/>
                <w:vertAlign w:val="superscript"/>
              </w:rPr>
              <w:t>(b)</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Unearned &amp; deferred revenue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Retail sales to Walmart’s customers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Comparable Store Sales Growth</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 - 4.0%</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500" w:hanging="249"/>
        <w:spacing w:after="0" w:line="271" w:lineRule="auto"/>
        <w:tabs>
          <w:tab w:leader="none" w:pos="45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comparable store sales is calculated based on consolidated Total Company Net Revenue excluding the impact of (i) Corporate/Other segment net revenue, (ii) sales from stores opened less than 13 months, (iii) stores closed in the periods presented, (iv) sales from partial months of operation when stores do not open or close on the first day of the month and</w:t>
      </w:r>
    </w:p>
    <w:p>
      <w:pPr>
        <w:jc w:val="both"/>
        <w:ind w:left="500" w:hanging="6"/>
        <w:spacing w:after="0" w:line="272" w:lineRule="auto"/>
        <w:tabs>
          <w:tab w:leader="none" w:pos="715"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impact of a 53rd week in a fiscal year. Brand-level comparable store sales growth is calculated based on cash basis revenues consistent with what the CODM reviews, and consistent with reportable segment revenues presented in Note 12. “Segment Reporting” in our unaudited condensed consolidated financial statements included in Part I. Item 1. in our Quarterly Report on Form 10-Q for the period ended March 30, 2024, with the exception of Walmart stores, which is adjusted as noted in (b) (ii) below.</w:t>
      </w:r>
    </w:p>
    <w:p>
      <w:pPr>
        <w:spacing w:after="0" w:line="60" w:lineRule="exact"/>
        <w:rPr>
          <w:rFonts w:ascii="Times New Roman" w:cs="Times New Roman" w:eastAsia="Times New Roman" w:hAnsi="Times New Roman"/>
          <w:sz w:val="14"/>
          <w:szCs w:val="14"/>
          <w:color w:val="auto"/>
        </w:rPr>
      </w:pPr>
    </w:p>
    <w:p>
      <w:pPr>
        <w:jc w:val="both"/>
        <w:ind w:left="500" w:hanging="249"/>
        <w:spacing w:after="0" w:line="265" w:lineRule="auto"/>
        <w:tabs>
          <w:tab w:leader="none" w:pos="46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Total Company Net Revenue and Adjusted Comparable Store Sales Growth: (i) Adjusted Comparable Store Sales Growth includes the effect of deferred and unearned revenue as if such revenues were earned at the point of sale, resulting in changes from total comparable store sales growth based on consolidated Total Company Net Revenue; and (ii) Adjusted Comparable Store Sales Growth includes retail sales to Walmart’s customers (rather than the revenues recognized consistent with the management &amp; services agreement with Walmart), resulting in changes from total comparable store sales growth based on consolidated Total Company Net Revenue as shown in the table above; (iii) with respect to the Company’s 2024 Outlook, Adjusted Comparable Store Sales Growth includes an estimated 0.5% decrease for the effect of deferred and unearned revenue as if such revenues were earned at the point of sale.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investor.relations@nationalvision.com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Tamara Gonzalez</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Churchill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media@nationalvision.com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Racheal Peters</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1080"/>
      </w:cols>
      <w:pgMar w:left="320" w:top="102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bullet"/>
      <w:start w:val="1"/>
    </w:lvl>
  </w:abstractNum>
  <w:abstractNum w:abstractNumId="9">
    <w:nsid w:val="66EF438D"/>
    <w:multiLevelType w:val="hybridMultilevel"/>
    <w:lvl w:ilvl="0">
      <w:lvlJc w:val="left"/>
      <w:lvlText w:val="2"/>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6"/>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lvl w:ilvl="1">
      <w:lvlJc w:val="left"/>
      <w:lvlText w:val="(%2)"/>
      <w:numFmt w:val="low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2024-05-08T05:27:40Z</dcterms:created>
  <dcterms:modified xsi:type="dcterms:W3CDTF">2024-05-08T05:27:40Z</dcterms:modified>
</cp:coreProperties>
</file>