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943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437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26035"/>
                    </a:xfrm>
                    <a:prstGeom prst="rect">
                      <a:avLst/>
                    </a:prstGeom>
                    <a:noFill/>
                  </pic:spPr>
                </pic:pic>
              </a:graphicData>
            </a:graphic>
          </wp:anchor>
        </w:drawing>
        <w:t>UNITED STATES</w:t>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5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10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February 27, 2024</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001-38257</w:t>
      </w:r>
    </w:p>
    <w:p>
      <w:pPr>
        <w:spacing w:after="0" w:line="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52"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9"/>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color w:val="auto"/>
              </w:rPr>
              <w:t>incorporation)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8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80" w:type="dxa"/>
            <w:vAlign w:val="bottom"/>
          </w:tcPr>
          <w:p>
            <w:pPr>
              <w:spacing w:after="0"/>
              <w:rPr>
                <w:sz w:val="18"/>
                <w:szCs w:val="18"/>
                <w:color w:val="auto"/>
              </w:rPr>
            </w:pPr>
          </w:p>
        </w:tc>
      </w:tr>
      <w:tr>
        <w:trPr>
          <w:trHeight w:val="276"/>
        </w:trPr>
        <w:tc>
          <w:tcPr>
            <w:tcW w:w="5520" w:type="dxa"/>
            <w:vAlign w:val="bottom"/>
          </w:tcPr>
          <w:p>
            <w:pPr>
              <w:jc w:val="center"/>
              <w:ind w:left="189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80" w:type="dxa"/>
            <w:vAlign w:val="bottom"/>
          </w:tcPr>
          <w:p>
            <w:pPr>
              <w:spacing w:after="0"/>
              <w:rPr>
                <w:sz w:val="23"/>
                <w:szCs w:val="23"/>
                <w:color w:val="auto"/>
              </w:rPr>
            </w:pPr>
          </w:p>
        </w:tc>
      </w:tr>
      <w:tr>
        <w:trPr>
          <w:trHeight w:val="210"/>
        </w:trPr>
        <w:tc>
          <w:tcPr>
            <w:tcW w:w="552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80" w:type="dxa"/>
            <w:vAlign w:val="bottom"/>
          </w:tcPr>
          <w:p>
            <w:pPr>
              <w:spacing w:after="0"/>
              <w:rPr>
                <w:sz w:val="18"/>
                <w:szCs w:val="18"/>
                <w:color w:val="auto"/>
              </w:rPr>
            </w:pPr>
          </w:p>
        </w:tc>
      </w:tr>
    </w:tbl>
    <w:p>
      <w:pPr>
        <w:spacing w:after="0" w:line="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65"/>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69437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72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6943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100"/>
          </w:cols>
          <w:pgMar w:left="320" w:top="1190"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27, 2024, National Vision Holdings, Inc. (“National Vision”) issued a press release announcing financial results for the quarter and full fiscal year ended December 30,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release is furnished herewith as Exhibit 99.1 and incorporated by reference herein.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04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80" w:type="dxa"/>
            <w:vAlign w:val="bottom"/>
          </w:tcPr>
          <w:p>
            <w:pPr>
              <w:spacing w:after="0"/>
              <w:rPr>
                <w:sz w:val="17"/>
                <w:szCs w:val="17"/>
                <w:color w:val="auto"/>
              </w:rPr>
            </w:pPr>
          </w:p>
        </w:tc>
      </w:tr>
      <w:tr>
        <w:trPr>
          <w:trHeight w:val="210"/>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February 27, 2024.</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2024</w:t>
            </w:r>
          </w:p>
        </w:tc>
        <w:tc>
          <w:tcPr>
            <w:tcW w:w="2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940" w:type="dxa"/>
            <w:vAlign w:val="bottom"/>
          </w:tcPr>
          <w:p>
            <w:pPr>
              <w:spacing w:after="0"/>
              <w:rPr>
                <w:sz w:val="18"/>
                <w:szCs w:val="18"/>
                <w:color w:val="auto"/>
              </w:rPr>
            </w:pPr>
          </w:p>
        </w:tc>
        <w:tc>
          <w:tcPr>
            <w:tcW w:w="2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940" w:type="dxa"/>
            <w:vAlign w:val="bottom"/>
          </w:tcPr>
          <w:p>
            <w:pPr>
              <w:spacing w:after="0"/>
              <w:rPr>
                <w:sz w:val="20"/>
                <w:szCs w:val="20"/>
                <w:color w:val="auto"/>
              </w:rPr>
            </w:pPr>
          </w:p>
        </w:tc>
        <w:tc>
          <w:tcPr>
            <w:tcW w:w="2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396875</wp:posOffset>
            </wp:positionV>
            <wp:extent cx="1105535" cy="857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Fourth Quarter and Fiscal 2023 Financial Results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highlights:</w:t>
      </w:r>
    </w:p>
    <w:p>
      <w:pPr>
        <w:spacing w:after="0" w:line="11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of $506.4 million, an increase of 8.0% from Q4 2022</w:t>
      </w:r>
    </w:p>
    <w:p>
      <w:pPr>
        <w:spacing w:after="0" w:line="2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6.0% and Adjusted Comparable Store Sales Growth of 5.7% from Q4 2022</w:t>
      </w:r>
    </w:p>
    <w:p>
      <w:pPr>
        <w:spacing w:after="0" w:line="9" w:lineRule="exact"/>
        <w:rPr>
          <w:rFonts w:ascii="Times New Roman" w:cs="Times New Roman" w:eastAsia="Times New Roman" w:hAnsi="Times New Roman"/>
          <w:sz w:val="18"/>
          <w:szCs w:val="18"/>
          <w:i w:val="1"/>
          <w:iCs w:val="1"/>
          <w:color w:val="auto"/>
        </w:rPr>
      </w:pPr>
    </w:p>
    <w:p>
      <w:pPr>
        <w:ind w:left="340" w:right="400" w:hanging="332"/>
        <w:spacing w:after="0" w:line="250" w:lineRule="auto"/>
        <w:tabs>
          <w:tab w:leader="none" w:pos="3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loss of $(16.0) million and Diluted EPS of $(0.20), inclusive of $4.9 million in expenses related to the termination of the Walmart partnership, compared with Net loss of $(9.3) million and Diluted EPS of $(0.12), respectively, in Q4 2022</w:t>
      </w: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of $0.3 million compared with $(6.8) million in Q4 2022</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Diluted EPS of $(0.02) compared with $(0.08) in Q4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 highlights:</w:t>
      </w:r>
    </w:p>
    <w:p>
      <w:pPr>
        <w:spacing w:after="0" w:line="119"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of $2,126.5 million, an increase of 6.0% from fiscal year 2022</w:t>
      </w:r>
    </w:p>
    <w:p>
      <w:pPr>
        <w:spacing w:after="0" w:line="2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3.1% and Adjusted Comparable Store Sales Growth of 2.9% from fiscal year 2022</w:t>
      </w:r>
    </w:p>
    <w:p>
      <w:pPr>
        <w:spacing w:after="0" w:line="9" w:lineRule="exact"/>
        <w:rPr>
          <w:rFonts w:ascii="Times New Roman" w:cs="Times New Roman" w:eastAsia="Times New Roman" w:hAnsi="Times New Roman"/>
          <w:sz w:val="18"/>
          <w:szCs w:val="18"/>
          <w:i w:val="1"/>
          <w:iCs w:val="1"/>
          <w:color w:val="auto"/>
        </w:rPr>
      </w:pPr>
    </w:p>
    <w:p>
      <w:pPr>
        <w:ind w:left="340" w:right="80" w:hanging="332"/>
        <w:spacing w:after="0" w:line="265" w:lineRule="auto"/>
        <w:tabs>
          <w:tab w:leader="none" w:pos="335"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Net loss of $(65.9) million and Diluted EPS of $(0.84), inclusive of $79.7 million in non-cash impairment charges and $7.0 million in expenses related to the termination of the Walmart partnership, compared with Net income of $42.1 million and Diluted EPS of $0.52, respectively, in fiscal year 2022</w:t>
      </w:r>
    </w:p>
    <w:p>
      <w:pPr>
        <w:ind w:left="320" w:hanging="312"/>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of $72.3 million compared with $87.8 million in fiscal year 2022</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Diluted EPS of $0.64 compared with $0.65 in fiscal year 2022</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 February 27, 2024 -- National Vision Holdings, Inc. (NASDAQ: EYE) (“National Vision” or the “Company”) today reported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fourth quarter and fiscal year ended December 30, 2023, and is providing its outlook for fiscal 2024.</w:t>
      </w:r>
    </w:p>
    <w:p>
      <w:pPr>
        <w:spacing w:after="0" w:line="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very pleased with our stronger than expected fourth quarter and full year 2023 performance and our team’s accomplishments throughout 2023,” said Reade Fahs, Chief Executive Officer. “Our results reflect crisp operational execution including disciplined expense management, continued strength in our managed care business, and effective marketing campaigns that drove increased traffic and highlighted our value offering. Throughout the fiscal year, our teams focused on adapting our business for the realities of today’s marketplace, and I believe our strong end to the year is a testament to our progress.”</w:t>
      </w:r>
    </w:p>
    <w:p>
      <w:pPr>
        <w:spacing w:after="0" w:line="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Mr. Fahs continued, “Looking ahead, our outlook includes scenarios that factor in a slower than expected start to the year. With our transition out of the Walmart Vision Center stores now complete, we are executing initiatives to improve profitability and streamline the business and are committed to positioning our core business for long term profitable growth. We’ve taken specific cost and pricing actions that are expected to benefit our financial performance in 2024. We believe these profitability efforts and our ongoing progress in expanding exam capacity, will create value for shareholders and move us forward in our mission to make quality eye care and eyewear more affordable and accessible for all.”</w:t>
      </w:r>
    </w:p>
    <w:p>
      <w:pPr>
        <w:spacing w:after="0" w:line="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Comparable Store Sales Growth, Adjusted Operating Income, Adjusted EBITDA, Adjusted Diluted EPS, Adjusted Operating Margin, Adjusted EBITDA Margin, and EBITDA are not measures recognized under generally accepted accounting principles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Please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Reconciliation of Non-GAAP to GAAP Financial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more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Summary compared to Fourth Quarter 2022</w:t>
      </w:r>
    </w:p>
    <w:p>
      <w:pPr>
        <w:spacing w:after="0" w:line="121" w:lineRule="exact"/>
        <w:rPr>
          <w:sz w:val="20"/>
          <w:szCs w:val="20"/>
          <w:color w:val="auto"/>
        </w:rPr>
      </w:pPr>
    </w:p>
    <w:p>
      <w:pPr>
        <w:jc w:val="both"/>
        <w:ind w:left="340" w:hanging="332"/>
        <w:spacing w:after="0" w:line="257"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8.0% to $506.4 million compared with the fourth quarter of 2022 primarily due to an increase in Adjusted Comparable Store Sales Growth and growth from new stores sales, partially offset by closed stores. Net revenue includes a $0.7 million, or 0.2%, impact from the timing of unearned revenue in the current-year quarter compared with the prior-year quarter.</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6.0% and Adjusted Comparable Store Sales Growth was 5.7%, both reflecting an increase in customer transactions and higher average ticket. Comparable store sales growth was negatively impacted by the effects of unearned and deferred revenue in the current-year quarter compared with the prior-year quarter.</w:t>
      </w:r>
    </w:p>
    <w:p>
      <w:pPr>
        <w:sectPr>
          <w:pgSz w:w="11900" w:h="16838" w:orient="portrait"/>
          <w:cols w:equalWidth="0" w:num="1">
            <w:col w:w="11240"/>
          </w:cols>
          <w:pgMar w:left="320" w:top="117" w:right="339" w:bottom="1440" w:gutter="0" w:footer="0" w:header="0"/>
        </w:sectPr>
      </w:pPr>
    </w:p>
    <w:bookmarkStart w:id="4" w:name="page5"/>
    <w:bookmarkEnd w:id="4"/>
    <w:p>
      <w:pPr>
        <w:ind w:left="340" w:right="2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17 new stores, closed two stores and transitioned four stores to Walmart as part of the partnership termination, and ended the quarter with 1,413 stores. Overall, store count grew 4.4% from December 31, 2022 to December 30, 2023.</w:t>
      </w: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11.2% to $247.0 million compared with the fourth quarter of 2022. As a percentage of net revenue, costs applicable to revenue increased 140 basis points to 48.8% compared with the fourth quarter of 2022 and were primarily driven by the deleverage of optometrist-related costs as well as a reduction in components of service revenue including product protection plan revenue as well as mix and margin effects. These costs were partially offset by ongoing strength in exam revenue as well as a decrease in product costs attributable to lower freight expense.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(SG&amp;A) increased 6.1% to $248.3 million compared with the fourth quarter of 2022. Adjusted SG&amp;A increased 2.3% to $236.0 million compared with the fourth quarter of 2022. As a percentage of net revenue, SG&amp;A decreased 90 basis points to 49.0% compared with the fourth quarter of 2022, mainly due to lower advertising, legal &amp; professional, and other operating expenses, partially offset by expenses related to the termination of the Walmart partnership and higher stock-based compensation. As a percentage of net revenue, Adjusted SG&amp;A decreased 260 basis points to 46.6% compared with the fourth quarter of 2022, driven by lower advertising expense, legal &amp; professional expenses and other operating expenses.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of $24.1 million decreased 2.4% from the prior-year period, primarily driven by a decrease in amortization of intangible assets as a result of impairing the Walmart contract and relationship asset during the third quarter of 2023, partially offset by investments in our labs and distribution centers.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decreased to $(16.0) million compared to $(9.3) million in the fourth quarter of 2022. Net income (loss) margin decreased to (3.2)% compared to (2.0)% in the fourth quarter of 2022.</w:t>
      </w:r>
    </w:p>
    <w:p>
      <w:pPr>
        <w:jc w:val="both"/>
        <w:ind w:left="340" w:hanging="332"/>
        <w:spacing w:after="0" w:line="253"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(loss) per share (EPS) decreased to $(0.20) compared to $(0.12) in the fourth quarter of 2022. Adjusted Diluted EPS was $(0.02) compared with $(0.08) in the fourth quarter of 2022. The net change in margin on unearned revenue did not have a material impact on Diluted and Adjusted EPS for the fourth quarter of 2023. Adjusted Operating Margin increased 150 basis points to 0.1% compared with the fourth quarter of 2022. The net change in margin on unearned revenue benefited net income (loss) by $0.4 million and Adjusted Operating Income by $0.6 million compared with the fourth quarter of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 Summary compared to Fiscal 2022</w:t>
      </w:r>
    </w:p>
    <w:p>
      <w:pPr>
        <w:spacing w:after="0" w:line="121" w:lineRule="exact"/>
        <w:rPr>
          <w:sz w:val="20"/>
          <w:szCs w:val="20"/>
          <w:color w:val="auto"/>
        </w:rPr>
      </w:pPr>
    </w:p>
    <w:p>
      <w:pPr>
        <w:jc w:val="both"/>
        <w:ind w:left="340" w:hanging="332"/>
        <w:spacing w:after="0" w:line="255"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6.0% to $2,126.5 million compared with fiscal year 2022, and was primarily driven by growth from new store sales, an increase in Adjusted Comparable Store Sales Growth, higher revenue from the Company’s AC Lens business, partially offset by closed stores and the effects of unearned and deferred revenue in fiscal year 2023 compared with fiscal year 2022. Net revenue includes a $5.0 million, or 0.2%, impact from the timing of unearned revenue in fiscal year 2023 compared with fiscal year 2022.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3.1% and Adjusted Comparable Store Sales Growth was 2.9%, both reflecting an increase in customer transactions and higher average ticket. Comparable store sales growth was negatively impacted by the effects of unearned and deferred revenue in fiscal year 2023 compared with fiscal year 2022.</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70 new stores, closed seven stores and transitioned four stores to Walmart as part of the pending partnership termination, and ended the period with 1,413 stores.</w:t>
      </w: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8.1% to $1,000.9 million compared with fiscal year 2022. As a percentage of net revenue, compared with the prior-year period, costs applicable to revenue increased 90 basis points to 47.1%, mainly due to an increase in optometrist-related costs and a reduction in other components of service revenue, including product protection plan revenue, as well as other product mix and margin effects. These costs were partially offset by increased eye exam revenue and the effects from increased eyeglass mix and higher eyeglass margin.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8.4% to $991.9 million compared with fiscal year 2022. Adjusted SG&amp;A increased 6.8% to $961.1 million compared with the same period of 2022. As a percentage of net revenue, SG&amp;A increased 100 basis points to 46.6% compared to fiscal year 2022 mainly due to higher performance-based incentive compensation, higher payroll, stock-based compensation, and other expenses primarily related to the termination of the Walmart partnership, partially offset by lower advertising expense and other operating expenses. As a percentage of net revenue, Adjusted SG&amp;A increased 30 basis points driven by increases in performance-based incentive compensation and payroll, partially offset by lower advertising expense and other operating expenses.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of $98.3 million decreased 1.7% from fiscal year 2022, primarily driven by a decrease in amortization of intangible assets as a result of impairing the Walmart contracts and customer relationship asset during fiscal year 2023 and a shift to cloud-based software investments that are amortized in SG&amp;A, partially offset by investments in remote medicine technology and new store openings.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Net income (loss) decreased to $(65.9) million, inclusive of non-cash impairment charges of $79.7 million and $7.0 million in expenses related to the termination of the Walmart partnership, compared to $42.1 million in fiscal year 2022. Net income (loss) margin decreased to (3.1)% compared to 2.1% in fiscal year 2022.</w:t>
      </w:r>
    </w:p>
    <w:p>
      <w:pPr>
        <w:sectPr>
          <w:pgSz w:w="11900" w:h="16838" w:orient="portrait"/>
          <w:cols w:equalWidth="0" w:num="1">
            <w:col w:w="11240"/>
          </w:cols>
          <w:pgMar w:left="320" w:top="931" w:right="339" w:bottom="1440" w:gutter="0" w:footer="0" w:header="0"/>
        </w:sectPr>
      </w:pPr>
    </w:p>
    <w:bookmarkStart w:id="5" w:name="page6"/>
    <w:bookmarkEnd w:id="5"/>
    <w:p>
      <w:pPr>
        <w:jc w:val="both"/>
        <w:ind w:left="340" w:hanging="332"/>
        <w:spacing w:after="0" w:line="257" w:lineRule="auto"/>
        <w:tabs>
          <w:tab w:leader="none" w:pos="33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EPS decreased to $(0.84), inclusive of non-cash impairment charges related to the termination of the Walmart partnership of $79.7 million, compared to $0.52 in fiscal year 2022. Adjusted Diluted EPS decreased to $0.64 compared to $0.65 in fiscal year 2022. The net change in margin on unearned revenue positively impacted both Diluted EPS and Adjusted Diluted EPS by $0.04.</w:t>
      </w:r>
    </w:p>
    <w:p>
      <w:pPr>
        <w:spacing w:after="0" w:line="1" w:lineRule="exact"/>
        <w:rPr>
          <w:rFonts w:ascii="Times New Roman" w:cs="Times New Roman" w:eastAsia="Times New Roman" w:hAnsi="Times New Roman"/>
          <w:sz w:val="18"/>
          <w:szCs w:val="18"/>
          <w:i w:val="1"/>
          <w:iCs w:val="1"/>
          <w:color w:val="auto"/>
        </w:rPr>
      </w:pPr>
    </w:p>
    <w:p>
      <w:pPr>
        <w:jc w:val="both"/>
        <w:ind w:left="340" w:hanging="332"/>
        <w:spacing w:after="0" w:line="255"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decreased 17.6% to $72.3 million compared to fiscal year 2022. Adjusted Operating Margin decreased 100 basis points to 3.4% compared to fiscal year 2022. The net change in margin on unearned revenue positively impacted net income (loss) by $3.0 million and Adjusted Operating Income by $4.0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w:t>
      </w:r>
    </w:p>
    <w:p>
      <w:pPr>
        <w:spacing w:after="0" w:line="121" w:lineRule="exact"/>
        <w:rPr>
          <w:sz w:val="20"/>
          <w:szCs w:val="20"/>
          <w:color w:val="auto"/>
        </w:rPr>
      </w:pPr>
    </w:p>
    <w:p>
      <w:pPr>
        <w:ind w:left="340" w:hanging="332"/>
        <w:spacing w:after="0" w:line="26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Vision’s cash balance was $149.9 million as of December 30, 2023. The Company had no borrowings under its $300.0 million first lien revolving credit facility (“Revolving Loans”), exclusive of letters of credit of $6.4 million.</w:t>
      </w: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14, 2023, the Company completed the repurchase of $100.0 million aggregate principal amount of its 2.50% Convertible Senior Notes due 2025 (“2025 Notes”) for an aggregate cash repurchase price of $99.25 million.</w:t>
      </w: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$461.3 million as of December 30, 2023, consisting of outstanding first lien term loans, the 2025 Notes and finance lease obligations, net of unamortized discounts.</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fiscal year 2023 were $173.0 million compared to $119.2 million for fiscal year 2022.</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fiscal year 2023 totaled $114.8 million compared to $113.5 million for fiscal year 2022.</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30, 2023, the Company’s original share repurchase authorization expired with remaining capacity of $25 million. Effective February 23, 2024, the Company’s board of directors authorized the Company to repurchase up to $50 million aggregate amount of shares of the Company’s common stock until January 3, 2026.</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Repurchases of shares of common stock may be made through various methods, including, but not limited to, open market, privately negotiated, or accelerated share repurchase transactions. The timing, manner, price, and actual amount of share repurchases will be determined by management based on various factors, including, but not limited to, stock price, economic and market conditions, other capital management needs and opportunities, and corporate and regulatory considerations. The Company has no obligation to repurchase any amount of its common stock, and such repurchases, if any, may be suspended or discontinued at any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Walmart Partnership</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announced on July 26, 2023, the Company’s partnership with Walmart Inc. (“Walmart”) will be ending in 2024. This includes supplying and operating Vision Centers in 229 Walmart stores, providing contact lens distribution and related services to Walmart and its affiliate, Sam’s Club, and arranging for the provision of optometric services at certain Walmart locations in California. In addition, given these changes, the Company previously announced its decision to wind down its AC Lens operations which primarily supported the contact lens distribution and related services to Walmart and its affiliate, Sam’s Club.</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fiscal 2023, the combined Walmart Vision Center and AC Lens operations generated approximately $403 million in revenue and Earnings before income tax of approximately $17 million.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as of February 23, 2024, the Company has completed the transition of 229 Walmart Vision Center stores and remains on-track with its plans to wind down its AC Lens operations by June 30,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fiscal 2024, the Company expects the combined Walmart Vision Center and AC Lens operations to generate approximately $145 million in revenue and Earnings before income tax of approximately $2.5 million.</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For the combined Walmart Vision Center and AC Lens operations during each of the periods and outlook presented, Earnings before income tax is calculated in the same manner as, and is equivalent to, Adjusted Operating Income. Given the dynamics with the changing of the accounting for these operations, FY23 results are to be viewed as current estimates and subject to change as the Company completes its accounting changes.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Savings &amp; Pricing Initiatives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announced, the Company expects the combined benefits from its expense reduction program and non-headline pricing actions to more than offset the profitability gap created by the termination of the Walmart partnership.</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Q4 2023, the Company took actions to streamline corporate overhead including optimizing non-customer facing labor costs, as well as reducing travel expenses and third-party spend which is expected to result in approximately $10 million of annualized savings in fiscal 2024.</w:t>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In addition, the Company has taken non-headline pricing actions which it expects to result in approximately $15 million of benefit in fiscal 2024.</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non-cash impairment charges of $79.7 million related to the Termination of Walmart Partnership in fiscal year 2023. The Company also recorded $7.0 million of pre-tax charges related to the Termination of Walmart Partnership and related Cost Savings &amp; Pricing Initiatives in fiscal year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Outlook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fiscal 2024 outlook reflects current expected or estimated impacts related to macro-economic factors, including inflation, geopolitical instability and risks of recession, as well as constraints on exam capacity; however, the ultimate impact of these factors on the Company’s financial outlook remains uncertain with dynamic market conditions and the outlook shown below assumes no material deterioration to the Company’s current business operations as a result of such factors or as a result of the termination of the Walmart partnership.</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is providing the following outlook for the 52 weeks ending December 28, 2024:</w:t>
            </w:r>
          </w:p>
        </w:tc>
        <w:tc>
          <w:tcPr>
            <w:tcW w:w="10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364"/>
        </w:trPr>
        <w:tc>
          <w:tcPr>
            <w:tcW w:w="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740" w:type="dxa"/>
            <w:vAlign w:val="bottom"/>
            <w:gridSpan w:val="2"/>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Fiscal 2024 Outlook</w:t>
            </w:r>
          </w:p>
        </w:tc>
      </w:tr>
      <w:tr>
        <w:trPr>
          <w:trHeight w:val="229"/>
        </w:trPr>
        <w:tc>
          <w:tcPr>
            <w:tcW w:w="380" w:type="dxa"/>
            <w:vAlign w:val="bottom"/>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r>
      <w:tr>
        <w:trPr>
          <w:trHeight w:val="230"/>
        </w:trPr>
        <w:tc>
          <w:tcPr>
            <w:tcW w:w="380" w:type="dxa"/>
            <w:vAlign w:val="bottom"/>
          </w:tcPr>
          <w:p>
            <w:pPr>
              <w:spacing w:after="0"/>
              <w:rPr>
                <w:sz w:val="19"/>
                <w:szCs w:val="19"/>
                <w:color w:val="auto"/>
              </w:rPr>
            </w:pPr>
          </w:p>
        </w:tc>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Comparable Store Sales Growth</w:t>
            </w:r>
            <w:r>
              <w:rPr>
                <w:rFonts w:ascii="Times New Roman" w:cs="Times New Roman" w:eastAsia="Times New Roman" w:hAnsi="Times New Roman"/>
                <w:sz w:val="23"/>
                <w:szCs w:val="23"/>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w:t>
            </w:r>
          </w:p>
        </w:tc>
      </w:tr>
      <w:tr>
        <w:trPr>
          <w:trHeight w:val="229"/>
        </w:trPr>
        <w:tc>
          <w:tcPr>
            <w:tcW w:w="380" w:type="dxa"/>
            <w:vAlign w:val="bottom"/>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740" w:type="dxa"/>
            <w:vAlign w:val="bottom"/>
            <w:gridSpan w:val="2"/>
            <w:shd w:val="clear" w:color="auto" w:fill="CCEEFF"/>
          </w:tcPr>
          <w:p>
            <w:pPr>
              <w:jc w:val="center"/>
              <w:ind w:right="1390"/>
              <w:spacing w:after="0"/>
              <w:rPr>
                <w:sz w:val="20"/>
                <w:szCs w:val="20"/>
                <w:color w:val="auto"/>
              </w:rPr>
            </w:pPr>
            <w:r>
              <w:rPr>
                <w:rFonts w:ascii="Times New Roman" w:cs="Times New Roman" w:eastAsia="Times New Roman" w:hAnsi="Times New Roman"/>
                <w:sz w:val="18"/>
                <w:szCs w:val="18"/>
                <w:color w:val="auto"/>
              </w:rPr>
              <w:t>$1.965 - $2.005 billion</w:t>
            </w:r>
          </w:p>
        </w:tc>
      </w:tr>
      <w:tr>
        <w:trPr>
          <w:trHeight w:val="229"/>
        </w:trPr>
        <w:tc>
          <w:tcPr>
            <w:tcW w:w="380" w:type="dxa"/>
            <w:vAlign w:val="bottom"/>
          </w:tcPr>
          <w:p>
            <w:pPr>
              <w:spacing w:after="0"/>
              <w:rPr>
                <w:sz w:val="19"/>
                <w:szCs w:val="19"/>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740" w:type="dxa"/>
            <w:vAlign w:val="bottom"/>
            <w:gridSpan w:val="2"/>
          </w:tcPr>
          <w:p>
            <w:pPr>
              <w:jc w:val="center"/>
              <w:ind w:right="1390"/>
              <w:spacing w:after="0"/>
              <w:rPr>
                <w:sz w:val="20"/>
                <w:szCs w:val="20"/>
                <w:color w:val="auto"/>
              </w:rPr>
            </w:pPr>
            <w:r>
              <w:rPr>
                <w:rFonts w:ascii="Times New Roman" w:cs="Times New Roman" w:eastAsia="Times New Roman" w:hAnsi="Times New Roman"/>
                <w:sz w:val="18"/>
                <w:szCs w:val="18"/>
                <w:color w:val="auto"/>
              </w:rPr>
              <w:t>$61 - $76 million</w:t>
            </w:r>
          </w:p>
        </w:tc>
      </w:tr>
      <w:tr>
        <w:trPr>
          <w:trHeight w:val="230"/>
        </w:trPr>
        <w:tc>
          <w:tcPr>
            <w:tcW w:w="380" w:type="dxa"/>
            <w:vAlign w:val="bottom"/>
          </w:tcPr>
          <w:p>
            <w:pPr>
              <w:spacing w:after="0"/>
              <w:rPr>
                <w:sz w:val="19"/>
                <w:szCs w:val="19"/>
                <w:color w:val="auto"/>
              </w:rPr>
            </w:pPr>
          </w:p>
        </w:tc>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$0.65</w:t>
            </w:r>
          </w:p>
        </w:tc>
      </w:tr>
      <w:tr>
        <w:trPr>
          <w:trHeight w:val="229"/>
        </w:trPr>
        <w:tc>
          <w:tcPr>
            <w:tcW w:w="380" w:type="dxa"/>
            <w:vAlign w:val="bottom"/>
          </w:tcPr>
          <w:p>
            <w:pPr>
              <w:spacing w:after="0"/>
              <w:rPr>
                <w:sz w:val="19"/>
                <w:szCs w:val="19"/>
                <w:color w:val="auto"/>
              </w:rPr>
            </w:pPr>
          </w:p>
        </w:tc>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3</w:t>
            </w:r>
          </w:p>
        </w:tc>
        <w:tc>
          <w:tcPr>
            <w:tcW w:w="3740" w:type="dxa"/>
            <w:vAlign w:val="bottom"/>
            <w:gridSpan w:val="2"/>
          </w:tcPr>
          <w:p>
            <w:pPr>
              <w:jc w:val="center"/>
              <w:ind w:right="1390"/>
              <w:spacing w:after="0"/>
              <w:rPr>
                <w:sz w:val="20"/>
                <w:szCs w:val="20"/>
                <w:color w:val="auto"/>
              </w:rPr>
            </w:pPr>
            <w:r>
              <w:rPr>
                <w:rFonts w:ascii="Times New Roman" w:cs="Times New Roman" w:eastAsia="Times New Roman" w:hAnsi="Times New Roman"/>
                <w:sz w:val="18"/>
                <w:szCs w:val="18"/>
                <w:color w:val="auto"/>
                <w:w w:val="99"/>
              </w:rPr>
              <w:t>$95 - $100 million</w:t>
            </w:r>
          </w:p>
        </w:tc>
      </w:tr>
      <w:tr>
        <w:trPr>
          <w:trHeight w:val="230"/>
        </w:trPr>
        <w:tc>
          <w:tcPr>
            <w:tcW w:w="380" w:type="dxa"/>
            <w:vAlign w:val="bottom"/>
          </w:tcPr>
          <w:p>
            <w:pPr>
              <w:spacing w:after="0"/>
              <w:rPr>
                <w:sz w:val="19"/>
                <w:szCs w:val="19"/>
                <w:color w:val="auto"/>
              </w:rPr>
            </w:pPr>
          </w:p>
        </w:tc>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w:t>
            </w:r>
            <w:r>
              <w:rPr>
                <w:rFonts w:ascii="Times New Roman" w:cs="Times New Roman" w:eastAsia="Times New Roman" w:hAnsi="Times New Roman"/>
                <w:sz w:val="23"/>
                <w:szCs w:val="23"/>
                <w:color w:val="auto"/>
                <w:vertAlign w:val="superscript"/>
              </w:rPr>
              <w:t>4</w:t>
            </w:r>
          </w:p>
        </w:tc>
        <w:tc>
          <w:tcPr>
            <w:tcW w:w="3740" w:type="dxa"/>
            <w:vAlign w:val="bottom"/>
            <w:gridSpan w:val="2"/>
            <w:shd w:val="clear" w:color="auto" w:fill="CCEEFF"/>
          </w:tcPr>
          <w:p>
            <w:pPr>
              <w:jc w:val="center"/>
              <w:ind w:right="1410"/>
              <w:spacing w:after="0"/>
              <w:rPr>
                <w:sz w:val="20"/>
                <w:szCs w:val="20"/>
                <w:color w:val="auto"/>
              </w:rPr>
            </w:pPr>
            <w:r>
              <w:rPr>
                <w:rFonts w:ascii="Times New Roman" w:cs="Times New Roman" w:eastAsia="Times New Roman" w:hAnsi="Times New Roman"/>
                <w:sz w:val="18"/>
                <w:szCs w:val="18"/>
                <w:color w:val="auto"/>
              </w:rPr>
              <w:t>$7 - $9 million</w:t>
            </w:r>
          </w:p>
        </w:tc>
      </w:tr>
      <w:tr>
        <w:trPr>
          <w:trHeight w:val="229"/>
        </w:trPr>
        <w:tc>
          <w:tcPr>
            <w:tcW w:w="380" w:type="dxa"/>
            <w:vAlign w:val="bottom"/>
          </w:tcPr>
          <w:p>
            <w:pPr>
              <w:spacing w:after="0"/>
              <w:rPr>
                <w:sz w:val="19"/>
                <w:szCs w:val="19"/>
                <w:color w:val="auto"/>
              </w:rPr>
            </w:pPr>
          </w:p>
        </w:tc>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5</w:t>
            </w:r>
          </w:p>
        </w:tc>
        <w:tc>
          <w:tcPr>
            <w:tcW w:w="3740" w:type="dxa"/>
            <w:vAlign w:val="bottom"/>
            <w:gridSpan w:val="2"/>
          </w:tcPr>
          <w:p>
            <w:pPr>
              <w:jc w:val="center"/>
              <w:ind w:right="1410"/>
              <w:spacing w:after="0"/>
              <w:rPr>
                <w:sz w:val="20"/>
                <w:szCs w:val="20"/>
                <w:color w:val="auto"/>
              </w:rPr>
            </w:pPr>
            <w:r>
              <w:rPr>
                <w:rFonts w:ascii="Times New Roman" w:cs="Times New Roman" w:eastAsia="Times New Roman" w:hAnsi="Times New Roman"/>
                <w:sz w:val="18"/>
                <w:szCs w:val="18"/>
                <w:color w:val="auto"/>
                <w:w w:val="98"/>
              </w:rPr>
              <w:t>26% to 28%</w:t>
            </w:r>
          </w:p>
        </w:tc>
      </w:tr>
      <w:tr>
        <w:trPr>
          <w:trHeight w:val="229"/>
        </w:trPr>
        <w:tc>
          <w:tcPr>
            <w:tcW w:w="380" w:type="dxa"/>
            <w:vAlign w:val="bottom"/>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740" w:type="dxa"/>
            <w:vAlign w:val="bottom"/>
            <w:gridSpan w:val="2"/>
            <w:shd w:val="clear" w:color="auto" w:fill="CCEEFF"/>
          </w:tcPr>
          <w:p>
            <w:pPr>
              <w:jc w:val="center"/>
              <w:ind w:right="1390"/>
              <w:spacing w:after="0"/>
              <w:rPr>
                <w:sz w:val="20"/>
                <w:szCs w:val="20"/>
                <w:color w:val="auto"/>
              </w:rPr>
            </w:pPr>
            <w:r>
              <w:rPr>
                <w:rFonts w:ascii="Times New Roman" w:cs="Times New Roman" w:eastAsia="Times New Roman" w:hAnsi="Times New Roman"/>
                <w:sz w:val="18"/>
                <w:szCs w:val="18"/>
                <w:color w:val="auto"/>
                <w:w w:val="98"/>
              </w:rPr>
              <w:t>$110 - $115 million</w:t>
            </w:r>
          </w:p>
        </w:tc>
      </w:tr>
    </w:tbl>
    <w:p>
      <w:pPr>
        <w:spacing w:after="0" w:line="131" w:lineRule="exact"/>
        <w:rPr>
          <w:sz w:val="20"/>
          <w:szCs w:val="20"/>
          <w:color w:val="auto"/>
        </w:rPr>
      </w:pPr>
    </w:p>
    <w:p>
      <w:pPr>
        <w:ind w:left="440" w:hanging="108"/>
        <w:spacing w:after="0"/>
        <w:tabs>
          <w:tab w:leader="none" w:pos="440" w:val="left"/>
        </w:tabs>
        <w:numPr>
          <w:ilvl w:val="0"/>
          <w:numId w:val="10"/>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Refer to the Reconciliation of Adjusted Comparable Stores Sales Growth to Total Comparable Store Sales Growth.</w:t>
      </w:r>
    </w:p>
    <w:p>
      <w:pPr>
        <w:ind w:left="340" w:right="80" w:hanging="8"/>
        <w:spacing w:after="0" w:line="224" w:lineRule="auto"/>
        <w:tabs>
          <w:tab w:leader="none" w:pos="443" w:val="left"/>
        </w:tabs>
        <w:numPr>
          <w:ilvl w:val="0"/>
          <w:numId w:val="11"/>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Assumes approximately 79 million shares, and does not include 9.7 million shares attributable to the 2025 Notes as the Company anticipates them to be anti-dilutive to earnings per share for fiscal year 2024.</w:t>
      </w:r>
    </w:p>
    <w:p>
      <w:pPr>
        <w:spacing w:after="0" w:line="1" w:lineRule="exact"/>
        <w:rPr>
          <w:rFonts w:ascii="Times New Roman" w:cs="Times New Roman" w:eastAsia="Times New Roman" w:hAnsi="Times New Roman"/>
          <w:sz w:val="23"/>
          <w:szCs w:val="23"/>
          <w:i w:val="1"/>
          <w:iCs w:val="1"/>
          <w:color w:val="auto"/>
          <w:vertAlign w:val="superscript"/>
        </w:rPr>
      </w:pPr>
    </w:p>
    <w:p>
      <w:pPr>
        <w:ind w:left="340" w:right="360"/>
        <w:spacing w:after="0" w:line="232" w:lineRule="auto"/>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2"/>
          <w:szCs w:val="22"/>
          <w:i w:val="1"/>
          <w:iCs w:val="1"/>
          <w:color w:val="auto"/>
          <w:vertAlign w:val="superscript"/>
        </w:rPr>
        <w:t>3</w:t>
      </w:r>
      <w:r>
        <w:rPr>
          <w:rFonts w:ascii="Times New Roman" w:cs="Times New Roman" w:eastAsia="Times New Roman" w:hAnsi="Times New Roman"/>
          <w:sz w:val="17"/>
          <w:szCs w:val="17"/>
          <w:i w:val="1"/>
          <w:iCs w:val="1"/>
          <w:color w:val="auto"/>
        </w:rPr>
        <w:t xml:space="preserve"> Includes amortization of acquisition intangibles of approximately $1.6 million, which is excluded in the definition of Adjusted Operating Income. </w:t>
      </w:r>
      <w:r>
        <w:rPr>
          <w:rFonts w:ascii="Times New Roman" w:cs="Times New Roman" w:eastAsia="Times New Roman" w:hAnsi="Times New Roman"/>
          <w:sz w:val="22"/>
          <w:szCs w:val="22"/>
          <w:i w:val="1"/>
          <w:iCs w:val="1"/>
          <w:color w:val="auto"/>
          <w:vertAlign w:val="superscript"/>
        </w:rPr>
        <w:t>4</w:t>
      </w:r>
      <w:r>
        <w:rPr>
          <w:rFonts w:ascii="Times New Roman" w:cs="Times New Roman" w:eastAsia="Times New Roman" w:hAnsi="Times New Roman"/>
          <w:sz w:val="17"/>
          <w:szCs w:val="17"/>
          <w:i w:val="1"/>
          <w:iCs w:val="1"/>
          <w:color w:val="auto"/>
        </w:rPr>
        <w:t xml:space="preserve"> Before the impact of gains or losses on change in fair value of derivatives and charges related to debt discounts and deferred financing costs.</w:t>
      </w:r>
    </w:p>
    <w:p>
      <w:pPr>
        <w:ind w:left="340"/>
        <w:spacing w:after="0"/>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3"/>
          <w:szCs w:val="23"/>
          <w:i w:val="1"/>
          <w:iCs w:val="1"/>
          <w:color w:val="auto"/>
          <w:vertAlign w:val="superscript"/>
        </w:rPr>
        <w:t>5</w:t>
      </w:r>
      <w:r>
        <w:rPr>
          <w:rFonts w:ascii="Times New Roman" w:cs="Times New Roman" w:eastAsia="Times New Roman" w:hAnsi="Times New Roman"/>
          <w:sz w:val="18"/>
          <w:szCs w:val="18"/>
          <w:i w:val="1"/>
          <w:iCs w:val="1"/>
          <w:color w:val="auto"/>
        </w:rPr>
        <w:t xml:space="preserve"> Excluding the impact of vesting of restricted stock units and stock option exercises.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fiscal 2024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The fiscal 2024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match amounts or fall within the ranges contained in its fiscal 2024 outlook. The Company uses these forward-looking measures internally to assess and benchmark its results and strategic plans.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discuss the fourth quarter 2023 financial results and fiscal-year 2024 guidance today, February 27, 2024, at 8:30 a.m. Eastern Time. To pre-register for the conference call and obtain a dial-in number and passcode please refer to the “Investors” section of the Company's website at </w:t>
      </w:r>
      <w:r>
        <w:rPr>
          <w:rFonts w:ascii="Times New Roman" w:cs="Times New Roman" w:eastAsia="Times New Roman" w:hAnsi="Times New Roman"/>
          <w:sz w:val="18"/>
          <w:szCs w:val="18"/>
          <w:u w:val="single" w:color="auto"/>
          <w:color w:val="006EBF"/>
        </w:rPr>
        <w:t>www.nationalvision.com/investors/</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A live audio webcast of the conference call will be available on the “Investors” section of the Company’s website </w:t>
      </w:r>
      <w:r>
        <w:rPr>
          <w:rFonts w:ascii="Times New Roman" w:cs="Times New Roman" w:eastAsia="Times New Roman" w:hAnsi="Times New Roman"/>
          <w:sz w:val="18"/>
          <w:szCs w:val="18"/>
          <w:u w:val="single" w:color="auto"/>
          <w:color w:val="006EBF"/>
        </w:rPr>
        <w:t>www.nationalvision.com/investors</w:t>
      </w:r>
      <w:r>
        <w:rPr>
          <w:rFonts w:ascii="Times New Roman" w:cs="Times New Roman" w:eastAsia="Times New Roman" w:hAnsi="Times New Roman"/>
          <w:sz w:val="18"/>
          <w:szCs w:val="18"/>
          <w:color w:val="auto"/>
        </w:rPr>
        <w:t>, where presentation materials will be posted prior to the conference call. A replay of the audio webcast will also be archived on the “Investors” section of the Company’s website.</w:t>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National Vision Holdings, Inc. (NASDAQ: EYE) is one of the largest optical retail companies in the United States with over 1,100 stores in 38 states and Puerto Rico. With a mission of helping people by making quality eye care and eyewear more affordable and accessible, the company operates four retail brands: America’s Best Contacts &amp; Eyeglasses, Eyeglass World, and Vista Opticals inside select Fred Meyer stores and on select military bases, and e-commerce websites, offering a variety of products and services for customers’ eye care needs. For more information, please visit www.nationalvision.com.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2024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termination of our partnership with Walmart, including the transition period and other wind down activities, will have an impact on our business, revenues, profitability and cash flows, which impact could be material; 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 failure to recruit and retain vision care professionals for in-store roles or to provide remote care offerings could</w:t>
      </w:r>
    </w:p>
    <w:p>
      <w:pPr>
        <w:spacing w:after="0" w:line="1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adversely affect our business, financial condition and results of operations; the optical retail industry is highly competitive, and if we do not compete successfully, our business may be adversely impacted; if we fail to open and operate new stores in a timely and cost-effective manner or fail to successfully enter new markets, our financial performance could be materially and adversely affected; if the performance of our Host brands declines or we are unable to maintain or extend our operating relationships with our Host partners, our business, profitability and cash flows may be adversely affected and we may be required to incur impairment charges; we are a low-cost provider and our business model relies on the low-cost of inputs.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other technological, systems and capabilities; our growth strategy could strain our existing resources and cause the performance of our existing stores to suffer; the COVID-19 pandemic and related impacts, have had, and may in the future continue to have, a material adverse impact on our business; our success depends upon our marketing, advertising and promotional efforts. If we are unable to implement them successfully or efficiently, or if our competitors are more effective than we are, we may experience a material adverse effect on our business, financial condition and results of operations; we are subject to risks associated with leasing substantial amounts of space, including future increases in occupancy costs;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if we fail to retain our existing senior management team or attract qualified new personnel such failure could have a material adverse effect on our business, financial condition and results of operations; our profitability and cash flows may be negatively affected if we are not successful in managing our inventory balances and inventory shrinkage; our operating results and inventory levels fluctuate on a seasonal basis; our e-commerce and omni-channel business faces distinct risks, and our failure to successfully manage those risks could have a negative impact on our profitability; we depend on our distribution centers and/or optical laboratories; we may incur losses arising from our investments in technological innovators in the optical retail industry, including artificial intelligence, which would negatively affect our financial results; ESG issues, including those related to climate change, could have a material adverse effect on our business, financial condition and results of operations; changing climate and weather patterns leading to severe weather and disasters may cause significant business interruptions and expenditures;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w:t>
      </w:r>
    </w:p>
    <w:p>
      <w:pPr>
        <w:sectPr>
          <w:pgSz w:w="11900" w:h="16838" w:orient="portrait"/>
          <w:cols w:equalWidth="0" w:num="1">
            <w:col w:w="11240"/>
          </w:cols>
          <w:pgMar w:left="320" w:top="927" w:right="339" w:bottom="1440" w:gutter="0" w:footer="0" w:header="0"/>
        </w:sectPr>
      </w:pPr>
    </w:p>
    <w:bookmarkStart w:id="8" w:name="page9"/>
    <w:bookmarkEnd w:id="8"/>
    <w:p>
      <w:pPr>
        <w:jc w:val="both"/>
        <w:spacing w:after="0" w:line="226" w:lineRule="auto"/>
        <w:rPr>
          <w:sz w:val="20"/>
          <w:szCs w:val="20"/>
          <w:color w:val="auto"/>
        </w:rPr>
      </w:pPr>
      <w:r>
        <w:rPr>
          <w:rFonts w:ascii="Times New Roman" w:cs="Times New Roman" w:eastAsia="Times New Roman" w:hAnsi="Times New Roman"/>
          <w:sz w:val="18"/>
          <w:szCs w:val="18"/>
          <w:color w:val="auto"/>
        </w:rPr>
        <w:t>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as net income, plus interest expense (income), net, income tax provision (benefit), and depreciation and amortization.</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We define Adjusted Operating Income as net income, plus interest expense (income), net and income tax provision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adjusted to exclude stock-based compensation expense, loss on extinguishment of debt, asset impairment, litigation settlement, secondary offering expenses, management realignment expenses, long-term incentive plan expenses, amortization of acquisition intangibles, Enterprise Resource Planning (“ERP”) implementation expenses and certain other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Margin: </w:t>
      </w:r>
      <w:r>
        <w:rPr>
          <w:rFonts w:ascii="Times New Roman" w:cs="Times New Roman" w:eastAsia="Times New Roman" w:hAnsi="Times New Roman"/>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plus interest expense (income), net, income tax provision (benefit) and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further adjusted to exclude stock-based compensation expense, loss on extinguishment of debt, asset impairment, litigation settlement, secondary offering expenses, management realignment expenses, long-term incentive plan expenses, ERP implementation expenses and certain other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as a percentage of net revenue.</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as diluted earnings per share, adjusted for the per share impact of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loss on extinguishment of debt, asset impairment, litigation settlement, secondary offering expenses, management realignment expenses, long-term incentive plan expenses, amortization of acquisition intangibles,</w:t>
      </w:r>
    </w:p>
    <w:p>
      <w:pPr>
        <w:sectPr>
          <w:pgSz w:w="11900" w:h="16838" w:orient="portrait"/>
          <w:cols w:equalWidth="0" w:num="1">
            <w:col w:w="11240"/>
          </w:cols>
          <w:pgMar w:left="320" w:top="918" w:right="33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18"/>
          <w:szCs w:val="18"/>
          <w:color w:val="auto"/>
        </w:rPr>
        <w:t>amortization of debt discounts and deferred financing costs of our term loan borrowings, amortization of the conversion feature and deferred financing costs related to our 2025 Notes when not required under U.S. GAAP to be added back for diluted earnings per share, derivative fair value adjustments, ERP implementation expenses, certain other expenses, and tax expense (benefit) from stock-based compensation, less the tax effect of these adjustments.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as SG&amp;A adjusted to exclude stock-based compensation expense, litigation settlement, secondary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management realignment expenses, long-term incentive plan expense, ERP implementation expenses, and certain other expenses.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as Adjusted SG&amp;A as a percentage of net revenue.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91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of</w:t>
            </w:r>
          </w:p>
        </w:tc>
        <w:tc>
          <w:tcPr>
            <w:tcW w:w="200" w:type="dxa"/>
            <w:vAlign w:val="bottom"/>
          </w:tcPr>
          <w:p>
            <w:pPr>
              <w:spacing w:after="0"/>
              <w:rPr>
                <w:sz w:val="17"/>
                <w:szCs w:val="17"/>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As of</w:t>
            </w:r>
          </w:p>
        </w:tc>
      </w:tr>
      <w:tr>
        <w:trPr>
          <w:trHeight w:val="239"/>
        </w:trPr>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30, 2023</w:t>
            </w:r>
          </w:p>
        </w:tc>
        <w:tc>
          <w:tcPr>
            <w:tcW w:w="20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14"/>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229,425</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79,892</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123,158</w:t>
            </w:r>
          </w:p>
        </w:tc>
      </w:tr>
      <w:tr>
        <w:trPr>
          <w:trHeight w:val="229"/>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41,361</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473,836</w:t>
            </w:r>
          </w:p>
        </w:tc>
      </w:tr>
      <w:tr>
        <w:trPr>
          <w:trHeight w:val="216"/>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359,775</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777,613</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34,669</w:t>
            </w: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382,825</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21,981</w:t>
            </w:r>
          </w:p>
        </w:tc>
      </w:tr>
      <w:tr>
        <w:trPr>
          <w:trHeight w:val="223"/>
        </w:trPr>
        <w:tc>
          <w:tcPr>
            <w:tcW w:w="7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1,775,841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1,817,410</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2,291,246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65,276</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94,225</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41,239</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62,201</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77,186</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344,264</w:t>
            </w:r>
          </w:p>
        </w:tc>
      </w:tr>
      <w:tr>
        <w:trPr>
          <w:trHeight w:val="216"/>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563,388</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358,110</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21,601</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r>
      <w:tr>
        <w:trPr>
          <w:trHeight w:val="229"/>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93,870</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1,045,869</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84,831 and 84,273 shares issued as of</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December 30, 2023 and December 31, 2022, respectively; 78,311 and 78,992 shares outstanding as</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December 30, 2023 and December 31, 2022, respectively</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767,112</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320,517</w:t>
            </w:r>
          </w:p>
        </w:tc>
      </w:tr>
      <w:tr>
        <w:trPr>
          <w:trHeight w:val="176"/>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Treasury stock, at cost; 6,520 and 5,281 shares as of December 30, 2023 and December 31,</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2022, respectively</w:t>
            </w: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(186,179)</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901,113</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2,291,246</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4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ind w:left="4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Fiscal Year</w:t>
            </w:r>
          </w:p>
        </w:tc>
        <w:tc>
          <w:tcPr>
            <w:tcW w:w="820" w:type="dxa"/>
            <w:vAlign w:val="bottom"/>
          </w:tcPr>
          <w:p>
            <w:pPr>
              <w:spacing w:after="0"/>
              <w:rPr>
                <w:sz w:val="18"/>
                <w:szCs w:val="18"/>
                <w:color w:val="auto"/>
              </w:rPr>
            </w:pPr>
          </w:p>
        </w:tc>
      </w:tr>
      <w:tr>
        <w:trPr>
          <w:trHeight w:val="172"/>
        </w:trPr>
        <w:tc>
          <w:tcPr>
            <w:tcW w:w="6200" w:type="dxa"/>
            <w:vAlign w:val="bottom"/>
          </w:tcPr>
          <w:p>
            <w:pPr>
              <w:spacing w:after="0"/>
              <w:rPr>
                <w:sz w:val="14"/>
                <w:szCs w:val="14"/>
                <w:color w:val="auto"/>
              </w:rPr>
            </w:pPr>
          </w:p>
        </w:tc>
        <w:tc>
          <w:tcPr>
            <w:tcW w:w="1280" w:type="dxa"/>
            <w:vAlign w:val="bottom"/>
            <w:tcBorders>
              <w:top w:val="single" w:sz="8" w:color="auto"/>
            </w:tcBorders>
            <w:gridSpan w:val="3"/>
          </w:tcPr>
          <w:p>
            <w:pPr>
              <w:jc w:val="center"/>
              <w:ind w:right="120"/>
              <w:spacing w:after="0" w:line="172" w:lineRule="exact"/>
              <w:rPr>
                <w:sz w:val="20"/>
                <w:szCs w:val="20"/>
                <w:color w:val="auto"/>
              </w:rPr>
            </w:pPr>
            <w:r>
              <w:rPr>
                <w:rFonts w:ascii="Times New Roman" w:cs="Times New Roman" w:eastAsia="Times New Roman" w:hAnsi="Times New Roman"/>
                <w:sz w:val="18"/>
                <w:szCs w:val="18"/>
                <w:color w:val="auto"/>
                <w:w w:val="98"/>
              </w:rPr>
              <w:t>December 30,</w:t>
            </w:r>
          </w:p>
        </w:tc>
        <w:tc>
          <w:tcPr>
            <w:tcW w:w="1200" w:type="dxa"/>
            <w:vAlign w:val="bottom"/>
            <w:tcBorders>
              <w:top w:val="single" w:sz="8" w:color="auto"/>
            </w:tcBorders>
            <w:gridSpan w:val="2"/>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184"/>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1,648,315</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357,089</w:t>
            </w: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2,005,404</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636,324</w:t>
            </w: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289,263</w:t>
            </w: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925,587</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915,355</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99,956</w:t>
            </w: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2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1,018,542</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61,275</w:t>
            </w: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60,813</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29"/>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79,831</w:t>
            </w: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42,122</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i w:val="1"/>
          <w:iCs w:val="1"/>
          <w:color w:val="auto"/>
        </w:rPr>
        <w:t>Note: Diluted EPS related to the 2025 Notes is calculated using the if-converted method. The 2025 Notes were antidilutive for all periods disclosed above and therefore, excluded from the computation of the weighted average shares for diluted EPS.</w:t>
      </w:r>
    </w:p>
    <w:p>
      <w:pPr>
        <w:sectPr>
          <w:pgSz w:w="11900" w:h="16838" w:orient="portrait"/>
          <w:cols w:equalWidth="0" w:num="1">
            <w:col w:w="11240"/>
          </w:cols>
          <w:pgMar w:left="320" w:top="846"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Fiscal Year 2023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Fiscal Year 2022</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42,122</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operating activities: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99,956</w:t>
            </w: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cloud computing implementation costs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 impairment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r>
      <w:tr>
        <w:trPr>
          <w:trHeight w:val="22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w:t>
            </w:r>
          </w:p>
        </w:tc>
      </w:tr>
      <w:tr>
        <w:trPr>
          <w:trHeight w:val="230"/>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(gains) on change in fair value of derivatives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w:t>
            </w:r>
          </w:p>
        </w:tc>
      </w:tr>
      <w:tr>
        <w:trPr>
          <w:trHeight w:val="22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 adjustments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(24,816)</w:t>
            </w: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 and liabilities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2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r>
      <w:tr>
        <w:trPr>
          <w:trHeight w:val="230"/>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2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and unearned revenue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r>
      <w:tr>
        <w:trPr>
          <w:trHeight w:val="229"/>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(22,156)</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119,198</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(113,547)</w:t>
            </w:r>
          </w:p>
        </w:tc>
      </w:tr>
      <w:tr>
        <w:trPr>
          <w:trHeight w:val="229"/>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(110,894)</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Borrowings on long-term debt, net of discounts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Repayments on long-term debt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r>
      <w:tr>
        <w:trPr>
          <w:trHeight w:val="230"/>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(84,388)</w:t>
            </w:r>
          </w:p>
        </w:tc>
      </w:tr>
      <w:tr>
        <w:trPr>
          <w:trHeight w:val="23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(84,556)</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(76,252)</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306,876</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230,624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 information:</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accrued at the end of the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r>
    </w:tbl>
    <w:p>
      <w:pPr>
        <w:sectPr>
          <w:pgSz w:w="11900" w:h="16838" w:orient="portrait"/>
          <w:cols w:equalWidth="0" w:num="1">
            <w:col w:w="11180"/>
          </w:cols>
          <w:pgMar w:left="360" w:top="846"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to Net Income (loss)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Three Months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Three Months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Fiscal Year 2023</w:t>
            </w:r>
          </w:p>
        </w:tc>
        <w:tc>
          <w:tcPr>
            <w:tcW w:w="120" w:type="dxa"/>
            <w:vAlign w:val="bottom"/>
          </w:tcPr>
          <w:p>
            <w:pPr>
              <w:spacing w:after="0"/>
              <w:rPr>
                <w:sz w:val="14"/>
                <w:szCs w:val="14"/>
                <w:color w:val="auto"/>
              </w:rPr>
            </w:pPr>
          </w:p>
        </w:tc>
        <w:tc>
          <w:tcPr>
            <w:tcW w:w="1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8"/>
              </w:rPr>
              <w:t>Fiscal Year 2022</w:t>
            </w:r>
          </w:p>
        </w:tc>
        <w:tc>
          <w:tcPr>
            <w:tcW w:w="0" w:type="dxa"/>
            <w:vAlign w:val="bottom"/>
          </w:tcPr>
          <w:p>
            <w:pPr>
              <w:spacing w:after="0"/>
              <w:rPr>
                <w:sz w:val="1"/>
                <w:szCs w:val="1"/>
                <w:color w:val="auto"/>
              </w:rPr>
            </w:pPr>
          </w:p>
        </w:tc>
      </w:tr>
      <w:tr>
        <w:trPr>
          <w:trHeight w:val="213"/>
        </w:trPr>
        <w:tc>
          <w:tcPr>
            <w:tcW w:w="5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30, 2023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31, 2022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(15,987)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(9,261)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(65,901)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42,122</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18,691</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13,512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(c)</w:t>
            </w:r>
          </w:p>
        </w:tc>
        <w:tc>
          <w:tcPr>
            <w:tcW w:w="1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82,413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5,783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acquisition intangibles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7,488</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ERP implementation expenses </w:t>
            </w:r>
            <w:r>
              <w:rPr>
                <w:rFonts w:ascii="Times New Roman" w:cs="Times New Roman" w:eastAsia="Times New Roman" w:hAnsi="Times New Roman"/>
                <w:sz w:val="21"/>
                <w:szCs w:val="21"/>
                <w:color w:val="auto"/>
                <w:vertAlign w:val="superscript"/>
              </w:rPr>
              <w:t>(g)</w:t>
            </w:r>
          </w:p>
        </w:tc>
        <w:tc>
          <w:tcPr>
            <w:tcW w:w="1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(h)</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7,285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0"/>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(6,752)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72,321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87,795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 (loss) margin</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Operating Margin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 adjusted for rounding.</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to Net Income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Three Months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Three Months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4"/>
                <w:szCs w:val="14"/>
                <w:color w:val="auto"/>
              </w:rPr>
            </w:pPr>
          </w:p>
        </w:tc>
        <w:tc>
          <w:tcPr>
            <w:tcW w:w="13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Fiscal Year 2023</w:t>
            </w:r>
          </w:p>
        </w:tc>
        <w:tc>
          <w:tcPr>
            <w:tcW w:w="120" w:type="dxa"/>
            <w:vAlign w:val="bottom"/>
          </w:tcPr>
          <w:p>
            <w:pPr>
              <w:spacing w:after="0"/>
              <w:rPr>
                <w:sz w:val="14"/>
                <w:szCs w:val="14"/>
                <w:color w:val="auto"/>
              </w:rPr>
            </w:pPr>
          </w:p>
        </w:tc>
        <w:tc>
          <w:tcPr>
            <w:tcW w:w="1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8"/>
              </w:rPr>
              <w:t>Fiscal Year 2022</w:t>
            </w:r>
          </w:p>
        </w:tc>
        <w:tc>
          <w:tcPr>
            <w:tcW w:w="0" w:type="dxa"/>
            <w:vAlign w:val="bottom"/>
          </w:tcPr>
          <w:p>
            <w:pPr>
              <w:spacing w:after="0"/>
              <w:rPr>
                <w:sz w:val="1"/>
                <w:szCs w:val="1"/>
                <w:color w:val="auto"/>
              </w:rPr>
            </w:pPr>
          </w:p>
        </w:tc>
      </w:tr>
      <w:tr>
        <w:trPr>
          <w:trHeight w:val="213"/>
        </w:trPr>
        <w:tc>
          <w:tcPr>
            <w:tcW w:w="5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30, 2023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31, 2022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(15,987)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(9,261)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(65,901)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42,122</w:t>
            </w:r>
          </w:p>
        </w:tc>
        <w:tc>
          <w:tcPr>
            <w:tcW w:w="0" w:type="dxa"/>
            <w:vAlign w:val="bottom"/>
          </w:tcPr>
          <w:p>
            <w:pPr>
              <w:spacing w:after="0"/>
              <w:rPr>
                <w:sz w:val="1"/>
                <w:szCs w:val="1"/>
                <w:color w:val="auto"/>
              </w:rPr>
            </w:pP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18,691</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24,103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24,708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98,252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99,956</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14,921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50,827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161,231</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13,512</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(b)</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(c)</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82,413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5,783</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ERP implementation expenses </w:t>
            </w:r>
            <w:r>
              <w:rPr>
                <w:rFonts w:ascii="Times New Roman" w:cs="Times New Roman" w:eastAsia="Times New Roman" w:hAnsi="Times New Roman"/>
                <w:sz w:val="21"/>
                <w:szCs w:val="21"/>
                <w:color w:val="auto"/>
                <w:vertAlign w:val="superscript"/>
              </w:rPr>
              <w:t>(g)</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(h)</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7,285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0"/>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23,866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16,084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165,322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180,263</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income (loss) margin</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 adjusted for rounding.</w:t>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Reconciliation of Adjusted Diluted EPS to Diluted EPS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Three Months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Three Months</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13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3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Fiscal Year 2023</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Fiscal Year 2022</w:t>
            </w:r>
          </w:p>
        </w:tc>
        <w:tc>
          <w:tcPr>
            <w:tcW w:w="0" w:type="dxa"/>
            <w:vAlign w:val="bottom"/>
          </w:tcPr>
          <w:p>
            <w:pPr>
              <w:spacing w:after="0"/>
              <w:rPr>
                <w:sz w:val="1"/>
                <w:szCs w:val="1"/>
                <w:color w:val="auto"/>
              </w:rPr>
            </w:pPr>
          </w:p>
        </w:tc>
      </w:tr>
      <w:tr>
        <w:trPr>
          <w:trHeight w:val="213"/>
        </w:trPr>
        <w:tc>
          <w:tcPr>
            <w:tcW w:w="5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30, 2023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31, 2022</w:t>
            </w:r>
          </w:p>
        </w:tc>
        <w:tc>
          <w:tcPr>
            <w:tcW w:w="10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(c)</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acquisition intangibles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debt discounts and deferred financing costs </w:t>
            </w:r>
            <w:r>
              <w:rPr>
                <w:rFonts w:ascii="Times New Roman" w:cs="Times New Roman" w:eastAsia="Times New Roman" w:hAnsi="Times New Roman"/>
                <w:sz w:val="21"/>
                <w:szCs w:val="21"/>
                <w:color w:val="auto"/>
                <w:vertAlign w:val="superscript"/>
              </w:rPr>
              <w:t>(e)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Derivative fair value adjustments </w:t>
            </w:r>
            <w:r>
              <w:rPr>
                <w:rFonts w:ascii="Times New Roman" w:cs="Times New Roman" w:eastAsia="Times New Roman" w:hAnsi="Times New Roman"/>
                <w:sz w:val="21"/>
                <w:szCs w:val="21"/>
                <w:color w:val="auto"/>
                <w:vertAlign w:val="superscript"/>
              </w:rPr>
              <w:t>(f)</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ERP implementation expenses </w:t>
            </w:r>
            <w:r>
              <w:rPr>
                <w:rFonts w:ascii="Times New Roman" w:cs="Times New Roman" w:eastAsia="Times New Roman" w:hAnsi="Times New Roman"/>
                <w:sz w:val="21"/>
                <w:szCs w:val="21"/>
                <w:color w:val="auto"/>
                <w:vertAlign w:val="superscript"/>
              </w:rPr>
              <w:t>(g)</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(k)</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expense (benefit) from stock-based compensation </w:t>
            </w:r>
            <w:r>
              <w:rPr>
                <w:rFonts w:ascii="Times New Roman" w:cs="Times New Roman" w:eastAsia="Times New Roman" w:hAnsi="Times New Roman"/>
                <w:sz w:val="21"/>
                <w:szCs w:val="21"/>
                <w:color w:val="auto"/>
                <w:vertAlign w:val="superscript"/>
              </w:rPr>
              <w:t>(i)</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total adjustments </w:t>
            </w:r>
            <w:r>
              <w:rPr>
                <w:rFonts w:ascii="Times New Roman" w:cs="Times New Roman" w:eastAsia="Times New Roman" w:hAnsi="Times New Roman"/>
                <w:sz w:val="21"/>
                <w:szCs w:val="21"/>
                <w:color w:val="auto"/>
                <w:vertAlign w:val="superscript"/>
              </w:rPr>
              <w:t>(j)</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0"/>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diluted shares outstanding</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78,269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78,948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78,313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80,298</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4"/>
          <w:szCs w:val="14"/>
          <w:i w:val="1"/>
          <w:iCs w:val="1"/>
          <w:color w:val="auto"/>
        </w:rPr>
        <w:t>Note: Some of the totals in the table above do not foot due to rounding differences.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SG&amp;A and Adjusted SG&amp;A Percent of Net Revenue to SG&amp;A</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Three Months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Fiscal Year 2023</w:t>
            </w:r>
          </w:p>
        </w:tc>
        <w:tc>
          <w:tcPr>
            <w:tcW w:w="120" w:type="dxa"/>
            <w:vAlign w:val="bottom"/>
          </w:tcPr>
          <w:p>
            <w:pPr>
              <w:spacing w:after="0"/>
              <w:rPr>
                <w:sz w:val="14"/>
                <w:szCs w:val="14"/>
                <w:color w:val="auto"/>
              </w:rPr>
            </w:pPr>
          </w:p>
        </w:tc>
        <w:tc>
          <w:tcPr>
            <w:tcW w:w="124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color w:val="auto"/>
                <w:w w:val="98"/>
              </w:rPr>
              <w:t>Fiscal Year 2022</w:t>
            </w:r>
          </w:p>
        </w:tc>
        <w:tc>
          <w:tcPr>
            <w:tcW w:w="0" w:type="dxa"/>
            <w:vAlign w:val="bottom"/>
          </w:tcPr>
          <w:p>
            <w:pPr>
              <w:spacing w:after="0"/>
              <w:rPr>
                <w:sz w:val="1"/>
                <w:szCs w:val="1"/>
                <w:color w:val="auto"/>
              </w:rPr>
            </w:pPr>
          </w:p>
        </w:tc>
      </w:tr>
      <w:tr>
        <w:trPr>
          <w:trHeight w:val="216"/>
        </w:trPr>
        <w:tc>
          <w:tcPr>
            <w:tcW w:w="5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December 30, 2023</w:t>
            </w:r>
          </w:p>
        </w:tc>
        <w:tc>
          <w:tcPr>
            <w:tcW w:w="100" w:type="dxa"/>
            <w:vAlign w:val="bottom"/>
          </w:tcPr>
          <w:p>
            <w:pPr>
              <w:spacing w:after="0"/>
              <w:rPr>
                <w:sz w:val="18"/>
                <w:szCs w:val="18"/>
                <w:color w:val="auto"/>
              </w:rPr>
            </w:pPr>
          </w:p>
        </w:tc>
        <w:tc>
          <w:tcPr>
            <w:tcW w:w="1240" w:type="dxa"/>
            <w:vAlign w:val="bottom"/>
          </w:tcPr>
          <w:p>
            <w:pPr>
              <w:jc w:val="center"/>
              <w:ind w:right="13"/>
              <w:spacing w:after="0"/>
              <w:rPr>
                <w:sz w:val="20"/>
                <w:szCs w:val="20"/>
                <w:color w:val="auto"/>
              </w:rPr>
            </w:pPr>
            <w:r>
              <w:rPr>
                <w:rFonts w:ascii="Times New Roman" w:cs="Times New Roman" w:eastAsia="Times New Roman" w:hAnsi="Times New Roman"/>
                <w:sz w:val="16"/>
                <w:szCs w:val="16"/>
                <w:color w:val="auto"/>
              </w:rPr>
              <w:t>31, 2022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248,285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233,944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991,883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915,355</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13,512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(g)</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(l)</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SG&amp;A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236,021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230,678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961,128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899,653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SG&amp;A Percent of Net Revenue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r>
        <w:trPr>
          <w:trHeight w:val="238"/>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SG&amp;A Percent of Net Revenue</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0" w:type="dxa"/>
            <w:vAlign w:val="bottom"/>
          </w:tcPr>
          <w:p>
            <w:pPr>
              <w:spacing w:after="0"/>
              <w:rPr>
                <w:sz w:val="1"/>
                <w:szCs w:val="1"/>
                <w:color w:val="auto"/>
              </w:rPr>
            </w:pPr>
          </w:p>
        </w:tc>
      </w:tr>
    </w:tbl>
    <w:p>
      <w:pPr>
        <w:ind w:left="140"/>
        <w:spacing w:after="0"/>
        <w:rPr>
          <w:sz w:val="20"/>
          <w:szCs w:val="20"/>
          <w:color w:val="auto"/>
        </w:rPr>
      </w:pPr>
      <w:r>
        <w:rPr>
          <w:rFonts w:ascii="Times New Roman" w:cs="Times New Roman" w:eastAsia="Times New Roman" w:hAnsi="Times New Roman"/>
          <w:sz w:val="14"/>
          <w:szCs w:val="14"/>
          <w:i w:val="1"/>
          <w:iCs w:val="1"/>
          <w:color w:val="auto"/>
        </w:rPr>
        <w:t>Note: Percentages reflect line item as a percentage of net revenue.</w:t>
      </w:r>
    </w:p>
    <w:p>
      <w:pPr>
        <w:spacing w:after="0" w:line="172"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27" w:lineRule="exact"/>
        <w:rPr>
          <w:rFonts w:ascii="Times New Roman" w:cs="Times New Roman" w:eastAsia="Times New Roman" w:hAnsi="Times New Roman"/>
          <w:sz w:val="14"/>
          <w:szCs w:val="14"/>
          <w:color w:val="auto"/>
        </w:rPr>
      </w:pPr>
    </w:p>
    <w:p>
      <w:pPr>
        <w:ind w:left="420" w:right="620" w:hanging="412"/>
        <w:spacing w:after="0" w:line="254" w:lineRule="auto"/>
        <w:tabs>
          <w:tab w:leader="none" w:pos="4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December 30, 2023 and fiscal year 2023, reflects the extinguishment loss related to the repurchase of $100 million of the 2025 Notes on November 14, 2023.</w:t>
      </w:r>
    </w:p>
    <w:p>
      <w:pPr>
        <w:ind w:left="420" w:right="640" w:hanging="412"/>
        <w:spacing w:after="0" w:line="259" w:lineRule="auto"/>
        <w:tabs>
          <w:tab w:leader="none" w:pos="41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related to impairment of long-lived assets, primarily goodwill of the Legacy Segment, Walmart contracts and relationship asset, property and equipment at Walmart stores and associated with our AC Lens business, and impairment of property, equipment and lease-related assets on closed or underperforming stores.</w:t>
      </w:r>
    </w:p>
    <w:p>
      <w:pPr>
        <w:ind w:left="420" w:right="640" w:hanging="412"/>
        <w:spacing w:after="0" w:line="261" w:lineRule="auto"/>
        <w:tabs>
          <w:tab w:leader="none" w:pos="4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420" w:right="620" w:hanging="412"/>
        <w:spacing w:after="0" w:line="251" w:lineRule="auto"/>
        <w:tabs>
          <w:tab w:leader="none" w:pos="41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jc w:val="both"/>
        <w:ind w:left="420" w:right="640" w:hanging="412"/>
        <w:spacing w:after="0" w:line="261" w:lineRule="auto"/>
        <w:tabs>
          <w:tab w:leader="none" w:pos="4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Company’s ERP implementation.</w:t>
      </w:r>
    </w:p>
    <w:p>
      <w:pPr>
        <w:spacing w:after="0" w:line="4" w:lineRule="exact"/>
        <w:rPr>
          <w:rFonts w:ascii="Times New Roman" w:cs="Times New Roman" w:eastAsia="Times New Roman" w:hAnsi="Times New Roman"/>
          <w:sz w:val="14"/>
          <w:szCs w:val="14"/>
          <w:color w:val="auto"/>
        </w:rPr>
      </w:pPr>
    </w:p>
    <w:p>
      <w:pPr>
        <w:jc w:val="both"/>
        <w:ind w:left="420" w:right="620" w:hanging="412"/>
        <w:spacing w:after="0" w:line="257" w:lineRule="auto"/>
        <w:tabs>
          <w:tab w:leader="none" w:pos="4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the termination of the Walmart partnership of $4.9 million for the three months ended December 30, 2023 and $7.0 million for fiscal year 2023, costs associated with the digitization of paper-based records of $1.9 million for the three months ended December 30, 2023 and $2.2 million for fiscal year 2023, excess payroll taxes on vesting of restricted stock units and exercises of stock options, executive severance and relocation and other expenses and adjustments, including our share of (gains) losses on equity method investments of $(2.7) million and $(2.7) million for the three months ended December 31, 2022 and fiscal year 2022, respectively, and losses on other investments of $0.3 million for fiscal year 2022.</w:t>
      </w:r>
    </w:p>
    <w:p>
      <w:pPr>
        <w:spacing w:after="0" w:line="1" w:lineRule="exact"/>
        <w:rPr>
          <w:rFonts w:ascii="Times New Roman" w:cs="Times New Roman" w:eastAsia="Times New Roman" w:hAnsi="Times New Roman"/>
          <w:sz w:val="14"/>
          <w:szCs w:val="14"/>
          <w:color w:val="auto"/>
        </w:rPr>
      </w:pPr>
    </w:p>
    <w:p>
      <w:pPr>
        <w:ind w:left="420" w:right="640" w:hanging="412"/>
        <w:spacing w:after="0" w:line="261" w:lineRule="auto"/>
        <w:tabs>
          <w:tab w:leader="none" w:pos="40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expense (benefit) associated with accounting guidance requiring excess tax expense (benefit) related to vesting of restricted stock units and exercises of stock options to be recorded in earnings as discrete items in the reporting period in which they occur.</w:t>
      </w:r>
    </w:p>
    <w:p>
      <w:pPr>
        <w:ind w:left="420" w:right="640" w:hanging="412"/>
        <w:spacing w:after="0" w:line="251" w:lineRule="auto"/>
        <w:tabs>
          <w:tab w:leader="none" w:pos="40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 excluding Walmart goodwill impairment charges of $60.1 million for fiscal year 2023.</w:t>
      </w:r>
    </w:p>
    <w:p>
      <w:pPr>
        <w:ind w:left="400" w:hanging="392"/>
        <w:spacing w:after="0"/>
        <w:tabs>
          <w:tab w:leader="none" w:pos="4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(h) above, including debt issuance costs of $0.2 million for fiscal year 2023.</w:t>
      </w:r>
    </w:p>
    <w:p>
      <w:pPr>
        <w:sectPr>
          <w:pgSz w:w="11900" w:h="16838" w:orient="portrait"/>
          <w:cols w:equalWidth="0" w:num="1">
            <w:col w:w="11220"/>
          </w:cols>
          <w:pgMar w:left="320" w:top="873" w:right="359" w:bottom="1440" w:gutter="0" w:footer="0" w:header="0"/>
        </w:sectPr>
      </w:pPr>
    </w:p>
    <w:bookmarkStart w:id="15" w:name="page16"/>
    <w:bookmarkEnd w:id="15"/>
    <w:p>
      <w:pPr>
        <w:jc w:val="both"/>
        <w:ind w:left="420" w:right="660" w:hanging="412"/>
        <w:spacing w:after="0" w:line="281" w:lineRule="auto"/>
        <w:tabs>
          <w:tab w:leader="none" w:pos="40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(h) above, except for optometrist-related employee retention bonuses of $0.5 million for the three months ended December 30, 2023 and $0.7 million for fiscal year 2023, respectively, and our share of (gains) losses on equity method investments of $(2.7) million for the three months ended December 31, 2022, and $(2.7) million for fiscal year 2022, respectively, and losses on other investments of $0.3 million for fiscal year 2022 and other immaterial adjustments.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to Total Comparable Store Sales Growth</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8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3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8"/>
              </w:rPr>
              <w:t xml:space="preserve">Comparable store sales growth </w:t>
            </w:r>
            <w:r>
              <w:rPr>
                <w:rFonts w:ascii="Times New Roman" w:cs="Times New Roman" w:eastAsia="Times New Roman" w:hAnsi="Times New Roman"/>
                <w:sz w:val="23"/>
                <w:szCs w:val="23"/>
                <w:color w:val="auto"/>
                <w:w w:val="98"/>
                <w:vertAlign w:val="superscript"/>
              </w:rPr>
              <w:t>(a)</w:t>
            </w: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46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rPr>
              <w:t>Three Months</w:t>
            </w:r>
          </w:p>
        </w:tc>
        <w:tc>
          <w:tcPr>
            <w:tcW w:w="1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rPr>
              <w:t>Three Months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Ended December</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8"/>
              </w:rPr>
              <w:t>Fiscal Year 2023</w:t>
            </w: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Fiscal Year 2022</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 xml:space="preserve">2024 Outlook </w:t>
            </w:r>
            <w:r>
              <w:rPr>
                <w:rFonts w:ascii="Times New Roman" w:cs="Times New Roman" w:eastAsia="Times New Roman" w:hAnsi="Times New Roman"/>
                <w:sz w:val="21"/>
                <w:szCs w:val="21"/>
                <w:color w:val="auto"/>
                <w:w w:val="97"/>
                <w:vertAlign w:val="superscript"/>
              </w:rPr>
              <w:t>(b)</w:t>
            </w:r>
          </w:p>
        </w:tc>
        <w:tc>
          <w:tcPr>
            <w:tcW w:w="0" w:type="dxa"/>
            <w:vAlign w:val="bottom"/>
          </w:tcPr>
          <w:p>
            <w:pPr>
              <w:spacing w:after="0"/>
              <w:rPr>
                <w:sz w:val="1"/>
                <w:szCs w:val="1"/>
                <w:color w:val="auto"/>
              </w:rPr>
            </w:pPr>
          </w:p>
        </w:tc>
      </w:tr>
      <w:tr>
        <w:trPr>
          <w:trHeight w:val="216"/>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30, 2023</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31, 2022</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Best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Eyeglass World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Military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Meyer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Legacy segment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comparable store sales growth</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 - 4.5%</w:t>
            </w:r>
          </w:p>
        </w:tc>
        <w:tc>
          <w:tcPr>
            <w:tcW w:w="0" w:type="dxa"/>
            <w:vAlign w:val="bottom"/>
          </w:tcPr>
          <w:p>
            <w:pPr>
              <w:spacing w:after="0"/>
              <w:rPr>
                <w:sz w:val="1"/>
                <w:szCs w:val="1"/>
                <w:color w:val="auto"/>
              </w:rPr>
            </w:pPr>
          </w:p>
        </w:tc>
      </w:tr>
      <w:tr>
        <w:trPr>
          <w:trHeight w:val="30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Comparable Store Sales Growth </w:t>
            </w:r>
            <w:r>
              <w:rPr>
                <w:rFonts w:ascii="Times New Roman" w:cs="Times New Roman" w:eastAsia="Times New Roman" w:hAnsi="Times New Roman"/>
                <w:sz w:val="23"/>
                <w:szCs w:val="23"/>
                <w:color w:val="auto"/>
                <w:vertAlign w:val="superscript"/>
              </w:rPr>
              <w:t>(b)</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 - 4.0%</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40" w:hanging="332"/>
        <w:spacing w:after="0" w:line="268"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15. “Segment Reporting” in our consolidated financial statements, with the exception of the Legacy segment, which is adjusted as noted in (b) (ii) below.</w:t>
      </w:r>
    </w:p>
    <w:p>
      <w:pPr>
        <w:spacing w:after="0" w:line="252"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 decrease of 0.8% for fourth quarter 2023, an increase of 3.4% for fourth quarter 2022, and a decrease of 0.1% for fiscal 2023;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an increase of 0.5% for fourth quarter 2023, a decrease of 0.1% for fourth quarter 2022, a decrease of 0.1% for fiscal 2023, and a decrease of 0.1% for fiscal 2022; (iii) with respect to the Company’s 2024 Outlook, Adjusted Comparable Store Sales Growth includes an estimated 0.5% decrease for the effect of deferred and unearned revenue as if such revenues were earned at the point of sale and retail sales to the Legacy partner’s customers (rather than the revenues recognized consistent with the management &amp; services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Earnings Before Income Tax to Net Income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2023</w:t>
            </w:r>
          </w:p>
        </w:tc>
        <w:tc>
          <w:tcPr>
            <w:tcW w:w="220" w:type="dxa"/>
            <w:vAlign w:val="bottom"/>
          </w:tcPr>
          <w:p>
            <w:pPr>
              <w:spacing w:after="0"/>
              <w:rPr>
                <w:sz w:val="18"/>
                <w:szCs w:val="18"/>
                <w:color w:val="auto"/>
              </w:rPr>
            </w:pPr>
          </w:p>
        </w:tc>
        <w:tc>
          <w:tcPr>
            <w:tcW w:w="15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Reported Total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Legacy Segment</w:t>
            </w:r>
          </w:p>
        </w:tc>
        <w:tc>
          <w:tcPr>
            <w:tcW w:w="180" w:type="dxa"/>
            <w:vAlign w:val="bottom"/>
          </w:tcPr>
          <w:p>
            <w:pPr>
              <w:spacing w:after="0"/>
              <w:rPr>
                <w:sz w:val="18"/>
                <w:szCs w:val="18"/>
                <w:color w:val="auto"/>
              </w:rPr>
            </w:pP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2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Total Impact from Termination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Consolidated Results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Impact</w:t>
            </w:r>
          </w:p>
        </w:tc>
        <w:tc>
          <w:tcPr>
            <w:tcW w:w="1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Segment Impact</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Walmart and AC Lens Businesses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2,126,468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(218,966)</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SG&amp;A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991,883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SG&amp;A for the Corporate/Other Segment is $7.9 million that we believe represents Walmart store operations’ share of corporate costs.</w:t>
      </w:r>
    </w:p>
    <w:p>
      <w:pPr>
        <w:spacing w:after="0" w:line="30"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Depreciation and amortization is $1.8 million related to assets used in Walmart store operations and $2.6 million related to assets used in AC Lens operations.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Total Walmart Vision Center &amp; AC Lens Earnings Before Income Tax, including allocations of corporate costs and depreciation and amortization, is provided herein strictly for purposes of illustrating the anticipated effect of the disposal of these businesses and does not represent the Chief Operating Decision Maker’s method for assessing segment performance.</w:t>
      </w:r>
    </w:p>
    <w:p>
      <w:pPr>
        <w:spacing w:after="0" w:line="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Company expects to report Discontinued Operations for the Walmart Vision Center Operations (Legacy Segment) beginning in Q1 2024 and expects the AC Lens Operations to be included in Discontinued Operations in Q2 2024. In light of the expected forthcoming revised accounting treatment for these operations, the results presented above are to be viewed as estimates, based on information currently available to the Company and subject to adjustment as the Company implements these expected accounting treatment revisions.</w:t>
      </w:r>
    </w:p>
    <w:p>
      <w:pPr>
        <w:sectPr>
          <w:pgSz w:w="11900" w:h="16838" w:orient="portrait"/>
          <w:cols w:equalWidth="0" w:num="1">
            <w:col w:w="11240"/>
          </w:cols>
          <w:pgMar w:left="320" w:top="88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investor.relations@nationalvision.com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Tamara Gonzalez</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Churchill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media@nationalvision.com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w:t>
      </w:r>
    </w:p>
    <w:sectPr>
      <w:pgSz w:w="11900" w:h="16838" w:orient="portrait"/>
      <w:cols w:equalWidth="0" w:num="1">
        <w:col w:w="10139"/>
      </w:cols>
      <w:pgMar w:left="320" w:top="9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2"/>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2024-02-27T05:39:40Z</dcterms:created>
  <dcterms:modified xsi:type="dcterms:W3CDTF">2024-02-27T05:39:40Z</dcterms:modified>
</cp:coreProperties>
</file>