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June 6, 2018</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June 6, 2018, National Vision Holdings, Inc. ("National Vision") held its 2018 annual meeting of stockholders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matters submitted to stockholders at the Annual Meeting and the voting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Stockholders elected all Class I director nominees for hold office for terms expiring at the 2021 annual meeting of stockholders and until their successors are duly elected and qualified.</w:t>
      </w:r>
    </w:p>
    <w:p>
      <w:pPr>
        <w:spacing w:after="0" w:line="329"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Nominee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100" w:type="dxa"/>
            <w:vAlign w:val="bottom"/>
            <w:gridSpan w:val="2"/>
          </w:tcPr>
          <w:p>
            <w:pPr>
              <w:ind w:left="620"/>
              <w:spacing w:after="0"/>
              <w:rPr>
                <w:sz w:val="20"/>
                <w:szCs w:val="20"/>
                <w:color w:val="auto"/>
              </w:rPr>
            </w:pPr>
            <w:r>
              <w:rPr>
                <w:rFonts w:ascii="Arial" w:cs="Arial" w:eastAsia="Arial" w:hAnsi="Arial"/>
                <w:sz w:val="18"/>
                <w:szCs w:val="18"/>
                <w:b w:val="1"/>
                <w:bCs w:val="1"/>
                <w:color w:val="auto"/>
              </w:rPr>
              <w:t>Withheld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L. Reade Fahs</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63,857,531</w:t>
            </w:r>
          </w:p>
        </w:tc>
        <w:tc>
          <w:tcPr>
            <w:tcW w:w="100" w:type="dxa"/>
            <w:vAlign w:val="bottom"/>
          </w:tcPr>
          <w:p>
            <w:pPr>
              <w:spacing w:after="0"/>
              <w:rPr>
                <w:sz w:val="20"/>
                <w:szCs w:val="20"/>
                <w:color w:val="auto"/>
              </w:rPr>
            </w:pPr>
          </w:p>
        </w:tc>
        <w:tc>
          <w:tcPr>
            <w:tcW w:w="1980" w:type="dxa"/>
            <w:vAlign w:val="bottom"/>
          </w:tcPr>
          <w:p>
            <w:pPr>
              <w:ind w:left="620"/>
              <w:spacing w:after="0"/>
              <w:rPr>
                <w:sz w:val="20"/>
                <w:szCs w:val="20"/>
                <w:color w:val="auto"/>
              </w:rPr>
            </w:pPr>
            <w:r>
              <w:rPr>
                <w:rFonts w:ascii="Arial" w:cs="Arial" w:eastAsia="Arial" w:hAnsi="Arial"/>
                <w:sz w:val="18"/>
                <w:szCs w:val="18"/>
                <w:color w:val="auto"/>
              </w:rPr>
              <w:t>7,526,922</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1,181,457</w:t>
            </w:r>
          </w:p>
        </w:tc>
      </w:tr>
      <w:tr>
        <w:trPr>
          <w:trHeight w:val="27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Nathaniel H. Taylor</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62,730,438</w:t>
            </w:r>
          </w:p>
        </w:tc>
        <w:tc>
          <w:tcPr>
            <w:tcW w:w="100" w:type="dxa"/>
            <w:vAlign w:val="bottom"/>
          </w:tcPr>
          <w:p>
            <w:pPr>
              <w:spacing w:after="0"/>
              <w:rPr>
                <w:sz w:val="23"/>
                <w:szCs w:val="23"/>
                <w:color w:val="auto"/>
              </w:rPr>
            </w:pPr>
          </w:p>
        </w:tc>
        <w:tc>
          <w:tcPr>
            <w:tcW w:w="1980" w:type="dxa"/>
            <w:vAlign w:val="bottom"/>
          </w:tcPr>
          <w:p>
            <w:pPr>
              <w:ind w:left="620"/>
              <w:spacing w:after="0"/>
              <w:rPr>
                <w:sz w:val="20"/>
                <w:szCs w:val="20"/>
                <w:color w:val="auto"/>
              </w:rPr>
            </w:pPr>
            <w:r>
              <w:rPr>
                <w:rFonts w:ascii="Arial" w:cs="Arial" w:eastAsia="Arial" w:hAnsi="Arial"/>
                <w:sz w:val="18"/>
                <w:szCs w:val="18"/>
                <w:color w:val="auto"/>
              </w:rPr>
              <w:t>8,654,015</w:t>
            </w:r>
          </w:p>
        </w:tc>
        <w:tc>
          <w:tcPr>
            <w:tcW w:w="1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1,181,457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the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ratified the appointment of Deloitte &amp; Touche LLP as our independent registered public accounting firm for fiscal 2018.</w:t>
      </w:r>
    </w:p>
    <w:p>
      <w:pPr>
        <w:spacing w:after="0" w:line="38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gridSpan w:val="2"/>
          </w:tcPr>
          <w:p>
            <w:pPr>
              <w:ind w:left="520"/>
              <w:spacing w:after="0"/>
              <w:rPr>
                <w:sz w:val="20"/>
                <w:szCs w:val="20"/>
                <w:color w:val="auto"/>
              </w:rPr>
            </w:pPr>
            <w:r>
              <w:rPr>
                <w:rFonts w:ascii="Arial" w:cs="Arial" w:eastAsia="Arial" w:hAnsi="Arial"/>
                <w:sz w:val="18"/>
                <w:szCs w:val="18"/>
                <w:b w:val="1"/>
                <w:bCs w:val="1"/>
                <w:color w:val="auto"/>
              </w:rPr>
              <w:t>Against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Abstained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290"/>
              <w:spacing w:after="0"/>
              <w:rPr>
                <w:sz w:val="20"/>
                <w:szCs w:val="20"/>
                <w:color w:val="auto"/>
              </w:rPr>
            </w:pPr>
            <w:r>
              <w:rPr>
                <w:rFonts w:ascii="Arial" w:cs="Arial" w:eastAsia="Arial" w:hAnsi="Arial"/>
                <w:sz w:val="18"/>
                <w:szCs w:val="18"/>
                <w:color w:val="auto"/>
              </w:rPr>
              <w:t>72,452,210</w:t>
            </w:r>
          </w:p>
        </w:tc>
        <w:tc>
          <w:tcPr>
            <w:tcW w:w="120" w:type="dxa"/>
            <w:vAlign w:val="bottom"/>
          </w:tcPr>
          <w:p>
            <w:pPr>
              <w:spacing w:after="0"/>
              <w:rPr>
                <w:sz w:val="20"/>
                <w:szCs w:val="20"/>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111,649</w:t>
            </w:r>
          </w:p>
        </w:tc>
        <w:tc>
          <w:tcPr>
            <w:tcW w:w="10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approved, on a non-binding advisory basis, the compensation paid to the National Vision's named executive officers.</w:t>
      </w:r>
    </w:p>
    <w:p>
      <w:pPr>
        <w:spacing w:after="0" w:line="38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Against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Abstained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290"/>
              <w:spacing w:after="0"/>
              <w:rPr>
                <w:sz w:val="20"/>
                <w:szCs w:val="20"/>
                <w:color w:val="auto"/>
              </w:rPr>
            </w:pPr>
            <w:r>
              <w:rPr>
                <w:rFonts w:ascii="Arial" w:cs="Arial" w:eastAsia="Arial" w:hAnsi="Arial"/>
                <w:sz w:val="18"/>
                <w:szCs w:val="18"/>
                <w:color w:val="auto"/>
              </w:rPr>
              <w:t>70,091,740</w:t>
            </w:r>
          </w:p>
        </w:tc>
        <w:tc>
          <w:tcPr>
            <w:tcW w:w="120" w:type="dxa"/>
            <w:vAlign w:val="bottom"/>
          </w:tcPr>
          <w:p>
            <w:pPr>
              <w:spacing w:after="0"/>
              <w:rPr>
                <w:sz w:val="20"/>
                <w:szCs w:val="20"/>
                <w:color w:val="auto"/>
              </w:rPr>
            </w:pP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1,287,038</w:t>
            </w:r>
          </w:p>
        </w:tc>
        <w:tc>
          <w:tcPr>
            <w:tcW w:w="10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20"/>
                <w:szCs w:val="20"/>
                <w:color w:val="auto"/>
              </w:rPr>
            </w:pPr>
          </w:p>
        </w:tc>
        <w:tc>
          <w:tcPr>
            <w:tcW w:w="2060" w:type="dxa"/>
            <w:vAlign w:val="bottom"/>
          </w:tcPr>
          <w:p>
            <w:pPr>
              <w:jc w:val="right"/>
              <w:ind w:right="590"/>
              <w:spacing w:after="0"/>
              <w:rPr>
                <w:sz w:val="20"/>
                <w:szCs w:val="20"/>
                <w:color w:val="auto"/>
              </w:rPr>
            </w:pPr>
            <w:r>
              <w:rPr>
                <w:rFonts w:ascii="Arial" w:cs="Arial" w:eastAsia="Arial" w:hAnsi="Arial"/>
                <w:sz w:val="18"/>
                <w:szCs w:val="18"/>
                <w:color w:val="auto"/>
              </w:rPr>
              <w:t>1,181,457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Frequency of Advisory Votes on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votes cast on the non-binding advisory vote regarding the frequency of future advisory votes to approve the compensation paid to the National Vision's named executive officers were as follows:</w:t>
      </w:r>
    </w:p>
    <w:p>
      <w:pPr>
        <w:spacing w:after="0" w:line="329"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One Year</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Two Years</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Three Years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Abstained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110"/>
              <w:spacing w:after="0"/>
              <w:rPr>
                <w:sz w:val="20"/>
                <w:szCs w:val="20"/>
                <w:color w:val="auto"/>
              </w:rPr>
            </w:pPr>
            <w:r>
              <w:rPr>
                <w:rFonts w:ascii="Arial" w:cs="Arial" w:eastAsia="Arial" w:hAnsi="Arial"/>
                <w:sz w:val="18"/>
                <w:szCs w:val="18"/>
                <w:color w:val="auto"/>
              </w:rPr>
              <w:t>38,158,867</w:t>
            </w:r>
          </w:p>
        </w:tc>
        <w:tc>
          <w:tcPr>
            <w:tcW w:w="1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609,056</w:t>
            </w:r>
          </w:p>
        </w:tc>
        <w:tc>
          <w:tcPr>
            <w:tcW w:w="1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32,548,758</w:t>
            </w:r>
          </w:p>
        </w:tc>
        <w:tc>
          <w:tcPr>
            <w:tcW w:w="12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67,772</w:t>
            </w:r>
          </w:p>
        </w:tc>
        <w:tc>
          <w:tcPr>
            <w:tcW w:w="100" w:type="dxa"/>
            <w:vAlign w:val="bottom"/>
          </w:tcPr>
          <w:p>
            <w:pPr>
              <w:spacing w:after="0"/>
              <w:rPr>
                <w:sz w:val="20"/>
                <w:szCs w:val="20"/>
                <w:color w:val="auto"/>
              </w:rPr>
            </w:pPr>
          </w:p>
        </w:tc>
        <w:tc>
          <w:tcPr>
            <w:tcW w:w="2040" w:type="dxa"/>
            <w:vAlign w:val="bottom"/>
          </w:tcPr>
          <w:p>
            <w:pPr>
              <w:jc w:val="right"/>
              <w:ind w:right="570"/>
              <w:spacing w:after="0"/>
              <w:rPr>
                <w:sz w:val="20"/>
                <w:szCs w:val="20"/>
                <w:color w:val="auto"/>
              </w:rPr>
            </w:pPr>
            <w:r>
              <w:rPr>
                <w:rFonts w:ascii="Arial" w:cs="Arial" w:eastAsia="Arial" w:hAnsi="Arial"/>
                <w:sz w:val="18"/>
                <w:szCs w:val="18"/>
                <w:color w:val="auto"/>
              </w:rPr>
              <w:t>1,181,457</w:t>
            </w:r>
          </w:p>
        </w:tc>
      </w:tr>
    </w:tbl>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of Directors has considered these voting results and determined, consistent with the Board of Directors' recommendation, that an advisory vote on executive compensation will be submitted to stockholders on an annual basis until the next vote on frequency.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Approval of the National Vision Holdings, Inc. 2018 Associate Stock 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approved the National Vision Holdings, Inc. 2018 Associate Stock Purchase Plan.</w:t>
      </w:r>
    </w:p>
    <w:p>
      <w:pPr>
        <w:spacing w:after="0" w:line="38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gridSpan w:val="2"/>
          </w:tcPr>
          <w:p>
            <w:pPr>
              <w:ind w:left="520"/>
              <w:spacing w:after="0"/>
              <w:rPr>
                <w:sz w:val="20"/>
                <w:szCs w:val="20"/>
                <w:color w:val="auto"/>
              </w:rPr>
            </w:pPr>
            <w:r>
              <w:rPr>
                <w:rFonts w:ascii="Arial" w:cs="Arial" w:eastAsia="Arial" w:hAnsi="Arial"/>
                <w:sz w:val="18"/>
                <w:szCs w:val="18"/>
                <w:b w:val="1"/>
                <w:bCs w:val="1"/>
                <w:color w:val="auto"/>
              </w:rPr>
              <w:t>Against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Abstained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290"/>
              <w:spacing w:after="0"/>
              <w:rPr>
                <w:sz w:val="20"/>
                <w:szCs w:val="20"/>
                <w:color w:val="auto"/>
              </w:rPr>
            </w:pPr>
            <w:r>
              <w:rPr>
                <w:rFonts w:ascii="Arial" w:cs="Arial" w:eastAsia="Arial" w:hAnsi="Arial"/>
                <w:sz w:val="18"/>
                <w:szCs w:val="18"/>
                <w:color w:val="auto"/>
              </w:rPr>
              <w:t>71,191,366</w:t>
            </w:r>
          </w:p>
        </w:tc>
        <w:tc>
          <w:tcPr>
            <w:tcW w:w="120" w:type="dxa"/>
            <w:vAlign w:val="bottom"/>
          </w:tcPr>
          <w:p>
            <w:pPr>
              <w:spacing w:after="0"/>
              <w:rPr>
                <w:sz w:val="20"/>
                <w:szCs w:val="20"/>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190,451</w:t>
            </w:r>
          </w:p>
        </w:tc>
        <w:tc>
          <w:tcPr>
            <w:tcW w:w="10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0"/>
                <w:szCs w:val="20"/>
                <w:color w:val="auto"/>
              </w:rPr>
            </w:pPr>
          </w:p>
        </w:tc>
        <w:tc>
          <w:tcPr>
            <w:tcW w:w="2060" w:type="dxa"/>
            <w:vAlign w:val="bottom"/>
          </w:tcPr>
          <w:p>
            <w:pPr>
              <w:jc w:val="right"/>
              <w:ind w:right="590"/>
              <w:spacing w:after="0"/>
              <w:rPr>
                <w:sz w:val="20"/>
                <w:szCs w:val="20"/>
                <w:color w:val="auto"/>
              </w:rPr>
            </w:pPr>
            <w:r>
              <w:rPr>
                <w:rFonts w:ascii="Arial" w:cs="Arial" w:eastAsia="Arial" w:hAnsi="Arial"/>
                <w:sz w:val="18"/>
                <w:szCs w:val="18"/>
                <w:color w:val="auto"/>
              </w:rPr>
              <w:t>1,181,457</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920" w:type="dxa"/>
            <w:vAlign w:val="bottom"/>
          </w:tcPr>
          <w:p>
            <w:pPr>
              <w:spacing w:after="0"/>
              <w:rPr>
                <w:sz w:val="20"/>
                <w:szCs w:val="20"/>
                <w:color w:val="auto"/>
              </w:rPr>
            </w:pPr>
            <w:r>
              <w:rPr>
                <w:rFonts w:ascii="Arial" w:cs="Arial" w:eastAsia="Arial" w:hAnsi="Arial"/>
                <w:sz w:val="18"/>
                <w:szCs w:val="18"/>
                <w:color w:val="auto"/>
              </w:rPr>
              <w:t>Date: June 7, 2018</w:t>
            </w:r>
          </w:p>
        </w:tc>
        <w:tc>
          <w:tcPr>
            <w:tcW w:w="2920" w:type="dxa"/>
            <w:vAlign w:val="bottom"/>
          </w:tcPr>
          <w:p>
            <w:pPr>
              <w:ind w:left="158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Patrick R. Moore</w:t>
            </w:r>
          </w:p>
        </w:tc>
      </w:tr>
      <w:tr>
        <w:trPr>
          <w:trHeight w:val="27"/>
        </w:trPr>
        <w:tc>
          <w:tcPr>
            <w:tcW w:w="2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920" w:type="dxa"/>
            <w:vAlign w:val="bottom"/>
          </w:tcPr>
          <w:p>
            <w:pPr>
              <w:ind w:left="158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70"/>
        </w:trPr>
        <w:tc>
          <w:tcPr>
            <w:tcW w:w="2920" w:type="dxa"/>
            <w:vAlign w:val="bottom"/>
          </w:tcPr>
          <w:p>
            <w:pPr>
              <w:spacing w:after="0"/>
              <w:rPr>
                <w:sz w:val="23"/>
                <w:szCs w:val="23"/>
                <w:color w:val="auto"/>
              </w:rPr>
            </w:pPr>
          </w:p>
        </w:tc>
        <w:tc>
          <w:tcPr>
            <w:tcW w:w="2920" w:type="dxa"/>
            <w:vAlign w:val="bottom"/>
          </w:tcPr>
          <w:p>
            <w:pPr>
              <w:ind w:left="158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bl>
    <w:p>
      <w:pPr>
        <w:spacing w:after="0" w:line="1" w:lineRule="exact"/>
        <w:rPr>
          <w:sz w:val="20"/>
          <w:szCs w:val="20"/>
          <w:color w:val="auto"/>
        </w:rPr>
      </w:pPr>
    </w:p>
    <w:sectPr>
      <w:pgSz w:w="11900" w:h="16838" w:orient="portrait"/>
      <w:cols w:equalWidth="0" w:num="1">
        <w:col w:w="11320"/>
      </w:cols>
      <w:pgMar w:left="2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2019-12-08T16:56:05Z</dcterms:created>
  <dcterms:modified xsi:type="dcterms:W3CDTF">2019-12-08T16:56:05Z</dcterms:modified>
</cp:coreProperties>
</file>