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t>UNITED STATES</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8"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204"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______________</w:t>
      </w:r>
    </w:p>
    <w:p>
      <w:pPr>
        <w:spacing w:after="0" w:line="218"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auto"/>
        </w:rPr>
        <w:t>SCHEDULE 13G</w:t>
      </w:r>
    </w:p>
    <w:p>
      <w:pPr>
        <w:spacing w:after="0" w:line="30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National Vision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0866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5715</wp:posOffset>
            </wp:positionV>
            <wp:extent cx="70866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63845R107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0866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(CUSIP Number)</w:t>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0866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2" w:lineRule="exact"/>
        <w:rPr>
          <w:sz w:val="24"/>
          <w:szCs w:val="24"/>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6"/>
          <w:szCs w:val="16"/>
          <w:color w:val="auto"/>
        </w:rPr>
        <w:t>Rule 13d-1(b)</w:t>
      </w:r>
    </w:p>
    <w:p>
      <w:pPr>
        <w:spacing w:after="0" w:line="115" w:lineRule="exact"/>
        <w:rPr>
          <w:sz w:val="24"/>
          <w:szCs w:val="24"/>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[_]</w:t>
      </w:r>
      <w:r>
        <w:rPr>
          <w:sz w:val="20"/>
          <w:szCs w:val="20"/>
          <w:color w:val="auto"/>
        </w:rPr>
        <w:tab/>
      </w:r>
      <w:r>
        <w:rPr>
          <w:rFonts w:ascii="Arial" w:cs="Arial" w:eastAsia="Arial" w:hAnsi="Arial"/>
          <w:sz w:val="16"/>
          <w:szCs w:val="16"/>
          <w:color w:val="auto"/>
        </w:rPr>
        <w:t>Rule 13d-1(c)</w:t>
      </w:r>
    </w:p>
    <w:p>
      <w:pPr>
        <w:spacing w:after="0" w:line="115" w:lineRule="exact"/>
        <w:rPr>
          <w:sz w:val="24"/>
          <w:szCs w:val="24"/>
          <w:color w:val="auto"/>
        </w:rPr>
      </w:pPr>
    </w:p>
    <w:p>
      <w:pPr>
        <w:ind w:left="1280" w:hanging="636"/>
        <w:spacing w:after="0"/>
        <w:tabs>
          <w:tab w:leader="none" w:pos="1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13d-1(d)</w:t>
      </w:r>
    </w:p>
    <w:p>
      <w:pPr>
        <w:spacing w:after="0" w:line="333" w:lineRule="exact"/>
        <w:rPr>
          <w:sz w:val="24"/>
          <w:szCs w:val="24"/>
          <w:color w:val="auto"/>
        </w:rPr>
      </w:pPr>
    </w:p>
    <w:p>
      <w:pPr>
        <w:ind w:right="40"/>
        <w:spacing w:after="0" w:line="213" w:lineRule="auto"/>
        <w:rPr>
          <w:sz w:val="20"/>
          <w:szCs w:val="20"/>
          <w:color w:val="auto"/>
        </w:rPr>
      </w:pPr>
      <w:r>
        <w:rPr>
          <w:rFonts w:ascii="Arial" w:cs="Arial" w:eastAsia="Arial" w:hAnsi="Arial"/>
          <w:sz w:val="29"/>
          <w:szCs w:val="29"/>
          <w:color w:val="auto"/>
          <w:vertAlign w:val="superscript"/>
        </w:rPr>
        <w:t>*</w:t>
      </w: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1" w:lineRule="exact"/>
        <w:rPr>
          <w:sz w:val="24"/>
          <w:szCs w:val="24"/>
          <w:color w:val="auto"/>
        </w:rPr>
      </w:pPr>
    </w:p>
    <w:p>
      <w:pPr>
        <w:spacing w:after="0" w:line="261"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406400</wp:posOffset>
            </wp:positionV>
            <wp:extent cx="708660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86600" cy="25400"/>
                    </a:xfrm>
                    <a:prstGeom prst="rect">
                      <a:avLst/>
                    </a:prstGeom>
                    <a:noFill/>
                  </pic:spPr>
                </pic:pic>
              </a:graphicData>
            </a:graphic>
          </wp:anchor>
        </w:drawing>
      </w:r>
    </w:p>
    <w:p>
      <w:pPr>
        <w:sectPr>
          <w:pgSz w:w="12240" w:h="15840" w:orient="portrait"/>
          <w:cols w:equalWidth="0" w:num="1">
            <w:col w:w="11120"/>
          </w:cols>
          <w:pgMar w:left="520" w:top="0" w:right="600" w:bottom="1440" w:gutter="0" w:footer="0" w:header="0"/>
        </w:sectPr>
      </w:pPr>
    </w:p>
    <w:bookmarkStart w:id="1" w:name="page2"/>
    <w:bookmarkEnd w:id="1"/>
    <w:p>
      <w:pPr>
        <w:spacing w:after="0"/>
        <w:tabs>
          <w:tab w:leader="none" w:pos="5920" w:val="left"/>
          <w:tab w:leader="none" w:pos="814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357505</wp:posOffset>
            </wp:positionV>
            <wp:extent cx="70866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86600" cy="8255"/>
                    </a:xfrm>
                    <a:prstGeom prst="rect">
                      <a:avLst/>
                    </a:prstGeom>
                    <a:noFill/>
                  </pic:spPr>
                </pic:pic>
              </a:graphicData>
            </a:graphic>
          </wp:anchor>
        </w:drawing>
        <w:t>CUSIP No. 63845R107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2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70866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195580</wp:posOffset>
            </wp:positionV>
            <wp:extent cx="70866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ectPr>
          <w:pgSz w:w="12240" w:h="15840" w:orient="portrait"/>
          <w:cols w:equalWidth="0" w:num="1">
            <w:col w:w="11160"/>
          </w:cols>
          <w:pgMar w:left="520" w:top="598" w:right="560" w:bottom="1440" w:gutter="0" w:footer="0" w:header="0"/>
        </w:sectPr>
      </w:pPr>
    </w:p>
    <w:p>
      <w:pPr>
        <w:spacing w:after="0" w:line="387" w:lineRule="exact"/>
        <w:rPr>
          <w:sz w:val="20"/>
          <w:szCs w:val="20"/>
          <w:color w:val="auto"/>
        </w:rPr>
      </w:pPr>
    </w:p>
    <w:p>
      <w:pPr>
        <w:ind w:left="1120" w:hanging="677"/>
        <w:spacing w:after="0"/>
        <w:tabs>
          <w:tab w:leader="none" w:pos="1120" w:val="left"/>
        </w:tabs>
        <w:numPr>
          <w:ilvl w:val="0"/>
          <w:numId w:val="2"/>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 w:lineRule="exact"/>
        <w:rPr>
          <w:rFonts w:ascii="Arial" w:cs="Arial" w:eastAsia="Arial" w:hAnsi="Arial"/>
          <w:sz w:val="18"/>
          <w:szCs w:val="18"/>
          <w:b w:val="1"/>
          <w:bCs w:val="1"/>
          <w:color w:val="auto"/>
        </w:rPr>
      </w:pPr>
    </w:p>
    <w:p>
      <w:pPr>
        <w:ind w:left="1120"/>
        <w:spacing w:after="0"/>
        <w:rPr>
          <w:rFonts w:ascii="Arial" w:cs="Arial" w:eastAsia="Arial" w:hAnsi="Arial"/>
          <w:sz w:val="18"/>
          <w:szCs w:val="18"/>
          <w:b w:val="1"/>
          <w:bCs w:val="1"/>
          <w:color w:val="auto"/>
        </w:rPr>
      </w:pPr>
      <w:r>
        <w:rPr>
          <w:rFonts w:ascii="Arial" w:cs="Arial" w:eastAsia="Arial" w:hAnsi="Arial"/>
          <w:sz w:val="17"/>
          <w:szCs w:val="17"/>
          <w:color w:val="auto"/>
        </w:rPr>
        <w:t>I.R.S. IDENTIFICATION NO. OF ABOVE PERSONS (ENTITIES ONLY)</w:t>
      </w:r>
    </w:p>
    <w:p>
      <w:pPr>
        <w:spacing w:after="0" w:line="21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Berkshire Partners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35" w:lineRule="exact"/>
        <w:rPr>
          <w:sz w:val="20"/>
          <w:szCs w:val="20"/>
          <w:color w:val="auto"/>
        </w:rPr>
      </w:pPr>
    </w:p>
    <w:p>
      <w:pPr>
        <w:ind w:left="1120" w:right="3066" w:hanging="677"/>
        <w:spacing w:after="0" w:line="274" w:lineRule="auto"/>
        <w:tabs>
          <w:tab w:leader="none" w:pos="11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20" w:lineRule="exact"/>
        <w:rPr>
          <w:rFonts w:ascii="Arial" w:cs="Arial" w:eastAsia="Arial" w:hAnsi="Arial"/>
          <w:sz w:val="18"/>
          <w:szCs w:val="18"/>
          <w:b w:val="1"/>
          <w:bCs w:val="1"/>
          <w:color w:val="auto"/>
        </w:rPr>
      </w:pPr>
    </w:p>
    <w:p>
      <w:pPr>
        <w:ind w:left="1120" w:hanging="677"/>
        <w:spacing w:after="0"/>
        <w:tabs>
          <w:tab w:leader="none" w:pos="1120" w:val="left"/>
        </w:tabs>
        <w:numPr>
          <w:ilvl w:val="0"/>
          <w:numId w:val="3"/>
        </w:numPr>
        <w:rPr>
          <w:rFonts w:ascii="Arial" w:cs="Arial" w:eastAsia="Arial" w:hAnsi="Arial"/>
          <w:sz w:val="36"/>
          <w:szCs w:val="36"/>
          <w:b w:val="1"/>
          <w:bCs w:val="1"/>
          <w:color w:val="auto"/>
          <w:vertAlign w:val="subscript"/>
        </w:rPr>
      </w:pPr>
      <w:r>
        <w:rPr>
          <w:rFonts w:ascii="Arial" w:cs="Arial" w:eastAsia="Arial" w:hAnsi="Arial"/>
          <w:sz w:val="18"/>
          <w:szCs w:val="18"/>
          <w:color w:val="auto"/>
        </w:rPr>
        <w:t>SEC USE ONLY</w:t>
      </w:r>
    </w:p>
    <w:p>
      <w:pPr>
        <w:spacing w:after="0" w:line="159" w:lineRule="exact"/>
        <w:rPr>
          <w:rFonts w:ascii="Arial" w:cs="Arial" w:eastAsia="Arial" w:hAnsi="Arial"/>
          <w:sz w:val="36"/>
          <w:szCs w:val="36"/>
          <w:b w:val="1"/>
          <w:bCs w:val="1"/>
          <w:color w:val="auto"/>
          <w:vertAlign w:val="subscript"/>
        </w:rPr>
      </w:pPr>
    </w:p>
    <w:p>
      <w:pPr>
        <w:ind w:left="1120" w:hanging="677"/>
        <w:spacing w:after="0"/>
        <w:tabs>
          <w:tab w:leader="none" w:pos="112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-181610</wp:posOffset>
            </wp:positionV>
            <wp:extent cx="70866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-402590</wp:posOffset>
            </wp:positionV>
            <wp:extent cx="70866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8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35" w:lineRule="exact"/>
        <w:rPr>
          <w:sz w:val="20"/>
          <w:szCs w:val="20"/>
          <w:color w:val="auto"/>
        </w:rPr>
      </w:pPr>
    </w:p>
    <w:p>
      <w:pPr>
        <w:ind w:left="3460" w:right="4026" w:hanging="891"/>
        <w:spacing w:after="0" w:line="388" w:lineRule="auto"/>
        <w:tabs>
          <w:tab w:leader="none" w:pos="3245"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34" w:hanging="234"/>
        <w:spacing w:after="0"/>
        <w:tabs>
          <w:tab w:leader="none" w:pos="234" w:val="left"/>
        </w:tabs>
        <w:numPr>
          <w:ilvl w:val="0"/>
          <w:numId w:val="5"/>
        </w:numPr>
        <w:rPr>
          <w:rFonts w:ascii="Arial" w:cs="Arial" w:eastAsia="Arial" w:hAnsi="Arial"/>
          <w:sz w:val="18"/>
          <w:szCs w:val="18"/>
          <w:color w:val="auto"/>
        </w:rPr>
      </w:pPr>
      <w:r>
        <w:rPr>
          <w:rFonts w:ascii="Arial" w:cs="Arial" w:eastAsia="Arial" w:hAnsi="Arial"/>
          <w:sz w:val="18"/>
          <w:szCs w:val="18"/>
          <w:color w:val="auto"/>
        </w:rPr>
        <w:t>[  ]</w:t>
      </w:r>
    </w:p>
    <w:p>
      <w:pPr>
        <w:spacing w:after="0" w:line="88" w:lineRule="exact"/>
        <w:rPr>
          <w:rFonts w:ascii="Arial" w:cs="Arial" w:eastAsia="Arial" w:hAnsi="Arial"/>
          <w:sz w:val="18"/>
          <w:szCs w:val="18"/>
          <w:color w:val="auto"/>
        </w:rPr>
      </w:pPr>
    </w:p>
    <w:p>
      <w:pPr>
        <w:ind w:left="254" w:hanging="254"/>
        <w:spacing w:after="0"/>
        <w:tabs>
          <w:tab w:leader="none" w:pos="254" w:val="left"/>
        </w:tabs>
        <w:numPr>
          <w:ilvl w:val="0"/>
          <w:numId w:val="5"/>
        </w:numPr>
        <w:rPr>
          <w:rFonts w:ascii="Arial" w:cs="Arial" w:eastAsia="Arial" w:hAnsi="Arial"/>
          <w:sz w:val="18"/>
          <w:szCs w:val="18"/>
          <w:color w:val="auto"/>
        </w:rPr>
      </w:pPr>
      <w:r>
        <w:rPr>
          <w:rFonts w:ascii="Arial" w:cs="Arial" w:eastAsia="Arial" w:hAnsi="Arial"/>
          <w:sz w:val="18"/>
          <w:szCs w:val="18"/>
          <w:color w:val="auto"/>
        </w:rPr>
        <w:t>[X]</w:t>
      </w:r>
    </w:p>
    <w:p>
      <w:pPr>
        <w:spacing w:after="0" w:line="2207" w:lineRule="exact"/>
        <w:rPr>
          <w:sz w:val="20"/>
          <w:szCs w:val="20"/>
          <w:color w:val="auto"/>
        </w:rPr>
      </w:pPr>
    </w:p>
    <w:p>
      <w:pPr>
        <w:sectPr>
          <w:pgSz w:w="12240" w:h="15840" w:orient="portrait"/>
          <w:cols w:equalWidth="0" w:num="2">
            <w:col w:w="9126" w:space="720"/>
            <w:col w:w="1314"/>
          </w:cols>
          <w:pgMar w:left="520" w:top="598" w:right="560" w:bottom="1440" w:gutter="0" w:footer="0" w:header="0"/>
          <w:type w:val="continuous"/>
        </w:sectPr>
      </w:pPr>
    </w:p>
    <w:tbl>
      <w:tblPr>
        <w:tblLayout w:type="fixed"/>
        <w:tblInd w:w="440" w:type="dxa"/>
        <w:tblCellMar>
          <w:top w:w="0" w:type="dxa"/>
          <w:left w:w="0" w:type="dxa"/>
          <w:bottom w:w="0" w:type="dxa"/>
          <w:right w:w="0" w:type="dxa"/>
        </w:tblCellMar>
      </w:tblPr>
      <w:tr>
        <w:trPr>
          <w:trHeight w:val="41"/>
        </w:trPr>
        <w:tc>
          <w:tcPr>
            <w:tcW w:w="1700" w:type="dxa"/>
            <w:vAlign w:val="bottom"/>
            <w:vMerge w:val="restart"/>
          </w:tcPr>
          <w:p>
            <w:pPr>
              <w:jc w:val="center"/>
              <w:ind w:right="371"/>
              <w:spacing w:after="0"/>
              <w:rPr>
                <w:sz w:val="20"/>
                <w:szCs w:val="20"/>
                <w:color w:val="auto"/>
              </w:rPr>
            </w:pPr>
            <w:r>
              <w:rPr>
                <w:rFonts w:ascii="Arial" w:cs="Arial" w:eastAsia="Arial" w:hAnsi="Arial"/>
                <w:sz w:val="18"/>
                <w:szCs w:val="18"/>
                <w:color w:val="auto"/>
                <w:w w:val="96"/>
              </w:rPr>
              <w:t>NUMBER OF</w:t>
            </w:r>
          </w:p>
        </w:tc>
        <w:tc>
          <w:tcPr>
            <w:tcW w:w="840" w:type="dxa"/>
            <w:vAlign w:val="bottom"/>
            <w:tcBorders>
              <w:bottom w:val="single" w:sz="8" w:color="auto"/>
            </w:tcBorders>
          </w:tcPr>
          <w:p>
            <w:pPr>
              <w:spacing w:after="0"/>
              <w:rPr>
                <w:sz w:val="3"/>
                <w:szCs w:val="3"/>
                <w:color w:val="auto"/>
              </w:rPr>
            </w:pPr>
          </w:p>
        </w:tc>
        <w:tc>
          <w:tcPr>
            <w:tcW w:w="8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700" w:type="dxa"/>
            <w:vAlign w:val="bottom"/>
            <w:vMerge w:val="continue"/>
          </w:tcPr>
          <w:p>
            <w:pPr>
              <w:spacing w:after="0"/>
              <w:rPr>
                <w:sz w:val="13"/>
                <w:szCs w:val="13"/>
                <w:color w:val="auto"/>
              </w:rPr>
            </w:pPr>
          </w:p>
        </w:tc>
        <w:tc>
          <w:tcPr>
            <w:tcW w:w="840" w:type="dxa"/>
            <w:vAlign w:val="bottom"/>
            <w:vMerge w:val="restart"/>
          </w:tcPr>
          <w:p>
            <w:pPr>
              <w:jc w:val="right"/>
              <w:ind w:right="191"/>
              <w:spacing w:after="0"/>
              <w:rPr>
                <w:sz w:val="20"/>
                <w:szCs w:val="20"/>
                <w:color w:val="auto"/>
              </w:rPr>
            </w:pPr>
            <w:r>
              <w:rPr>
                <w:rFonts w:ascii="Arial" w:cs="Arial" w:eastAsia="Arial" w:hAnsi="Arial"/>
                <w:sz w:val="18"/>
                <w:szCs w:val="18"/>
                <w:b w:val="1"/>
                <w:bCs w:val="1"/>
                <w:color w:val="auto"/>
              </w:rPr>
              <w:t>6.</w:t>
            </w:r>
          </w:p>
        </w:tc>
        <w:tc>
          <w:tcPr>
            <w:tcW w:w="818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5"/>
        </w:trPr>
        <w:tc>
          <w:tcPr>
            <w:tcW w:w="1700" w:type="dxa"/>
            <w:vAlign w:val="bottom"/>
            <w:vMerge w:val="restart"/>
          </w:tcPr>
          <w:p>
            <w:pPr>
              <w:jc w:val="center"/>
              <w:ind w:right="371"/>
              <w:spacing w:after="0"/>
              <w:rPr>
                <w:sz w:val="20"/>
                <w:szCs w:val="20"/>
                <w:color w:val="auto"/>
              </w:rPr>
            </w:pPr>
            <w:r>
              <w:rPr>
                <w:rFonts w:ascii="Arial" w:cs="Arial" w:eastAsia="Arial" w:hAnsi="Arial"/>
                <w:sz w:val="18"/>
                <w:szCs w:val="18"/>
                <w:color w:val="auto"/>
                <w:w w:val="91"/>
              </w:rPr>
              <w:t>SHARES</w:t>
            </w:r>
          </w:p>
        </w:tc>
        <w:tc>
          <w:tcPr>
            <w:tcW w:w="840" w:type="dxa"/>
            <w:vAlign w:val="bottom"/>
            <w:vMerge w:val="continue"/>
          </w:tcPr>
          <w:p>
            <w:pPr>
              <w:spacing w:after="0"/>
              <w:rPr>
                <w:sz w:val="11"/>
                <w:szCs w:val="11"/>
                <w:color w:val="auto"/>
              </w:rPr>
            </w:pPr>
          </w:p>
        </w:tc>
        <w:tc>
          <w:tcPr>
            <w:tcW w:w="8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70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8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1700" w:type="dxa"/>
            <w:vAlign w:val="bottom"/>
          </w:tcPr>
          <w:p>
            <w:pPr>
              <w:jc w:val="center"/>
              <w:ind w:right="351"/>
              <w:spacing w:after="0"/>
              <w:rPr>
                <w:sz w:val="20"/>
                <w:szCs w:val="20"/>
                <w:color w:val="auto"/>
              </w:rPr>
            </w:pPr>
            <w:r>
              <w:rPr>
                <w:rFonts w:ascii="Arial" w:cs="Arial" w:eastAsia="Arial" w:hAnsi="Arial"/>
                <w:sz w:val="18"/>
                <w:szCs w:val="18"/>
                <w:color w:val="auto"/>
                <w:w w:val="99"/>
              </w:rPr>
              <w:t>BENEFICIALLY</w:t>
            </w:r>
          </w:p>
        </w:tc>
        <w:tc>
          <w:tcPr>
            <w:tcW w:w="840" w:type="dxa"/>
            <w:vAlign w:val="bottom"/>
          </w:tcPr>
          <w:p>
            <w:pPr>
              <w:spacing w:after="0"/>
              <w:rPr>
                <w:sz w:val="18"/>
                <w:szCs w:val="18"/>
                <w:color w:val="auto"/>
              </w:rPr>
            </w:pPr>
          </w:p>
        </w:tc>
        <w:tc>
          <w:tcPr>
            <w:tcW w:w="8180" w:type="dxa"/>
            <w:vAlign w:val="bottom"/>
            <w:vMerge w:val="restart"/>
          </w:tcPr>
          <w:p>
            <w:pPr>
              <w:ind w:left="480"/>
              <w:spacing w:after="0"/>
              <w:rPr>
                <w:sz w:val="20"/>
                <w:szCs w:val="20"/>
                <w:color w:val="auto"/>
              </w:rPr>
            </w:pPr>
            <w:r>
              <w:rPr>
                <w:rFonts w:ascii="Arial" w:cs="Arial" w:eastAsia="Arial" w:hAnsi="Arial"/>
                <w:sz w:val="18"/>
                <w:szCs w:val="18"/>
                <w:color w:val="auto"/>
              </w:rPr>
              <w:t>2,139,685</w:t>
            </w:r>
          </w:p>
        </w:tc>
        <w:tc>
          <w:tcPr>
            <w:tcW w:w="0" w:type="dxa"/>
            <w:vAlign w:val="bottom"/>
          </w:tcPr>
          <w:p>
            <w:pPr>
              <w:spacing w:after="0"/>
              <w:rPr>
                <w:sz w:val="1"/>
                <w:szCs w:val="1"/>
                <w:color w:val="auto"/>
              </w:rPr>
            </w:pPr>
          </w:p>
        </w:tc>
      </w:tr>
      <w:tr>
        <w:trPr>
          <w:trHeight w:val="229"/>
        </w:trPr>
        <w:tc>
          <w:tcPr>
            <w:tcW w:w="1700" w:type="dxa"/>
            <w:vAlign w:val="bottom"/>
          </w:tcPr>
          <w:p>
            <w:pPr>
              <w:jc w:val="center"/>
              <w:ind w:right="371"/>
              <w:spacing w:after="0"/>
              <w:rPr>
                <w:sz w:val="20"/>
                <w:szCs w:val="20"/>
                <w:color w:val="auto"/>
              </w:rPr>
            </w:pPr>
            <w:r>
              <w:rPr>
                <w:rFonts w:ascii="Arial" w:cs="Arial" w:eastAsia="Arial" w:hAnsi="Arial"/>
                <w:sz w:val="18"/>
                <w:szCs w:val="18"/>
                <w:color w:val="auto"/>
                <w:w w:val="97"/>
              </w:rPr>
              <w:t>OWNED BY</w:t>
            </w:r>
          </w:p>
        </w:tc>
        <w:tc>
          <w:tcPr>
            <w:tcW w:w="840" w:type="dxa"/>
            <w:vAlign w:val="bottom"/>
            <w:tcBorders>
              <w:bottom w:val="single" w:sz="8" w:color="auto"/>
            </w:tcBorders>
          </w:tcPr>
          <w:p>
            <w:pPr>
              <w:spacing w:after="0"/>
              <w:rPr>
                <w:sz w:val="19"/>
                <w:szCs w:val="19"/>
                <w:color w:val="auto"/>
              </w:rPr>
            </w:pPr>
          </w:p>
        </w:tc>
        <w:tc>
          <w:tcPr>
            <w:tcW w:w="8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700" w:type="dxa"/>
            <w:vAlign w:val="bottom"/>
          </w:tcPr>
          <w:p>
            <w:pPr>
              <w:jc w:val="center"/>
              <w:ind w:right="371"/>
              <w:spacing w:after="0" w:line="181" w:lineRule="exact"/>
              <w:rPr>
                <w:sz w:val="20"/>
                <w:szCs w:val="20"/>
                <w:color w:val="auto"/>
              </w:rPr>
            </w:pPr>
            <w:r>
              <w:rPr>
                <w:rFonts w:ascii="Arial" w:cs="Arial" w:eastAsia="Arial" w:hAnsi="Arial"/>
                <w:sz w:val="18"/>
                <w:szCs w:val="18"/>
                <w:color w:val="auto"/>
                <w:w w:val="95"/>
              </w:rPr>
              <w:t>EACH</w:t>
            </w:r>
          </w:p>
        </w:tc>
        <w:tc>
          <w:tcPr>
            <w:tcW w:w="840" w:type="dxa"/>
            <w:vAlign w:val="bottom"/>
            <w:vMerge w:val="restart"/>
          </w:tcPr>
          <w:p>
            <w:pPr>
              <w:jc w:val="right"/>
              <w:ind w:right="191"/>
              <w:spacing w:after="0"/>
              <w:rPr>
                <w:sz w:val="20"/>
                <w:szCs w:val="20"/>
                <w:color w:val="auto"/>
              </w:rPr>
            </w:pPr>
            <w:r>
              <w:rPr>
                <w:rFonts w:ascii="Arial" w:cs="Arial" w:eastAsia="Arial" w:hAnsi="Arial"/>
                <w:sz w:val="18"/>
                <w:szCs w:val="18"/>
                <w:b w:val="1"/>
                <w:bCs w:val="1"/>
                <w:color w:val="auto"/>
              </w:rPr>
              <w:t>7.</w:t>
            </w:r>
          </w:p>
        </w:tc>
        <w:tc>
          <w:tcPr>
            <w:tcW w:w="818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9"/>
        </w:trPr>
        <w:tc>
          <w:tcPr>
            <w:tcW w:w="1700" w:type="dxa"/>
            <w:vAlign w:val="bottom"/>
            <w:vMerge w:val="restart"/>
          </w:tcPr>
          <w:p>
            <w:pPr>
              <w:jc w:val="center"/>
              <w:ind w:right="351"/>
              <w:spacing w:after="0"/>
              <w:rPr>
                <w:sz w:val="20"/>
                <w:szCs w:val="20"/>
                <w:color w:val="auto"/>
              </w:rPr>
            </w:pPr>
            <w:r>
              <w:rPr>
                <w:rFonts w:ascii="Arial" w:cs="Arial" w:eastAsia="Arial" w:hAnsi="Arial"/>
                <w:sz w:val="18"/>
                <w:szCs w:val="18"/>
                <w:color w:val="auto"/>
                <w:w w:val="91"/>
              </w:rPr>
              <w:t>REPORTING</w:t>
            </w:r>
          </w:p>
        </w:tc>
        <w:tc>
          <w:tcPr>
            <w:tcW w:w="840" w:type="dxa"/>
            <w:vAlign w:val="bottom"/>
            <w:vMerge w:val="continue"/>
          </w:tcPr>
          <w:p>
            <w:pPr>
              <w:spacing w:after="0"/>
              <w:rPr>
                <w:sz w:val="9"/>
                <w:szCs w:val="9"/>
                <w:color w:val="auto"/>
              </w:rPr>
            </w:pPr>
          </w:p>
        </w:tc>
        <w:tc>
          <w:tcPr>
            <w:tcW w:w="8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0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700" w:type="dxa"/>
            <w:vAlign w:val="bottom"/>
          </w:tcPr>
          <w:p>
            <w:pPr>
              <w:jc w:val="center"/>
              <w:ind w:right="371"/>
              <w:spacing w:after="0"/>
              <w:rPr>
                <w:sz w:val="20"/>
                <w:szCs w:val="20"/>
                <w:color w:val="auto"/>
              </w:rPr>
            </w:pPr>
            <w:r>
              <w:rPr>
                <w:rFonts w:ascii="Arial" w:cs="Arial" w:eastAsia="Arial" w:hAnsi="Arial"/>
                <w:sz w:val="18"/>
                <w:szCs w:val="18"/>
                <w:color w:val="auto"/>
                <w:w w:val="89"/>
              </w:rPr>
              <w:t>PERSON</w:t>
            </w:r>
          </w:p>
        </w:tc>
        <w:tc>
          <w:tcPr>
            <w:tcW w:w="840" w:type="dxa"/>
            <w:vAlign w:val="bottom"/>
          </w:tcPr>
          <w:p>
            <w:pPr>
              <w:spacing w:after="0"/>
              <w:rPr>
                <w:sz w:val="18"/>
                <w:szCs w:val="18"/>
                <w:color w:val="auto"/>
              </w:rPr>
            </w:pPr>
          </w:p>
        </w:tc>
        <w:tc>
          <w:tcPr>
            <w:tcW w:w="8180" w:type="dxa"/>
            <w:vAlign w:val="bottom"/>
            <w:vMerge w:val="restart"/>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700" w:type="dxa"/>
            <w:vAlign w:val="bottom"/>
            <w:vMerge w:val="restart"/>
          </w:tcPr>
          <w:p>
            <w:pPr>
              <w:jc w:val="center"/>
              <w:ind w:right="371"/>
              <w:spacing w:after="0" w:line="156" w:lineRule="exact"/>
              <w:rPr>
                <w:sz w:val="20"/>
                <w:szCs w:val="20"/>
                <w:color w:val="auto"/>
              </w:rPr>
            </w:pPr>
            <w:r>
              <w:rPr>
                <w:rFonts w:ascii="Arial" w:cs="Arial" w:eastAsia="Arial" w:hAnsi="Arial"/>
                <w:sz w:val="18"/>
                <w:szCs w:val="18"/>
                <w:color w:val="auto"/>
              </w:rPr>
              <w:t>WITH:</w:t>
            </w:r>
          </w:p>
        </w:tc>
        <w:tc>
          <w:tcPr>
            <w:tcW w:w="840" w:type="dxa"/>
            <w:vAlign w:val="bottom"/>
          </w:tcPr>
          <w:p>
            <w:pPr>
              <w:spacing w:after="0"/>
              <w:rPr>
                <w:sz w:val="9"/>
                <w:szCs w:val="9"/>
                <w:color w:val="auto"/>
              </w:rPr>
            </w:pPr>
          </w:p>
        </w:tc>
        <w:tc>
          <w:tcPr>
            <w:tcW w:w="8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700" w:type="dxa"/>
            <w:vAlign w:val="bottom"/>
            <w:vMerge w:val="continue"/>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1700" w:type="dxa"/>
            <w:vAlign w:val="bottom"/>
          </w:tcPr>
          <w:p>
            <w:pPr>
              <w:spacing w:after="0"/>
              <w:rPr>
                <w:sz w:val="24"/>
                <w:szCs w:val="24"/>
                <w:color w:val="auto"/>
              </w:rPr>
            </w:pPr>
          </w:p>
        </w:tc>
        <w:tc>
          <w:tcPr>
            <w:tcW w:w="840" w:type="dxa"/>
            <w:vAlign w:val="bottom"/>
          </w:tcPr>
          <w:p>
            <w:pPr>
              <w:jc w:val="right"/>
              <w:ind w:right="191"/>
              <w:spacing w:after="0"/>
              <w:rPr>
                <w:sz w:val="20"/>
                <w:szCs w:val="20"/>
                <w:color w:val="auto"/>
              </w:rPr>
            </w:pPr>
            <w:r>
              <w:rPr>
                <w:rFonts w:ascii="Arial" w:cs="Arial" w:eastAsia="Arial" w:hAnsi="Arial"/>
                <w:sz w:val="18"/>
                <w:szCs w:val="18"/>
                <w:b w:val="1"/>
                <w:bCs w:val="1"/>
                <w:color w:val="auto"/>
              </w:rPr>
              <w:t>8.</w:t>
            </w:r>
          </w:p>
        </w:tc>
        <w:tc>
          <w:tcPr>
            <w:tcW w:w="818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54"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2,139,685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0866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22" w:lineRule="exact"/>
        <w:rPr>
          <w:sz w:val="20"/>
          <w:szCs w:val="20"/>
          <w:color w:val="auto"/>
        </w:rPr>
      </w:pPr>
    </w:p>
    <w:p>
      <w:pPr>
        <w:ind w:left="1120" w:hanging="677"/>
        <w:spacing w:after="0"/>
        <w:tabs>
          <w:tab w:leader="none" w:pos="1120" w:val="left"/>
        </w:tabs>
        <w:numPr>
          <w:ilvl w:val="0"/>
          <w:numId w:val="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2,139,685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0866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22" w:lineRule="exact"/>
        <w:rPr>
          <w:sz w:val="20"/>
          <w:szCs w:val="20"/>
          <w:color w:val="auto"/>
        </w:rPr>
      </w:pPr>
    </w:p>
    <w:p>
      <w:pPr>
        <w:ind w:left="1120" w:hanging="722"/>
        <w:spacing w:after="0"/>
        <w:tabs>
          <w:tab w:leader="none" w:pos="1120" w:val="left"/>
        </w:tabs>
        <w:numPr>
          <w:ilvl w:val="0"/>
          <w:numId w:val="7"/>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w:t>
      </w:r>
    </w:p>
    <w:p>
      <w:pPr>
        <w:spacing w:after="0" w:line="22" w:lineRule="exact"/>
        <w:rPr>
          <w:sz w:val="20"/>
          <w:szCs w:val="20"/>
          <w:color w:val="auto"/>
        </w:rPr>
      </w:pPr>
    </w:p>
    <w:p>
      <w:pPr>
        <w:ind w:left="1010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70866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61" w:lineRule="exact"/>
        <w:rPr>
          <w:sz w:val="20"/>
          <w:szCs w:val="20"/>
          <w:color w:val="auto"/>
        </w:rPr>
      </w:pPr>
    </w:p>
    <w:p>
      <w:pPr>
        <w:ind w:left="1120" w:hanging="717"/>
        <w:spacing w:after="0"/>
        <w:tabs>
          <w:tab w:leader="none" w:pos="1120" w:val="left"/>
        </w:tabs>
        <w:numPr>
          <w:ilvl w:val="0"/>
          <w:numId w:val="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35" w:lineRule="exact"/>
        <w:rPr>
          <w:sz w:val="20"/>
          <w:szCs w:val="20"/>
          <w:color w:val="auto"/>
        </w:rPr>
      </w:pPr>
    </w:p>
    <w:p>
      <w:pPr>
        <w:ind w:left="1340" w:right="7540" w:hanging="942"/>
        <w:spacing w:after="0" w:line="523" w:lineRule="auto"/>
        <w:tabs>
          <w:tab w:leader="none" w:pos="1125" w:val="left"/>
        </w:tabs>
        <w:numPr>
          <w:ilvl w:val="0"/>
          <w:numId w:val="9"/>
        </w:numPr>
        <w:rPr>
          <w:rFonts w:ascii="Arial" w:cs="Arial" w:eastAsia="Arial" w:hAnsi="Arial"/>
          <w:sz w:val="18"/>
          <w:szCs w:val="18"/>
          <w:b w:val="1"/>
          <w:bCs w:val="1"/>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708660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45" w:lineRule="exact"/>
        <w:rPr>
          <w:sz w:val="20"/>
          <w:szCs w:val="20"/>
          <w:color w:val="auto"/>
        </w:rPr>
      </w:pPr>
    </w:p>
    <w:p>
      <w:pPr>
        <w:ind w:left="100" w:right="300" w:hanging="93"/>
        <w:spacing w:after="0" w:line="274" w:lineRule="auto"/>
        <w:rPr>
          <w:sz w:val="20"/>
          <w:szCs w:val="20"/>
          <w:color w:val="auto"/>
        </w:rPr>
      </w:pPr>
      <w:r>
        <w:rPr>
          <w:rFonts w:ascii="Arial" w:cs="Arial" w:eastAsia="Arial" w:hAnsi="Arial"/>
          <w:sz w:val="18"/>
          <w:szCs w:val="18"/>
          <w:color w:val="auto"/>
        </w:rPr>
        <w:t>*Percentage calculations are based on the number of shares of Common Stock outstanding as of October 31, 2018, as provided in the Issuer’s Quarterly Report on Form 10-Q for the quarterly period ended September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271145</wp:posOffset>
            </wp:positionV>
            <wp:extent cx="708660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6600" cy="25400"/>
                    </a:xfrm>
                    <a:prstGeom prst="rect">
                      <a:avLst/>
                    </a:prstGeom>
                    <a:noFill/>
                  </pic:spPr>
                </pic:pic>
              </a:graphicData>
            </a:graphic>
          </wp:anchor>
        </w:drawing>
      </w:r>
    </w:p>
    <w:p>
      <w:pPr>
        <w:sectPr>
          <w:pgSz w:w="12240" w:h="15840" w:orient="portrait"/>
          <w:cols w:equalWidth="0" w:num="1">
            <w:col w:w="11160"/>
          </w:cols>
          <w:pgMar w:left="520" w:top="598" w:right="560" w:bottom="1440" w:gutter="0" w:footer="0" w:header="0"/>
          <w:type w:val="continuous"/>
        </w:sectPr>
      </w:pPr>
    </w:p>
    <w:bookmarkStart w:id="2" w:name="page3"/>
    <w:bookmarkEnd w:id="2"/>
    <w:p>
      <w:pPr>
        <w:spacing w:after="0"/>
        <w:tabs>
          <w:tab w:leader="none" w:pos="5920" w:val="left"/>
          <w:tab w:leader="none" w:pos="814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357505</wp:posOffset>
            </wp:positionV>
            <wp:extent cx="70866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86600" cy="8255"/>
                    </a:xfrm>
                    <a:prstGeom prst="rect">
                      <a:avLst/>
                    </a:prstGeom>
                    <a:noFill/>
                  </pic:spPr>
                </pic:pic>
              </a:graphicData>
            </a:graphic>
          </wp:anchor>
        </w:drawing>
        <w:t>CUSIP No. 63845R107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3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708660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195580</wp:posOffset>
            </wp:positionV>
            <wp:extent cx="70866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ectPr>
          <w:pgSz w:w="12240" w:h="15840" w:orient="portrait"/>
          <w:cols w:equalWidth="0" w:num="1">
            <w:col w:w="11160"/>
          </w:cols>
          <w:pgMar w:left="520" w:top="598" w:right="560" w:bottom="1440" w:gutter="0" w:footer="0" w:header="0"/>
        </w:sectPr>
      </w:pPr>
    </w:p>
    <w:p>
      <w:pPr>
        <w:spacing w:after="0" w:line="387" w:lineRule="exact"/>
        <w:rPr>
          <w:sz w:val="20"/>
          <w:szCs w:val="20"/>
          <w:color w:val="auto"/>
        </w:rPr>
      </w:pPr>
    </w:p>
    <w:p>
      <w:pPr>
        <w:ind w:left="1120" w:hanging="677"/>
        <w:spacing w:after="0"/>
        <w:tabs>
          <w:tab w:leader="none" w:pos="1120" w:val="left"/>
        </w:tabs>
        <w:numPr>
          <w:ilvl w:val="0"/>
          <w:numId w:val="10"/>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 w:lineRule="exact"/>
        <w:rPr>
          <w:rFonts w:ascii="Arial" w:cs="Arial" w:eastAsia="Arial" w:hAnsi="Arial"/>
          <w:sz w:val="18"/>
          <w:szCs w:val="18"/>
          <w:b w:val="1"/>
          <w:bCs w:val="1"/>
          <w:color w:val="auto"/>
        </w:rPr>
      </w:pPr>
    </w:p>
    <w:p>
      <w:pPr>
        <w:ind w:left="1120"/>
        <w:spacing w:after="0"/>
        <w:rPr>
          <w:rFonts w:ascii="Arial" w:cs="Arial" w:eastAsia="Arial" w:hAnsi="Arial"/>
          <w:sz w:val="18"/>
          <w:szCs w:val="18"/>
          <w:b w:val="1"/>
          <w:bCs w:val="1"/>
          <w:color w:val="auto"/>
        </w:rPr>
      </w:pPr>
      <w:r>
        <w:rPr>
          <w:rFonts w:ascii="Arial" w:cs="Arial" w:eastAsia="Arial" w:hAnsi="Arial"/>
          <w:sz w:val="17"/>
          <w:szCs w:val="17"/>
          <w:color w:val="auto"/>
        </w:rPr>
        <w:t>I.R.S. IDENTIFICATION NO. OF ABOVE PERSONS (ENTITIES ONLY)</w:t>
      </w:r>
    </w:p>
    <w:p>
      <w:pPr>
        <w:spacing w:after="0" w:line="21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BPSP,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35" w:lineRule="exact"/>
        <w:rPr>
          <w:sz w:val="20"/>
          <w:szCs w:val="20"/>
          <w:color w:val="auto"/>
        </w:rPr>
      </w:pPr>
    </w:p>
    <w:p>
      <w:pPr>
        <w:ind w:left="1120" w:right="3066" w:hanging="677"/>
        <w:spacing w:after="0" w:line="274" w:lineRule="auto"/>
        <w:tabs>
          <w:tab w:leader="none" w:pos="11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20" w:lineRule="exact"/>
        <w:rPr>
          <w:rFonts w:ascii="Arial" w:cs="Arial" w:eastAsia="Arial" w:hAnsi="Arial"/>
          <w:sz w:val="18"/>
          <w:szCs w:val="18"/>
          <w:b w:val="1"/>
          <w:bCs w:val="1"/>
          <w:color w:val="auto"/>
        </w:rPr>
      </w:pPr>
    </w:p>
    <w:p>
      <w:pPr>
        <w:ind w:left="1120" w:hanging="677"/>
        <w:spacing w:after="0"/>
        <w:tabs>
          <w:tab w:leader="none" w:pos="1120" w:val="left"/>
        </w:tabs>
        <w:numPr>
          <w:ilvl w:val="0"/>
          <w:numId w:val="11"/>
        </w:numPr>
        <w:rPr>
          <w:rFonts w:ascii="Arial" w:cs="Arial" w:eastAsia="Arial" w:hAnsi="Arial"/>
          <w:sz w:val="36"/>
          <w:szCs w:val="36"/>
          <w:b w:val="1"/>
          <w:bCs w:val="1"/>
          <w:color w:val="auto"/>
          <w:vertAlign w:val="subscript"/>
        </w:rPr>
      </w:pPr>
      <w:r>
        <w:rPr>
          <w:rFonts w:ascii="Arial" w:cs="Arial" w:eastAsia="Arial" w:hAnsi="Arial"/>
          <w:sz w:val="18"/>
          <w:szCs w:val="18"/>
          <w:color w:val="auto"/>
        </w:rPr>
        <w:t>SEC USE ONLY</w:t>
      </w:r>
    </w:p>
    <w:p>
      <w:pPr>
        <w:spacing w:after="0" w:line="159" w:lineRule="exact"/>
        <w:rPr>
          <w:rFonts w:ascii="Arial" w:cs="Arial" w:eastAsia="Arial" w:hAnsi="Arial"/>
          <w:sz w:val="36"/>
          <w:szCs w:val="36"/>
          <w:b w:val="1"/>
          <w:bCs w:val="1"/>
          <w:color w:val="auto"/>
          <w:vertAlign w:val="subscript"/>
        </w:rPr>
      </w:pPr>
    </w:p>
    <w:p>
      <w:pPr>
        <w:ind w:left="1120" w:hanging="677"/>
        <w:spacing w:after="0"/>
        <w:tabs>
          <w:tab w:leader="none" w:pos="112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-181610</wp:posOffset>
            </wp:positionV>
            <wp:extent cx="708660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-402590</wp:posOffset>
            </wp:positionV>
            <wp:extent cx="70866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8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35" w:lineRule="exact"/>
        <w:rPr>
          <w:sz w:val="20"/>
          <w:szCs w:val="20"/>
          <w:color w:val="auto"/>
        </w:rPr>
      </w:pPr>
    </w:p>
    <w:p>
      <w:pPr>
        <w:ind w:left="3460" w:right="4026" w:hanging="891"/>
        <w:spacing w:after="0" w:line="388" w:lineRule="auto"/>
        <w:tabs>
          <w:tab w:leader="none" w:pos="3245"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34" w:hanging="234"/>
        <w:spacing w:after="0"/>
        <w:tabs>
          <w:tab w:leader="none" w:pos="234" w:val="left"/>
        </w:tabs>
        <w:numPr>
          <w:ilvl w:val="0"/>
          <w:numId w:val="13"/>
        </w:numPr>
        <w:rPr>
          <w:rFonts w:ascii="Arial" w:cs="Arial" w:eastAsia="Arial" w:hAnsi="Arial"/>
          <w:sz w:val="18"/>
          <w:szCs w:val="18"/>
          <w:color w:val="auto"/>
        </w:rPr>
      </w:pPr>
      <w:r>
        <w:rPr>
          <w:rFonts w:ascii="Arial" w:cs="Arial" w:eastAsia="Arial" w:hAnsi="Arial"/>
          <w:sz w:val="18"/>
          <w:szCs w:val="18"/>
          <w:color w:val="auto"/>
        </w:rPr>
        <w:t>[  ]</w:t>
      </w:r>
    </w:p>
    <w:p>
      <w:pPr>
        <w:spacing w:after="0" w:line="88" w:lineRule="exact"/>
        <w:rPr>
          <w:rFonts w:ascii="Arial" w:cs="Arial" w:eastAsia="Arial" w:hAnsi="Arial"/>
          <w:sz w:val="18"/>
          <w:szCs w:val="18"/>
          <w:color w:val="auto"/>
        </w:rPr>
      </w:pPr>
    </w:p>
    <w:p>
      <w:pPr>
        <w:ind w:left="254" w:hanging="254"/>
        <w:spacing w:after="0"/>
        <w:tabs>
          <w:tab w:leader="none" w:pos="254" w:val="left"/>
        </w:tabs>
        <w:numPr>
          <w:ilvl w:val="0"/>
          <w:numId w:val="13"/>
        </w:numPr>
        <w:rPr>
          <w:rFonts w:ascii="Arial" w:cs="Arial" w:eastAsia="Arial" w:hAnsi="Arial"/>
          <w:sz w:val="18"/>
          <w:szCs w:val="18"/>
          <w:color w:val="auto"/>
        </w:rPr>
      </w:pPr>
      <w:r>
        <w:rPr>
          <w:rFonts w:ascii="Arial" w:cs="Arial" w:eastAsia="Arial" w:hAnsi="Arial"/>
          <w:sz w:val="18"/>
          <w:szCs w:val="18"/>
          <w:color w:val="auto"/>
        </w:rPr>
        <w:t>[X]</w:t>
      </w:r>
    </w:p>
    <w:p>
      <w:pPr>
        <w:spacing w:after="0" w:line="2207" w:lineRule="exact"/>
        <w:rPr>
          <w:sz w:val="20"/>
          <w:szCs w:val="20"/>
          <w:color w:val="auto"/>
        </w:rPr>
      </w:pPr>
    </w:p>
    <w:p>
      <w:pPr>
        <w:sectPr>
          <w:pgSz w:w="12240" w:h="15840" w:orient="portrait"/>
          <w:cols w:equalWidth="0" w:num="2">
            <w:col w:w="9126" w:space="720"/>
            <w:col w:w="1314"/>
          </w:cols>
          <w:pgMar w:left="520" w:top="598" w:right="560" w:bottom="1440" w:gutter="0" w:footer="0" w:header="0"/>
          <w:type w:val="continuous"/>
        </w:sectPr>
      </w:pPr>
    </w:p>
    <w:tbl>
      <w:tblPr>
        <w:tblLayout w:type="fixed"/>
        <w:tblInd w:w="440" w:type="dxa"/>
        <w:tblCellMar>
          <w:top w:w="0" w:type="dxa"/>
          <w:left w:w="0" w:type="dxa"/>
          <w:bottom w:w="0" w:type="dxa"/>
          <w:right w:w="0" w:type="dxa"/>
        </w:tblCellMar>
      </w:tblPr>
      <w:tr>
        <w:trPr>
          <w:trHeight w:val="41"/>
        </w:trPr>
        <w:tc>
          <w:tcPr>
            <w:tcW w:w="1700" w:type="dxa"/>
            <w:vAlign w:val="bottom"/>
            <w:vMerge w:val="restart"/>
          </w:tcPr>
          <w:p>
            <w:pPr>
              <w:jc w:val="center"/>
              <w:ind w:right="371"/>
              <w:spacing w:after="0"/>
              <w:rPr>
                <w:sz w:val="20"/>
                <w:szCs w:val="20"/>
                <w:color w:val="auto"/>
              </w:rPr>
            </w:pPr>
            <w:r>
              <w:rPr>
                <w:rFonts w:ascii="Arial" w:cs="Arial" w:eastAsia="Arial" w:hAnsi="Arial"/>
                <w:sz w:val="18"/>
                <w:szCs w:val="18"/>
                <w:color w:val="auto"/>
                <w:w w:val="96"/>
              </w:rPr>
              <w:t>NUMBER OF</w:t>
            </w:r>
          </w:p>
        </w:tc>
        <w:tc>
          <w:tcPr>
            <w:tcW w:w="840" w:type="dxa"/>
            <w:vAlign w:val="bottom"/>
            <w:tcBorders>
              <w:bottom w:val="single" w:sz="8" w:color="auto"/>
            </w:tcBorders>
          </w:tcPr>
          <w:p>
            <w:pPr>
              <w:spacing w:after="0"/>
              <w:rPr>
                <w:sz w:val="3"/>
                <w:szCs w:val="3"/>
                <w:color w:val="auto"/>
              </w:rPr>
            </w:pPr>
          </w:p>
        </w:tc>
        <w:tc>
          <w:tcPr>
            <w:tcW w:w="8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700" w:type="dxa"/>
            <w:vAlign w:val="bottom"/>
            <w:vMerge w:val="continue"/>
          </w:tcPr>
          <w:p>
            <w:pPr>
              <w:spacing w:after="0"/>
              <w:rPr>
                <w:sz w:val="13"/>
                <w:szCs w:val="13"/>
                <w:color w:val="auto"/>
              </w:rPr>
            </w:pPr>
          </w:p>
        </w:tc>
        <w:tc>
          <w:tcPr>
            <w:tcW w:w="840" w:type="dxa"/>
            <w:vAlign w:val="bottom"/>
            <w:vMerge w:val="restart"/>
          </w:tcPr>
          <w:p>
            <w:pPr>
              <w:jc w:val="right"/>
              <w:ind w:right="191"/>
              <w:spacing w:after="0"/>
              <w:rPr>
                <w:sz w:val="20"/>
                <w:szCs w:val="20"/>
                <w:color w:val="auto"/>
              </w:rPr>
            </w:pPr>
            <w:r>
              <w:rPr>
                <w:rFonts w:ascii="Arial" w:cs="Arial" w:eastAsia="Arial" w:hAnsi="Arial"/>
                <w:sz w:val="18"/>
                <w:szCs w:val="18"/>
                <w:b w:val="1"/>
                <w:bCs w:val="1"/>
                <w:color w:val="auto"/>
              </w:rPr>
              <w:t>6.</w:t>
            </w:r>
          </w:p>
        </w:tc>
        <w:tc>
          <w:tcPr>
            <w:tcW w:w="818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5"/>
        </w:trPr>
        <w:tc>
          <w:tcPr>
            <w:tcW w:w="1700" w:type="dxa"/>
            <w:vAlign w:val="bottom"/>
            <w:vMerge w:val="restart"/>
          </w:tcPr>
          <w:p>
            <w:pPr>
              <w:jc w:val="center"/>
              <w:ind w:right="371"/>
              <w:spacing w:after="0"/>
              <w:rPr>
                <w:sz w:val="20"/>
                <w:szCs w:val="20"/>
                <w:color w:val="auto"/>
              </w:rPr>
            </w:pPr>
            <w:r>
              <w:rPr>
                <w:rFonts w:ascii="Arial" w:cs="Arial" w:eastAsia="Arial" w:hAnsi="Arial"/>
                <w:sz w:val="18"/>
                <w:szCs w:val="18"/>
                <w:color w:val="auto"/>
                <w:w w:val="91"/>
              </w:rPr>
              <w:t>SHARES</w:t>
            </w:r>
          </w:p>
        </w:tc>
        <w:tc>
          <w:tcPr>
            <w:tcW w:w="840" w:type="dxa"/>
            <w:vAlign w:val="bottom"/>
            <w:vMerge w:val="continue"/>
          </w:tcPr>
          <w:p>
            <w:pPr>
              <w:spacing w:after="0"/>
              <w:rPr>
                <w:sz w:val="11"/>
                <w:szCs w:val="11"/>
                <w:color w:val="auto"/>
              </w:rPr>
            </w:pPr>
          </w:p>
        </w:tc>
        <w:tc>
          <w:tcPr>
            <w:tcW w:w="8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70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8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1700" w:type="dxa"/>
            <w:vAlign w:val="bottom"/>
          </w:tcPr>
          <w:p>
            <w:pPr>
              <w:jc w:val="center"/>
              <w:ind w:right="351"/>
              <w:spacing w:after="0"/>
              <w:rPr>
                <w:sz w:val="20"/>
                <w:szCs w:val="20"/>
                <w:color w:val="auto"/>
              </w:rPr>
            </w:pPr>
            <w:r>
              <w:rPr>
                <w:rFonts w:ascii="Arial" w:cs="Arial" w:eastAsia="Arial" w:hAnsi="Arial"/>
                <w:sz w:val="18"/>
                <w:szCs w:val="18"/>
                <w:color w:val="auto"/>
                <w:w w:val="99"/>
              </w:rPr>
              <w:t>BENEFICIALLY</w:t>
            </w:r>
          </w:p>
        </w:tc>
        <w:tc>
          <w:tcPr>
            <w:tcW w:w="840" w:type="dxa"/>
            <w:vAlign w:val="bottom"/>
          </w:tcPr>
          <w:p>
            <w:pPr>
              <w:spacing w:after="0"/>
              <w:rPr>
                <w:sz w:val="18"/>
                <w:szCs w:val="18"/>
                <w:color w:val="auto"/>
              </w:rPr>
            </w:pPr>
          </w:p>
        </w:tc>
        <w:tc>
          <w:tcPr>
            <w:tcW w:w="8180" w:type="dxa"/>
            <w:vAlign w:val="bottom"/>
            <w:vMerge w:val="restart"/>
          </w:tcPr>
          <w:p>
            <w:pPr>
              <w:ind w:left="480"/>
              <w:spacing w:after="0"/>
              <w:rPr>
                <w:sz w:val="20"/>
                <w:szCs w:val="20"/>
                <w:color w:val="auto"/>
              </w:rPr>
            </w:pPr>
            <w:r>
              <w:rPr>
                <w:rFonts w:ascii="Arial" w:cs="Arial" w:eastAsia="Arial" w:hAnsi="Arial"/>
                <w:sz w:val="18"/>
                <w:szCs w:val="18"/>
                <w:color w:val="auto"/>
              </w:rPr>
              <w:t>2,139,685</w:t>
            </w:r>
          </w:p>
        </w:tc>
        <w:tc>
          <w:tcPr>
            <w:tcW w:w="0" w:type="dxa"/>
            <w:vAlign w:val="bottom"/>
          </w:tcPr>
          <w:p>
            <w:pPr>
              <w:spacing w:after="0"/>
              <w:rPr>
                <w:sz w:val="1"/>
                <w:szCs w:val="1"/>
                <w:color w:val="auto"/>
              </w:rPr>
            </w:pPr>
          </w:p>
        </w:tc>
      </w:tr>
      <w:tr>
        <w:trPr>
          <w:trHeight w:val="229"/>
        </w:trPr>
        <w:tc>
          <w:tcPr>
            <w:tcW w:w="1700" w:type="dxa"/>
            <w:vAlign w:val="bottom"/>
          </w:tcPr>
          <w:p>
            <w:pPr>
              <w:jc w:val="center"/>
              <w:ind w:right="371"/>
              <w:spacing w:after="0"/>
              <w:rPr>
                <w:sz w:val="20"/>
                <w:szCs w:val="20"/>
                <w:color w:val="auto"/>
              </w:rPr>
            </w:pPr>
            <w:r>
              <w:rPr>
                <w:rFonts w:ascii="Arial" w:cs="Arial" w:eastAsia="Arial" w:hAnsi="Arial"/>
                <w:sz w:val="18"/>
                <w:szCs w:val="18"/>
                <w:color w:val="auto"/>
                <w:w w:val="97"/>
              </w:rPr>
              <w:t>OWNED BY</w:t>
            </w:r>
          </w:p>
        </w:tc>
        <w:tc>
          <w:tcPr>
            <w:tcW w:w="840" w:type="dxa"/>
            <w:vAlign w:val="bottom"/>
            <w:tcBorders>
              <w:bottom w:val="single" w:sz="8" w:color="auto"/>
            </w:tcBorders>
          </w:tcPr>
          <w:p>
            <w:pPr>
              <w:spacing w:after="0"/>
              <w:rPr>
                <w:sz w:val="19"/>
                <w:szCs w:val="19"/>
                <w:color w:val="auto"/>
              </w:rPr>
            </w:pPr>
          </w:p>
        </w:tc>
        <w:tc>
          <w:tcPr>
            <w:tcW w:w="8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700" w:type="dxa"/>
            <w:vAlign w:val="bottom"/>
          </w:tcPr>
          <w:p>
            <w:pPr>
              <w:jc w:val="center"/>
              <w:ind w:right="371"/>
              <w:spacing w:after="0" w:line="181" w:lineRule="exact"/>
              <w:rPr>
                <w:sz w:val="20"/>
                <w:szCs w:val="20"/>
                <w:color w:val="auto"/>
              </w:rPr>
            </w:pPr>
            <w:r>
              <w:rPr>
                <w:rFonts w:ascii="Arial" w:cs="Arial" w:eastAsia="Arial" w:hAnsi="Arial"/>
                <w:sz w:val="18"/>
                <w:szCs w:val="18"/>
                <w:color w:val="auto"/>
                <w:w w:val="95"/>
              </w:rPr>
              <w:t>EACH</w:t>
            </w:r>
          </w:p>
        </w:tc>
        <w:tc>
          <w:tcPr>
            <w:tcW w:w="840" w:type="dxa"/>
            <w:vAlign w:val="bottom"/>
            <w:vMerge w:val="restart"/>
          </w:tcPr>
          <w:p>
            <w:pPr>
              <w:jc w:val="right"/>
              <w:ind w:right="191"/>
              <w:spacing w:after="0"/>
              <w:rPr>
                <w:sz w:val="20"/>
                <w:szCs w:val="20"/>
                <w:color w:val="auto"/>
              </w:rPr>
            </w:pPr>
            <w:r>
              <w:rPr>
                <w:rFonts w:ascii="Arial" w:cs="Arial" w:eastAsia="Arial" w:hAnsi="Arial"/>
                <w:sz w:val="18"/>
                <w:szCs w:val="18"/>
                <w:b w:val="1"/>
                <w:bCs w:val="1"/>
                <w:color w:val="auto"/>
              </w:rPr>
              <w:t>7.</w:t>
            </w:r>
          </w:p>
        </w:tc>
        <w:tc>
          <w:tcPr>
            <w:tcW w:w="818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9"/>
        </w:trPr>
        <w:tc>
          <w:tcPr>
            <w:tcW w:w="1700" w:type="dxa"/>
            <w:vAlign w:val="bottom"/>
            <w:vMerge w:val="restart"/>
          </w:tcPr>
          <w:p>
            <w:pPr>
              <w:jc w:val="center"/>
              <w:ind w:right="351"/>
              <w:spacing w:after="0"/>
              <w:rPr>
                <w:sz w:val="20"/>
                <w:szCs w:val="20"/>
                <w:color w:val="auto"/>
              </w:rPr>
            </w:pPr>
            <w:r>
              <w:rPr>
                <w:rFonts w:ascii="Arial" w:cs="Arial" w:eastAsia="Arial" w:hAnsi="Arial"/>
                <w:sz w:val="18"/>
                <w:szCs w:val="18"/>
                <w:color w:val="auto"/>
                <w:w w:val="91"/>
              </w:rPr>
              <w:t>REPORTING</w:t>
            </w:r>
          </w:p>
        </w:tc>
        <w:tc>
          <w:tcPr>
            <w:tcW w:w="840" w:type="dxa"/>
            <w:vAlign w:val="bottom"/>
            <w:vMerge w:val="continue"/>
          </w:tcPr>
          <w:p>
            <w:pPr>
              <w:spacing w:after="0"/>
              <w:rPr>
                <w:sz w:val="9"/>
                <w:szCs w:val="9"/>
                <w:color w:val="auto"/>
              </w:rPr>
            </w:pPr>
          </w:p>
        </w:tc>
        <w:tc>
          <w:tcPr>
            <w:tcW w:w="8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0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700" w:type="dxa"/>
            <w:vAlign w:val="bottom"/>
          </w:tcPr>
          <w:p>
            <w:pPr>
              <w:jc w:val="center"/>
              <w:ind w:right="371"/>
              <w:spacing w:after="0"/>
              <w:rPr>
                <w:sz w:val="20"/>
                <w:szCs w:val="20"/>
                <w:color w:val="auto"/>
              </w:rPr>
            </w:pPr>
            <w:r>
              <w:rPr>
                <w:rFonts w:ascii="Arial" w:cs="Arial" w:eastAsia="Arial" w:hAnsi="Arial"/>
                <w:sz w:val="18"/>
                <w:szCs w:val="18"/>
                <w:color w:val="auto"/>
                <w:w w:val="89"/>
              </w:rPr>
              <w:t>PERSON</w:t>
            </w:r>
          </w:p>
        </w:tc>
        <w:tc>
          <w:tcPr>
            <w:tcW w:w="840" w:type="dxa"/>
            <w:vAlign w:val="bottom"/>
          </w:tcPr>
          <w:p>
            <w:pPr>
              <w:spacing w:after="0"/>
              <w:rPr>
                <w:sz w:val="18"/>
                <w:szCs w:val="18"/>
                <w:color w:val="auto"/>
              </w:rPr>
            </w:pPr>
          </w:p>
        </w:tc>
        <w:tc>
          <w:tcPr>
            <w:tcW w:w="8180" w:type="dxa"/>
            <w:vAlign w:val="bottom"/>
            <w:vMerge w:val="restart"/>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700" w:type="dxa"/>
            <w:vAlign w:val="bottom"/>
            <w:vMerge w:val="restart"/>
          </w:tcPr>
          <w:p>
            <w:pPr>
              <w:jc w:val="center"/>
              <w:ind w:right="371"/>
              <w:spacing w:after="0" w:line="156" w:lineRule="exact"/>
              <w:rPr>
                <w:sz w:val="20"/>
                <w:szCs w:val="20"/>
                <w:color w:val="auto"/>
              </w:rPr>
            </w:pPr>
            <w:r>
              <w:rPr>
                <w:rFonts w:ascii="Arial" w:cs="Arial" w:eastAsia="Arial" w:hAnsi="Arial"/>
                <w:sz w:val="18"/>
                <w:szCs w:val="18"/>
                <w:color w:val="auto"/>
              </w:rPr>
              <w:t>WITH:</w:t>
            </w:r>
          </w:p>
        </w:tc>
        <w:tc>
          <w:tcPr>
            <w:tcW w:w="840" w:type="dxa"/>
            <w:vAlign w:val="bottom"/>
          </w:tcPr>
          <w:p>
            <w:pPr>
              <w:spacing w:after="0"/>
              <w:rPr>
                <w:sz w:val="9"/>
                <w:szCs w:val="9"/>
                <w:color w:val="auto"/>
              </w:rPr>
            </w:pPr>
          </w:p>
        </w:tc>
        <w:tc>
          <w:tcPr>
            <w:tcW w:w="8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700" w:type="dxa"/>
            <w:vAlign w:val="bottom"/>
            <w:vMerge w:val="continue"/>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1700" w:type="dxa"/>
            <w:vAlign w:val="bottom"/>
          </w:tcPr>
          <w:p>
            <w:pPr>
              <w:spacing w:after="0"/>
              <w:rPr>
                <w:sz w:val="24"/>
                <w:szCs w:val="24"/>
                <w:color w:val="auto"/>
              </w:rPr>
            </w:pPr>
          </w:p>
        </w:tc>
        <w:tc>
          <w:tcPr>
            <w:tcW w:w="840" w:type="dxa"/>
            <w:vAlign w:val="bottom"/>
          </w:tcPr>
          <w:p>
            <w:pPr>
              <w:jc w:val="right"/>
              <w:ind w:right="191"/>
              <w:spacing w:after="0"/>
              <w:rPr>
                <w:sz w:val="20"/>
                <w:szCs w:val="20"/>
                <w:color w:val="auto"/>
              </w:rPr>
            </w:pPr>
            <w:r>
              <w:rPr>
                <w:rFonts w:ascii="Arial" w:cs="Arial" w:eastAsia="Arial" w:hAnsi="Arial"/>
                <w:sz w:val="18"/>
                <w:szCs w:val="18"/>
                <w:b w:val="1"/>
                <w:bCs w:val="1"/>
                <w:color w:val="auto"/>
              </w:rPr>
              <w:t>8.</w:t>
            </w:r>
          </w:p>
        </w:tc>
        <w:tc>
          <w:tcPr>
            <w:tcW w:w="818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54"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2,139,685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08660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22" w:lineRule="exact"/>
        <w:rPr>
          <w:sz w:val="20"/>
          <w:szCs w:val="20"/>
          <w:color w:val="auto"/>
        </w:rPr>
      </w:pPr>
    </w:p>
    <w:p>
      <w:pPr>
        <w:ind w:left="1120" w:hanging="677"/>
        <w:spacing w:after="0"/>
        <w:tabs>
          <w:tab w:leader="none" w:pos="112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2,139,685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0866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22" w:lineRule="exact"/>
        <w:rPr>
          <w:sz w:val="20"/>
          <w:szCs w:val="20"/>
          <w:color w:val="auto"/>
        </w:rPr>
      </w:pPr>
    </w:p>
    <w:p>
      <w:pPr>
        <w:ind w:left="1120" w:hanging="722"/>
        <w:spacing w:after="0"/>
        <w:tabs>
          <w:tab w:leader="none" w:pos="112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w:t>
      </w:r>
    </w:p>
    <w:p>
      <w:pPr>
        <w:spacing w:after="0" w:line="22" w:lineRule="exact"/>
        <w:rPr>
          <w:sz w:val="20"/>
          <w:szCs w:val="20"/>
          <w:color w:val="auto"/>
        </w:rPr>
      </w:pPr>
    </w:p>
    <w:p>
      <w:pPr>
        <w:ind w:left="1010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70866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61" w:lineRule="exact"/>
        <w:rPr>
          <w:sz w:val="20"/>
          <w:szCs w:val="20"/>
          <w:color w:val="auto"/>
        </w:rPr>
      </w:pPr>
    </w:p>
    <w:p>
      <w:pPr>
        <w:ind w:left="1120" w:hanging="717"/>
        <w:spacing w:after="0"/>
        <w:tabs>
          <w:tab w:leader="none" w:pos="11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35" w:lineRule="exact"/>
        <w:rPr>
          <w:sz w:val="20"/>
          <w:szCs w:val="20"/>
          <w:color w:val="auto"/>
        </w:rPr>
      </w:pPr>
    </w:p>
    <w:p>
      <w:pPr>
        <w:ind w:left="1340" w:right="7540" w:hanging="942"/>
        <w:spacing w:after="0" w:line="523" w:lineRule="auto"/>
        <w:tabs>
          <w:tab w:leader="none" w:pos="1125" w:val="left"/>
        </w:tabs>
        <w:numPr>
          <w:ilvl w:val="0"/>
          <w:numId w:val="17"/>
        </w:numPr>
        <w:rPr>
          <w:rFonts w:ascii="Arial" w:cs="Arial" w:eastAsia="Arial" w:hAnsi="Arial"/>
          <w:sz w:val="18"/>
          <w:szCs w:val="18"/>
          <w:b w:val="1"/>
          <w:bCs w:val="1"/>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70866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45" w:lineRule="exact"/>
        <w:rPr>
          <w:sz w:val="20"/>
          <w:szCs w:val="20"/>
          <w:color w:val="auto"/>
        </w:rPr>
      </w:pPr>
    </w:p>
    <w:p>
      <w:pPr>
        <w:ind w:left="100" w:right="300" w:hanging="93"/>
        <w:spacing w:after="0" w:line="274" w:lineRule="auto"/>
        <w:rPr>
          <w:sz w:val="20"/>
          <w:szCs w:val="20"/>
          <w:color w:val="auto"/>
        </w:rPr>
      </w:pPr>
      <w:r>
        <w:rPr>
          <w:rFonts w:ascii="Arial" w:cs="Arial" w:eastAsia="Arial" w:hAnsi="Arial"/>
          <w:sz w:val="18"/>
          <w:szCs w:val="18"/>
          <w:color w:val="auto"/>
        </w:rPr>
        <w:t>*Percentage calculations are based on the number of shares of Common Stock outstanding as of October 31, 2018, as provided in the Issuer’s Quarterly Report on Form 10-Q for the quarterly period ended September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271145</wp:posOffset>
            </wp:positionV>
            <wp:extent cx="708660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86600" cy="25400"/>
                    </a:xfrm>
                    <a:prstGeom prst="rect">
                      <a:avLst/>
                    </a:prstGeom>
                    <a:noFill/>
                  </pic:spPr>
                </pic:pic>
              </a:graphicData>
            </a:graphic>
          </wp:anchor>
        </w:drawing>
      </w:r>
    </w:p>
    <w:p>
      <w:pPr>
        <w:sectPr>
          <w:pgSz w:w="12240" w:h="15840" w:orient="portrait"/>
          <w:cols w:equalWidth="0" w:num="1">
            <w:col w:w="11160"/>
          </w:cols>
          <w:pgMar w:left="520" w:top="598" w:right="560" w:bottom="1440" w:gutter="0" w:footer="0" w:header="0"/>
          <w:type w:val="continuous"/>
        </w:sectPr>
      </w:pPr>
    </w:p>
    <w:bookmarkStart w:id="3" w:name="page4"/>
    <w:bookmarkEnd w:id="3"/>
    <w:p>
      <w:pPr>
        <w:spacing w:after="0"/>
        <w:tabs>
          <w:tab w:leader="none" w:pos="5920" w:val="left"/>
          <w:tab w:leader="none" w:pos="814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357505</wp:posOffset>
            </wp:positionV>
            <wp:extent cx="70866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86600" cy="8255"/>
                    </a:xfrm>
                    <a:prstGeom prst="rect">
                      <a:avLst/>
                    </a:prstGeom>
                    <a:noFill/>
                  </pic:spPr>
                </pic:pic>
              </a:graphicData>
            </a:graphic>
          </wp:anchor>
        </w:drawing>
        <w:t>CUSIP No. 63845R107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4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708660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195580</wp:posOffset>
            </wp:positionV>
            <wp:extent cx="70866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ectPr>
          <w:pgSz w:w="12240" w:h="15840" w:orient="portrait"/>
          <w:cols w:equalWidth="0" w:num="1">
            <w:col w:w="11160"/>
          </w:cols>
          <w:pgMar w:left="520" w:top="598" w:right="560" w:bottom="1440" w:gutter="0" w:footer="0" w:header="0"/>
        </w:sectPr>
      </w:pPr>
    </w:p>
    <w:p>
      <w:pPr>
        <w:spacing w:after="0" w:line="387" w:lineRule="exact"/>
        <w:rPr>
          <w:sz w:val="20"/>
          <w:szCs w:val="20"/>
          <w:color w:val="auto"/>
        </w:rPr>
      </w:pPr>
    </w:p>
    <w:p>
      <w:pPr>
        <w:ind w:left="1120" w:hanging="677"/>
        <w:spacing w:after="0"/>
        <w:tabs>
          <w:tab w:leader="none" w:pos="1120" w:val="left"/>
        </w:tabs>
        <w:numPr>
          <w:ilvl w:val="0"/>
          <w:numId w:val="18"/>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 w:lineRule="exact"/>
        <w:rPr>
          <w:rFonts w:ascii="Arial" w:cs="Arial" w:eastAsia="Arial" w:hAnsi="Arial"/>
          <w:sz w:val="18"/>
          <w:szCs w:val="18"/>
          <w:b w:val="1"/>
          <w:bCs w:val="1"/>
          <w:color w:val="auto"/>
        </w:rPr>
      </w:pPr>
    </w:p>
    <w:p>
      <w:pPr>
        <w:ind w:left="1120"/>
        <w:spacing w:after="0"/>
        <w:rPr>
          <w:rFonts w:ascii="Arial" w:cs="Arial" w:eastAsia="Arial" w:hAnsi="Arial"/>
          <w:sz w:val="18"/>
          <w:szCs w:val="18"/>
          <w:b w:val="1"/>
          <w:bCs w:val="1"/>
          <w:color w:val="auto"/>
        </w:rPr>
      </w:pPr>
      <w:r>
        <w:rPr>
          <w:rFonts w:ascii="Arial" w:cs="Arial" w:eastAsia="Arial" w:hAnsi="Arial"/>
          <w:sz w:val="17"/>
          <w:szCs w:val="17"/>
          <w:color w:val="auto"/>
        </w:rPr>
        <w:t>I.R.S. IDENTIFICATION NO. OF ABOVE PERSONS (ENTITIES ONLY)</w:t>
      </w:r>
    </w:p>
    <w:p>
      <w:pPr>
        <w:spacing w:after="0" w:line="21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Berkshire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35" w:lineRule="exact"/>
        <w:rPr>
          <w:sz w:val="20"/>
          <w:szCs w:val="20"/>
          <w:color w:val="auto"/>
        </w:rPr>
      </w:pPr>
    </w:p>
    <w:p>
      <w:pPr>
        <w:ind w:left="1120" w:right="3066" w:hanging="677"/>
        <w:spacing w:after="0" w:line="274" w:lineRule="auto"/>
        <w:tabs>
          <w:tab w:leader="none" w:pos="112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20" w:lineRule="exact"/>
        <w:rPr>
          <w:rFonts w:ascii="Arial" w:cs="Arial" w:eastAsia="Arial" w:hAnsi="Arial"/>
          <w:sz w:val="18"/>
          <w:szCs w:val="18"/>
          <w:b w:val="1"/>
          <w:bCs w:val="1"/>
          <w:color w:val="auto"/>
        </w:rPr>
      </w:pPr>
    </w:p>
    <w:p>
      <w:pPr>
        <w:ind w:left="1120" w:hanging="677"/>
        <w:spacing w:after="0"/>
        <w:tabs>
          <w:tab w:leader="none" w:pos="1120" w:val="left"/>
        </w:tabs>
        <w:numPr>
          <w:ilvl w:val="0"/>
          <w:numId w:val="19"/>
        </w:numPr>
        <w:rPr>
          <w:rFonts w:ascii="Arial" w:cs="Arial" w:eastAsia="Arial" w:hAnsi="Arial"/>
          <w:sz w:val="36"/>
          <w:szCs w:val="36"/>
          <w:b w:val="1"/>
          <w:bCs w:val="1"/>
          <w:color w:val="auto"/>
          <w:vertAlign w:val="subscript"/>
        </w:rPr>
      </w:pPr>
      <w:r>
        <w:rPr>
          <w:rFonts w:ascii="Arial" w:cs="Arial" w:eastAsia="Arial" w:hAnsi="Arial"/>
          <w:sz w:val="18"/>
          <w:szCs w:val="18"/>
          <w:color w:val="auto"/>
        </w:rPr>
        <w:t>SEC USE ONLY</w:t>
      </w:r>
    </w:p>
    <w:p>
      <w:pPr>
        <w:spacing w:after="0" w:line="159" w:lineRule="exact"/>
        <w:rPr>
          <w:rFonts w:ascii="Arial" w:cs="Arial" w:eastAsia="Arial" w:hAnsi="Arial"/>
          <w:sz w:val="36"/>
          <w:szCs w:val="36"/>
          <w:b w:val="1"/>
          <w:bCs w:val="1"/>
          <w:color w:val="auto"/>
          <w:vertAlign w:val="subscript"/>
        </w:rPr>
      </w:pPr>
    </w:p>
    <w:p>
      <w:pPr>
        <w:ind w:left="1120" w:hanging="677"/>
        <w:spacing w:after="0"/>
        <w:tabs>
          <w:tab w:leader="none" w:pos="1120" w:val="left"/>
        </w:tabs>
        <w:numPr>
          <w:ilvl w:val="0"/>
          <w:numId w:val="19"/>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-181610</wp:posOffset>
            </wp:positionV>
            <wp:extent cx="70866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-402590</wp:posOffset>
            </wp:positionV>
            <wp:extent cx="70866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8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35" w:lineRule="exact"/>
        <w:rPr>
          <w:sz w:val="20"/>
          <w:szCs w:val="20"/>
          <w:color w:val="auto"/>
        </w:rPr>
      </w:pPr>
    </w:p>
    <w:p>
      <w:pPr>
        <w:ind w:left="3460" w:right="4026" w:hanging="891"/>
        <w:spacing w:after="0" w:line="388" w:lineRule="auto"/>
        <w:tabs>
          <w:tab w:leader="none" w:pos="3245" w:val="left"/>
        </w:tabs>
        <w:numPr>
          <w:ilvl w:val="0"/>
          <w:numId w:val="20"/>
        </w:numPr>
        <w:rPr>
          <w:rFonts w:ascii="Arial" w:cs="Arial" w:eastAsia="Arial" w:hAnsi="Arial"/>
          <w:sz w:val="18"/>
          <w:szCs w:val="18"/>
          <w:b w:val="1"/>
          <w:bCs w:val="1"/>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34" w:hanging="234"/>
        <w:spacing w:after="0"/>
        <w:tabs>
          <w:tab w:leader="none" w:pos="234" w:val="left"/>
        </w:tabs>
        <w:numPr>
          <w:ilvl w:val="0"/>
          <w:numId w:val="21"/>
        </w:numPr>
        <w:rPr>
          <w:rFonts w:ascii="Arial" w:cs="Arial" w:eastAsia="Arial" w:hAnsi="Arial"/>
          <w:sz w:val="18"/>
          <w:szCs w:val="18"/>
          <w:color w:val="auto"/>
        </w:rPr>
      </w:pPr>
      <w:r>
        <w:rPr>
          <w:rFonts w:ascii="Arial" w:cs="Arial" w:eastAsia="Arial" w:hAnsi="Arial"/>
          <w:sz w:val="18"/>
          <w:szCs w:val="18"/>
          <w:color w:val="auto"/>
        </w:rPr>
        <w:t>[  ]</w:t>
      </w:r>
    </w:p>
    <w:p>
      <w:pPr>
        <w:spacing w:after="0" w:line="88" w:lineRule="exact"/>
        <w:rPr>
          <w:rFonts w:ascii="Arial" w:cs="Arial" w:eastAsia="Arial" w:hAnsi="Arial"/>
          <w:sz w:val="18"/>
          <w:szCs w:val="18"/>
          <w:color w:val="auto"/>
        </w:rPr>
      </w:pPr>
    </w:p>
    <w:p>
      <w:pPr>
        <w:ind w:left="254" w:hanging="254"/>
        <w:spacing w:after="0"/>
        <w:tabs>
          <w:tab w:leader="none" w:pos="254" w:val="left"/>
        </w:tabs>
        <w:numPr>
          <w:ilvl w:val="0"/>
          <w:numId w:val="21"/>
        </w:numPr>
        <w:rPr>
          <w:rFonts w:ascii="Arial" w:cs="Arial" w:eastAsia="Arial" w:hAnsi="Arial"/>
          <w:sz w:val="18"/>
          <w:szCs w:val="18"/>
          <w:color w:val="auto"/>
        </w:rPr>
      </w:pPr>
      <w:r>
        <w:rPr>
          <w:rFonts w:ascii="Arial" w:cs="Arial" w:eastAsia="Arial" w:hAnsi="Arial"/>
          <w:sz w:val="18"/>
          <w:szCs w:val="18"/>
          <w:color w:val="auto"/>
        </w:rPr>
        <w:t>[X]</w:t>
      </w:r>
    </w:p>
    <w:p>
      <w:pPr>
        <w:spacing w:after="0" w:line="2207" w:lineRule="exact"/>
        <w:rPr>
          <w:sz w:val="20"/>
          <w:szCs w:val="20"/>
          <w:color w:val="auto"/>
        </w:rPr>
      </w:pPr>
    </w:p>
    <w:p>
      <w:pPr>
        <w:sectPr>
          <w:pgSz w:w="12240" w:h="15840" w:orient="portrait"/>
          <w:cols w:equalWidth="0" w:num="2">
            <w:col w:w="9126" w:space="720"/>
            <w:col w:w="1314"/>
          </w:cols>
          <w:pgMar w:left="520" w:top="598" w:right="560" w:bottom="1440" w:gutter="0" w:footer="0" w:header="0"/>
          <w:type w:val="continuous"/>
        </w:sectPr>
      </w:pPr>
    </w:p>
    <w:tbl>
      <w:tblPr>
        <w:tblLayout w:type="fixed"/>
        <w:tblInd w:w="440" w:type="dxa"/>
        <w:tblCellMar>
          <w:top w:w="0" w:type="dxa"/>
          <w:left w:w="0" w:type="dxa"/>
          <w:bottom w:w="0" w:type="dxa"/>
          <w:right w:w="0" w:type="dxa"/>
        </w:tblCellMar>
      </w:tblPr>
      <w:tr>
        <w:trPr>
          <w:trHeight w:val="41"/>
        </w:trPr>
        <w:tc>
          <w:tcPr>
            <w:tcW w:w="1700" w:type="dxa"/>
            <w:vAlign w:val="bottom"/>
            <w:vMerge w:val="restart"/>
          </w:tcPr>
          <w:p>
            <w:pPr>
              <w:jc w:val="center"/>
              <w:ind w:right="371"/>
              <w:spacing w:after="0"/>
              <w:rPr>
                <w:sz w:val="20"/>
                <w:szCs w:val="20"/>
                <w:color w:val="auto"/>
              </w:rPr>
            </w:pPr>
            <w:r>
              <w:rPr>
                <w:rFonts w:ascii="Arial" w:cs="Arial" w:eastAsia="Arial" w:hAnsi="Arial"/>
                <w:sz w:val="18"/>
                <w:szCs w:val="18"/>
                <w:color w:val="auto"/>
                <w:w w:val="96"/>
              </w:rPr>
              <w:t>NUMBER OF</w:t>
            </w:r>
          </w:p>
        </w:tc>
        <w:tc>
          <w:tcPr>
            <w:tcW w:w="840" w:type="dxa"/>
            <w:vAlign w:val="bottom"/>
            <w:tcBorders>
              <w:bottom w:val="single" w:sz="8" w:color="auto"/>
            </w:tcBorders>
          </w:tcPr>
          <w:p>
            <w:pPr>
              <w:spacing w:after="0"/>
              <w:rPr>
                <w:sz w:val="3"/>
                <w:szCs w:val="3"/>
                <w:color w:val="auto"/>
              </w:rPr>
            </w:pPr>
          </w:p>
        </w:tc>
        <w:tc>
          <w:tcPr>
            <w:tcW w:w="8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700" w:type="dxa"/>
            <w:vAlign w:val="bottom"/>
            <w:vMerge w:val="continue"/>
          </w:tcPr>
          <w:p>
            <w:pPr>
              <w:spacing w:after="0"/>
              <w:rPr>
                <w:sz w:val="13"/>
                <w:szCs w:val="13"/>
                <w:color w:val="auto"/>
              </w:rPr>
            </w:pPr>
          </w:p>
        </w:tc>
        <w:tc>
          <w:tcPr>
            <w:tcW w:w="840" w:type="dxa"/>
            <w:vAlign w:val="bottom"/>
            <w:vMerge w:val="restart"/>
          </w:tcPr>
          <w:p>
            <w:pPr>
              <w:jc w:val="right"/>
              <w:ind w:right="191"/>
              <w:spacing w:after="0"/>
              <w:rPr>
                <w:sz w:val="20"/>
                <w:szCs w:val="20"/>
                <w:color w:val="auto"/>
              </w:rPr>
            </w:pPr>
            <w:r>
              <w:rPr>
                <w:rFonts w:ascii="Arial" w:cs="Arial" w:eastAsia="Arial" w:hAnsi="Arial"/>
                <w:sz w:val="18"/>
                <w:szCs w:val="18"/>
                <w:b w:val="1"/>
                <w:bCs w:val="1"/>
                <w:color w:val="auto"/>
              </w:rPr>
              <w:t>6.</w:t>
            </w:r>
          </w:p>
        </w:tc>
        <w:tc>
          <w:tcPr>
            <w:tcW w:w="818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5"/>
        </w:trPr>
        <w:tc>
          <w:tcPr>
            <w:tcW w:w="1700" w:type="dxa"/>
            <w:vAlign w:val="bottom"/>
            <w:vMerge w:val="restart"/>
          </w:tcPr>
          <w:p>
            <w:pPr>
              <w:jc w:val="center"/>
              <w:ind w:right="371"/>
              <w:spacing w:after="0"/>
              <w:rPr>
                <w:sz w:val="20"/>
                <w:szCs w:val="20"/>
                <w:color w:val="auto"/>
              </w:rPr>
            </w:pPr>
            <w:r>
              <w:rPr>
                <w:rFonts w:ascii="Arial" w:cs="Arial" w:eastAsia="Arial" w:hAnsi="Arial"/>
                <w:sz w:val="18"/>
                <w:szCs w:val="18"/>
                <w:color w:val="auto"/>
                <w:w w:val="91"/>
              </w:rPr>
              <w:t>SHARES</w:t>
            </w:r>
          </w:p>
        </w:tc>
        <w:tc>
          <w:tcPr>
            <w:tcW w:w="840" w:type="dxa"/>
            <w:vAlign w:val="bottom"/>
            <w:vMerge w:val="continue"/>
          </w:tcPr>
          <w:p>
            <w:pPr>
              <w:spacing w:after="0"/>
              <w:rPr>
                <w:sz w:val="11"/>
                <w:szCs w:val="11"/>
                <w:color w:val="auto"/>
              </w:rPr>
            </w:pPr>
          </w:p>
        </w:tc>
        <w:tc>
          <w:tcPr>
            <w:tcW w:w="8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70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8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1700" w:type="dxa"/>
            <w:vAlign w:val="bottom"/>
          </w:tcPr>
          <w:p>
            <w:pPr>
              <w:jc w:val="center"/>
              <w:ind w:right="351"/>
              <w:spacing w:after="0"/>
              <w:rPr>
                <w:sz w:val="20"/>
                <w:szCs w:val="20"/>
                <w:color w:val="auto"/>
              </w:rPr>
            </w:pPr>
            <w:r>
              <w:rPr>
                <w:rFonts w:ascii="Arial" w:cs="Arial" w:eastAsia="Arial" w:hAnsi="Arial"/>
                <w:sz w:val="18"/>
                <w:szCs w:val="18"/>
                <w:color w:val="auto"/>
                <w:w w:val="99"/>
              </w:rPr>
              <w:t>BENEFICIALLY</w:t>
            </w:r>
          </w:p>
        </w:tc>
        <w:tc>
          <w:tcPr>
            <w:tcW w:w="840" w:type="dxa"/>
            <w:vAlign w:val="bottom"/>
          </w:tcPr>
          <w:p>
            <w:pPr>
              <w:spacing w:after="0"/>
              <w:rPr>
                <w:sz w:val="18"/>
                <w:szCs w:val="18"/>
                <w:color w:val="auto"/>
              </w:rPr>
            </w:pPr>
          </w:p>
        </w:tc>
        <w:tc>
          <w:tcPr>
            <w:tcW w:w="8180" w:type="dxa"/>
            <w:vAlign w:val="bottom"/>
            <w:vMerge w:val="restart"/>
          </w:tcPr>
          <w:p>
            <w:pPr>
              <w:ind w:left="480"/>
              <w:spacing w:after="0"/>
              <w:rPr>
                <w:sz w:val="20"/>
                <w:szCs w:val="20"/>
                <w:color w:val="auto"/>
              </w:rPr>
            </w:pPr>
            <w:r>
              <w:rPr>
                <w:rFonts w:ascii="Arial" w:cs="Arial" w:eastAsia="Arial" w:hAnsi="Arial"/>
                <w:sz w:val="18"/>
                <w:szCs w:val="18"/>
                <w:color w:val="auto"/>
              </w:rPr>
              <w:t>2,139,685</w:t>
            </w:r>
          </w:p>
        </w:tc>
        <w:tc>
          <w:tcPr>
            <w:tcW w:w="0" w:type="dxa"/>
            <w:vAlign w:val="bottom"/>
          </w:tcPr>
          <w:p>
            <w:pPr>
              <w:spacing w:after="0"/>
              <w:rPr>
                <w:sz w:val="1"/>
                <w:szCs w:val="1"/>
                <w:color w:val="auto"/>
              </w:rPr>
            </w:pPr>
          </w:p>
        </w:tc>
      </w:tr>
      <w:tr>
        <w:trPr>
          <w:trHeight w:val="229"/>
        </w:trPr>
        <w:tc>
          <w:tcPr>
            <w:tcW w:w="1700" w:type="dxa"/>
            <w:vAlign w:val="bottom"/>
          </w:tcPr>
          <w:p>
            <w:pPr>
              <w:jc w:val="center"/>
              <w:ind w:right="371"/>
              <w:spacing w:after="0"/>
              <w:rPr>
                <w:sz w:val="20"/>
                <w:szCs w:val="20"/>
                <w:color w:val="auto"/>
              </w:rPr>
            </w:pPr>
            <w:r>
              <w:rPr>
                <w:rFonts w:ascii="Arial" w:cs="Arial" w:eastAsia="Arial" w:hAnsi="Arial"/>
                <w:sz w:val="18"/>
                <w:szCs w:val="18"/>
                <w:color w:val="auto"/>
                <w:w w:val="97"/>
              </w:rPr>
              <w:t>OWNED BY</w:t>
            </w:r>
          </w:p>
        </w:tc>
        <w:tc>
          <w:tcPr>
            <w:tcW w:w="840" w:type="dxa"/>
            <w:vAlign w:val="bottom"/>
            <w:tcBorders>
              <w:bottom w:val="single" w:sz="8" w:color="auto"/>
            </w:tcBorders>
          </w:tcPr>
          <w:p>
            <w:pPr>
              <w:spacing w:after="0"/>
              <w:rPr>
                <w:sz w:val="19"/>
                <w:szCs w:val="19"/>
                <w:color w:val="auto"/>
              </w:rPr>
            </w:pPr>
          </w:p>
        </w:tc>
        <w:tc>
          <w:tcPr>
            <w:tcW w:w="8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700" w:type="dxa"/>
            <w:vAlign w:val="bottom"/>
          </w:tcPr>
          <w:p>
            <w:pPr>
              <w:jc w:val="center"/>
              <w:ind w:right="371"/>
              <w:spacing w:after="0" w:line="181" w:lineRule="exact"/>
              <w:rPr>
                <w:sz w:val="20"/>
                <w:szCs w:val="20"/>
                <w:color w:val="auto"/>
              </w:rPr>
            </w:pPr>
            <w:r>
              <w:rPr>
                <w:rFonts w:ascii="Arial" w:cs="Arial" w:eastAsia="Arial" w:hAnsi="Arial"/>
                <w:sz w:val="18"/>
                <w:szCs w:val="18"/>
                <w:color w:val="auto"/>
                <w:w w:val="95"/>
              </w:rPr>
              <w:t>EACH</w:t>
            </w:r>
          </w:p>
        </w:tc>
        <w:tc>
          <w:tcPr>
            <w:tcW w:w="840" w:type="dxa"/>
            <w:vAlign w:val="bottom"/>
            <w:vMerge w:val="restart"/>
          </w:tcPr>
          <w:p>
            <w:pPr>
              <w:jc w:val="right"/>
              <w:ind w:right="191"/>
              <w:spacing w:after="0"/>
              <w:rPr>
                <w:sz w:val="20"/>
                <w:szCs w:val="20"/>
                <w:color w:val="auto"/>
              </w:rPr>
            </w:pPr>
            <w:r>
              <w:rPr>
                <w:rFonts w:ascii="Arial" w:cs="Arial" w:eastAsia="Arial" w:hAnsi="Arial"/>
                <w:sz w:val="18"/>
                <w:szCs w:val="18"/>
                <w:b w:val="1"/>
                <w:bCs w:val="1"/>
                <w:color w:val="auto"/>
              </w:rPr>
              <w:t>7.</w:t>
            </w:r>
          </w:p>
        </w:tc>
        <w:tc>
          <w:tcPr>
            <w:tcW w:w="818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9"/>
        </w:trPr>
        <w:tc>
          <w:tcPr>
            <w:tcW w:w="1700" w:type="dxa"/>
            <w:vAlign w:val="bottom"/>
            <w:vMerge w:val="restart"/>
          </w:tcPr>
          <w:p>
            <w:pPr>
              <w:jc w:val="center"/>
              <w:ind w:right="351"/>
              <w:spacing w:after="0"/>
              <w:rPr>
                <w:sz w:val="20"/>
                <w:szCs w:val="20"/>
                <w:color w:val="auto"/>
              </w:rPr>
            </w:pPr>
            <w:r>
              <w:rPr>
                <w:rFonts w:ascii="Arial" w:cs="Arial" w:eastAsia="Arial" w:hAnsi="Arial"/>
                <w:sz w:val="18"/>
                <w:szCs w:val="18"/>
                <w:color w:val="auto"/>
                <w:w w:val="91"/>
              </w:rPr>
              <w:t>REPORTING</w:t>
            </w:r>
          </w:p>
        </w:tc>
        <w:tc>
          <w:tcPr>
            <w:tcW w:w="840" w:type="dxa"/>
            <w:vAlign w:val="bottom"/>
            <w:vMerge w:val="continue"/>
          </w:tcPr>
          <w:p>
            <w:pPr>
              <w:spacing w:after="0"/>
              <w:rPr>
                <w:sz w:val="9"/>
                <w:szCs w:val="9"/>
                <w:color w:val="auto"/>
              </w:rPr>
            </w:pPr>
          </w:p>
        </w:tc>
        <w:tc>
          <w:tcPr>
            <w:tcW w:w="8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0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700" w:type="dxa"/>
            <w:vAlign w:val="bottom"/>
          </w:tcPr>
          <w:p>
            <w:pPr>
              <w:jc w:val="center"/>
              <w:ind w:right="371"/>
              <w:spacing w:after="0"/>
              <w:rPr>
                <w:sz w:val="20"/>
                <w:szCs w:val="20"/>
                <w:color w:val="auto"/>
              </w:rPr>
            </w:pPr>
            <w:r>
              <w:rPr>
                <w:rFonts w:ascii="Arial" w:cs="Arial" w:eastAsia="Arial" w:hAnsi="Arial"/>
                <w:sz w:val="18"/>
                <w:szCs w:val="18"/>
                <w:color w:val="auto"/>
                <w:w w:val="89"/>
              </w:rPr>
              <w:t>PERSON</w:t>
            </w:r>
          </w:p>
        </w:tc>
        <w:tc>
          <w:tcPr>
            <w:tcW w:w="840" w:type="dxa"/>
            <w:vAlign w:val="bottom"/>
          </w:tcPr>
          <w:p>
            <w:pPr>
              <w:spacing w:after="0"/>
              <w:rPr>
                <w:sz w:val="18"/>
                <w:szCs w:val="18"/>
                <w:color w:val="auto"/>
              </w:rPr>
            </w:pPr>
          </w:p>
        </w:tc>
        <w:tc>
          <w:tcPr>
            <w:tcW w:w="8180" w:type="dxa"/>
            <w:vAlign w:val="bottom"/>
            <w:vMerge w:val="restart"/>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700" w:type="dxa"/>
            <w:vAlign w:val="bottom"/>
            <w:vMerge w:val="restart"/>
          </w:tcPr>
          <w:p>
            <w:pPr>
              <w:jc w:val="center"/>
              <w:ind w:right="371"/>
              <w:spacing w:after="0" w:line="156" w:lineRule="exact"/>
              <w:rPr>
                <w:sz w:val="20"/>
                <w:szCs w:val="20"/>
                <w:color w:val="auto"/>
              </w:rPr>
            </w:pPr>
            <w:r>
              <w:rPr>
                <w:rFonts w:ascii="Arial" w:cs="Arial" w:eastAsia="Arial" w:hAnsi="Arial"/>
                <w:sz w:val="18"/>
                <w:szCs w:val="18"/>
                <w:color w:val="auto"/>
              </w:rPr>
              <w:t>WITH:</w:t>
            </w:r>
          </w:p>
        </w:tc>
        <w:tc>
          <w:tcPr>
            <w:tcW w:w="840" w:type="dxa"/>
            <w:vAlign w:val="bottom"/>
          </w:tcPr>
          <w:p>
            <w:pPr>
              <w:spacing w:after="0"/>
              <w:rPr>
                <w:sz w:val="9"/>
                <w:szCs w:val="9"/>
                <w:color w:val="auto"/>
              </w:rPr>
            </w:pPr>
          </w:p>
        </w:tc>
        <w:tc>
          <w:tcPr>
            <w:tcW w:w="8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700" w:type="dxa"/>
            <w:vAlign w:val="bottom"/>
            <w:vMerge w:val="continue"/>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1700" w:type="dxa"/>
            <w:vAlign w:val="bottom"/>
          </w:tcPr>
          <w:p>
            <w:pPr>
              <w:spacing w:after="0"/>
              <w:rPr>
                <w:sz w:val="24"/>
                <w:szCs w:val="24"/>
                <w:color w:val="auto"/>
              </w:rPr>
            </w:pPr>
          </w:p>
        </w:tc>
        <w:tc>
          <w:tcPr>
            <w:tcW w:w="840" w:type="dxa"/>
            <w:vAlign w:val="bottom"/>
          </w:tcPr>
          <w:p>
            <w:pPr>
              <w:jc w:val="right"/>
              <w:ind w:right="191"/>
              <w:spacing w:after="0"/>
              <w:rPr>
                <w:sz w:val="20"/>
                <w:szCs w:val="20"/>
                <w:color w:val="auto"/>
              </w:rPr>
            </w:pPr>
            <w:r>
              <w:rPr>
                <w:rFonts w:ascii="Arial" w:cs="Arial" w:eastAsia="Arial" w:hAnsi="Arial"/>
                <w:sz w:val="18"/>
                <w:szCs w:val="18"/>
                <w:b w:val="1"/>
                <w:bCs w:val="1"/>
                <w:color w:val="auto"/>
              </w:rPr>
              <w:t>8.</w:t>
            </w:r>
          </w:p>
        </w:tc>
        <w:tc>
          <w:tcPr>
            <w:tcW w:w="818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54"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2,139,685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0866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22" w:lineRule="exact"/>
        <w:rPr>
          <w:sz w:val="20"/>
          <w:szCs w:val="20"/>
          <w:color w:val="auto"/>
        </w:rPr>
      </w:pPr>
    </w:p>
    <w:p>
      <w:pPr>
        <w:ind w:left="1120" w:hanging="677"/>
        <w:spacing w:after="0"/>
        <w:tabs>
          <w:tab w:leader="none" w:pos="1120" w:val="left"/>
        </w:tabs>
        <w:numPr>
          <w:ilvl w:val="0"/>
          <w:numId w:val="22"/>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2,139,685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0866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22" w:lineRule="exact"/>
        <w:rPr>
          <w:sz w:val="20"/>
          <w:szCs w:val="20"/>
          <w:color w:val="auto"/>
        </w:rPr>
      </w:pPr>
    </w:p>
    <w:p>
      <w:pPr>
        <w:ind w:left="1120" w:hanging="722"/>
        <w:spacing w:after="0"/>
        <w:tabs>
          <w:tab w:leader="none" w:pos="1120" w:val="left"/>
        </w:tabs>
        <w:numPr>
          <w:ilvl w:val="0"/>
          <w:numId w:val="23"/>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w:t>
      </w:r>
    </w:p>
    <w:p>
      <w:pPr>
        <w:spacing w:after="0" w:line="22" w:lineRule="exact"/>
        <w:rPr>
          <w:sz w:val="20"/>
          <w:szCs w:val="20"/>
          <w:color w:val="auto"/>
        </w:rPr>
      </w:pPr>
    </w:p>
    <w:p>
      <w:pPr>
        <w:ind w:left="1010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70866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61" w:lineRule="exact"/>
        <w:rPr>
          <w:sz w:val="20"/>
          <w:szCs w:val="20"/>
          <w:color w:val="auto"/>
        </w:rPr>
      </w:pPr>
    </w:p>
    <w:p>
      <w:pPr>
        <w:ind w:left="1120" w:hanging="717"/>
        <w:spacing w:after="0"/>
        <w:tabs>
          <w:tab w:leader="none" w:pos="1120" w:val="left"/>
        </w:tabs>
        <w:numPr>
          <w:ilvl w:val="0"/>
          <w:numId w:val="24"/>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35" w:lineRule="exact"/>
        <w:rPr>
          <w:sz w:val="20"/>
          <w:szCs w:val="20"/>
          <w:color w:val="auto"/>
        </w:rPr>
      </w:pPr>
    </w:p>
    <w:p>
      <w:pPr>
        <w:ind w:left="1340" w:right="7540" w:hanging="942"/>
        <w:spacing w:after="0" w:line="523" w:lineRule="auto"/>
        <w:tabs>
          <w:tab w:leader="none" w:pos="1125" w:val="left"/>
        </w:tabs>
        <w:numPr>
          <w:ilvl w:val="0"/>
          <w:numId w:val="25"/>
        </w:numPr>
        <w:rPr>
          <w:rFonts w:ascii="Arial" w:cs="Arial" w:eastAsia="Arial" w:hAnsi="Arial"/>
          <w:sz w:val="18"/>
          <w:szCs w:val="18"/>
          <w:b w:val="1"/>
          <w:bCs w:val="1"/>
          <w:color w:val="auto"/>
        </w:rPr>
      </w:pPr>
      <w:r>
        <w:rPr>
          <w:rFonts w:ascii="Arial" w:cs="Arial" w:eastAsia="Arial" w:hAnsi="Arial"/>
          <w:sz w:val="18"/>
          <w:szCs w:val="18"/>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70866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45" w:lineRule="exact"/>
        <w:rPr>
          <w:sz w:val="20"/>
          <w:szCs w:val="20"/>
          <w:color w:val="auto"/>
        </w:rPr>
      </w:pPr>
    </w:p>
    <w:p>
      <w:pPr>
        <w:ind w:left="100" w:right="300" w:hanging="93"/>
        <w:spacing w:after="0" w:line="274" w:lineRule="auto"/>
        <w:rPr>
          <w:sz w:val="20"/>
          <w:szCs w:val="20"/>
          <w:color w:val="auto"/>
        </w:rPr>
      </w:pPr>
      <w:r>
        <w:rPr>
          <w:rFonts w:ascii="Arial" w:cs="Arial" w:eastAsia="Arial" w:hAnsi="Arial"/>
          <w:sz w:val="18"/>
          <w:szCs w:val="18"/>
          <w:color w:val="auto"/>
        </w:rPr>
        <w:t>*Percentage calculations are based on the number of shares of Common Stock outstanding as of October 31, 2018, as provided in the Issuer’s Quarterly Report on Form 10-Q for the quarterly period ended September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271145</wp:posOffset>
            </wp:positionV>
            <wp:extent cx="708660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086600" cy="25400"/>
                    </a:xfrm>
                    <a:prstGeom prst="rect">
                      <a:avLst/>
                    </a:prstGeom>
                    <a:noFill/>
                  </pic:spPr>
                </pic:pic>
              </a:graphicData>
            </a:graphic>
          </wp:anchor>
        </w:drawing>
      </w:r>
    </w:p>
    <w:p>
      <w:pPr>
        <w:sectPr>
          <w:pgSz w:w="12240" w:h="15840" w:orient="portrait"/>
          <w:cols w:equalWidth="0" w:num="1">
            <w:col w:w="11160"/>
          </w:cols>
          <w:pgMar w:left="520" w:top="598" w:right="560" w:bottom="1440" w:gutter="0" w:footer="0" w:header="0"/>
          <w:type w:val="continuous"/>
        </w:sectPr>
      </w:pPr>
    </w:p>
    <w:bookmarkStart w:id="4" w:name="page5"/>
    <w:bookmarkEnd w:id="4"/>
    <w:p>
      <w:pPr>
        <w:spacing w:after="0"/>
        <w:tabs>
          <w:tab w:leader="none" w:pos="5920" w:val="left"/>
          <w:tab w:leader="none" w:pos="814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357505</wp:posOffset>
            </wp:positionV>
            <wp:extent cx="708660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86600" cy="8255"/>
                    </a:xfrm>
                    <a:prstGeom prst="rect">
                      <a:avLst/>
                    </a:prstGeom>
                    <a:noFill/>
                  </pic:spPr>
                </pic:pic>
              </a:graphicData>
            </a:graphic>
          </wp:anchor>
        </w:drawing>
        <w:t>CUSIP No. 63845R107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5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708660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195580</wp:posOffset>
            </wp:positionV>
            <wp:extent cx="70866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ectPr>
          <w:pgSz w:w="12240" w:h="15840" w:orient="portrait"/>
          <w:cols w:equalWidth="0" w:num="1">
            <w:col w:w="11160"/>
          </w:cols>
          <w:pgMar w:left="520" w:top="598" w:right="560" w:bottom="1440" w:gutter="0" w:footer="0" w:header="0"/>
        </w:sectPr>
      </w:pPr>
    </w:p>
    <w:p>
      <w:pPr>
        <w:spacing w:after="0" w:line="387" w:lineRule="exact"/>
        <w:rPr>
          <w:sz w:val="20"/>
          <w:szCs w:val="20"/>
          <w:color w:val="auto"/>
        </w:rPr>
      </w:pPr>
    </w:p>
    <w:p>
      <w:pPr>
        <w:ind w:left="1120" w:hanging="677"/>
        <w:spacing w:after="0"/>
        <w:tabs>
          <w:tab w:leader="none" w:pos="1120" w:val="left"/>
        </w:tabs>
        <w:numPr>
          <w:ilvl w:val="0"/>
          <w:numId w:val="26"/>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 w:lineRule="exact"/>
        <w:rPr>
          <w:rFonts w:ascii="Arial" w:cs="Arial" w:eastAsia="Arial" w:hAnsi="Arial"/>
          <w:sz w:val="18"/>
          <w:szCs w:val="18"/>
          <w:b w:val="1"/>
          <w:bCs w:val="1"/>
          <w:color w:val="auto"/>
        </w:rPr>
      </w:pPr>
    </w:p>
    <w:p>
      <w:pPr>
        <w:ind w:left="1120"/>
        <w:spacing w:after="0"/>
        <w:rPr>
          <w:rFonts w:ascii="Arial" w:cs="Arial" w:eastAsia="Arial" w:hAnsi="Arial"/>
          <w:sz w:val="18"/>
          <w:szCs w:val="18"/>
          <w:b w:val="1"/>
          <w:bCs w:val="1"/>
          <w:color w:val="auto"/>
        </w:rPr>
      </w:pPr>
      <w:r>
        <w:rPr>
          <w:rFonts w:ascii="Arial" w:cs="Arial" w:eastAsia="Arial" w:hAnsi="Arial"/>
          <w:sz w:val="17"/>
          <w:szCs w:val="17"/>
          <w:color w:val="auto"/>
        </w:rPr>
        <w:t>I.R.S. IDENTIFICATION NO. OF ABOVE PERSONS (ENTITIES ONLY)</w:t>
      </w:r>
    </w:p>
    <w:p>
      <w:pPr>
        <w:spacing w:after="0" w:line="21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Berkshire Fund VI, Limited Partnership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35" w:lineRule="exact"/>
        <w:rPr>
          <w:sz w:val="20"/>
          <w:szCs w:val="20"/>
          <w:color w:val="auto"/>
        </w:rPr>
      </w:pPr>
    </w:p>
    <w:p>
      <w:pPr>
        <w:ind w:left="1120" w:right="3066" w:hanging="677"/>
        <w:spacing w:after="0" w:line="274" w:lineRule="auto"/>
        <w:tabs>
          <w:tab w:leader="none" w:pos="112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20" w:lineRule="exact"/>
        <w:rPr>
          <w:rFonts w:ascii="Arial" w:cs="Arial" w:eastAsia="Arial" w:hAnsi="Arial"/>
          <w:sz w:val="18"/>
          <w:szCs w:val="18"/>
          <w:b w:val="1"/>
          <w:bCs w:val="1"/>
          <w:color w:val="auto"/>
        </w:rPr>
      </w:pPr>
    </w:p>
    <w:p>
      <w:pPr>
        <w:ind w:left="1120" w:hanging="677"/>
        <w:spacing w:after="0"/>
        <w:tabs>
          <w:tab w:leader="none" w:pos="1120" w:val="left"/>
        </w:tabs>
        <w:numPr>
          <w:ilvl w:val="0"/>
          <w:numId w:val="27"/>
        </w:numPr>
        <w:rPr>
          <w:rFonts w:ascii="Arial" w:cs="Arial" w:eastAsia="Arial" w:hAnsi="Arial"/>
          <w:sz w:val="36"/>
          <w:szCs w:val="36"/>
          <w:b w:val="1"/>
          <w:bCs w:val="1"/>
          <w:color w:val="auto"/>
          <w:vertAlign w:val="subscript"/>
        </w:rPr>
      </w:pPr>
      <w:r>
        <w:rPr>
          <w:rFonts w:ascii="Arial" w:cs="Arial" w:eastAsia="Arial" w:hAnsi="Arial"/>
          <w:sz w:val="18"/>
          <w:szCs w:val="18"/>
          <w:color w:val="auto"/>
        </w:rPr>
        <w:t>SEC USE ONLY</w:t>
      </w:r>
    </w:p>
    <w:p>
      <w:pPr>
        <w:spacing w:after="0" w:line="159" w:lineRule="exact"/>
        <w:rPr>
          <w:rFonts w:ascii="Arial" w:cs="Arial" w:eastAsia="Arial" w:hAnsi="Arial"/>
          <w:sz w:val="36"/>
          <w:szCs w:val="36"/>
          <w:b w:val="1"/>
          <w:bCs w:val="1"/>
          <w:color w:val="auto"/>
          <w:vertAlign w:val="subscript"/>
        </w:rPr>
      </w:pPr>
    </w:p>
    <w:p>
      <w:pPr>
        <w:ind w:left="1120" w:hanging="677"/>
        <w:spacing w:after="0"/>
        <w:tabs>
          <w:tab w:leader="none" w:pos="1120" w:val="left"/>
        </w:tabs>
        <w:numPr>
          <w:ilvl w:val="0"/>
          <w:numId w:val="27"/>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-181610</wp:posOffset>
            </wp:positionV>
            <wp:extent cx="70866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-402590</wp:posOffset>
            </wp:positionV>
            <wp:extent cx="70866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8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35" w:lineRule="exact"/>
        <w:rPr>
          <w:sz w:val="20"/>
          <w:szCs w:val="20"/>
          <w:color w:val="auto"/>
        </w:rPr>
      </w:pPr>
    </w:p>
    <w:p>
      <w:pPr>
        <w:ind w:left="3460" w:right="4026" w:hanging="891"/>
        <w:spacing w:after="0" w:line="388" w:lineRule="auto"/>
        <w:tabs>
          <w:tab w:leader="none" w:pos="3245" w:val="left"/>
        </w:tabs>
        <w:numPr>
          <w:ilvl w:val="0"/>
          <w:numId w:val="28"/>
        </w:numPr>
        <w:rPr>
          <w:rFonts w:ascii="Arial" w:cs="Arial" w:eastAsia="Arial" w:hAnsi="Arial"/>
          <w:sz w:val="18"/>
          <w:szCs w:val="18"/>
          <w:b w:val="1"/>
          <w:bCs w:val="1"/>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34" w:hanging="234"/>
        <w:spacing w:after="0"/>
        <w:tabs>
          <w:tab w:leader="none" w:pos="234" w:val="left"/>
        </w:tabs>
        <w:numPr>
          <w:ilvl w:val="0"/>
          <w:numId w:val="29"/>
        </w:numPr>
        <w:rPr>
          <w:rFonts w:ascii="Arial" w:cs="Arial" w:eastAsia="Arial" w:hAnsi="Arial"/>
          <w:sz w:val="18"/>
          <w:szCs w:val="18"/>
          <w:color w:val="auto"/>
        </w:rPr>
      </w:pPr>
      <w:r>
        <w:rPr>
          <w:rFonts w:ascii="Arial" w:cs="Arial" w:eastAsia="Arial" w:hAnsi="Arial"/>
          <w:sz w:val="18"/>
          <w:szCs w:val="18"/>
          <w:color w:val="auto"/>
        </w:rPr>
        <w:t>[  ]</w:t>
      </w:r>
    </w:p>
    <w:p>
      <w:pPr>
        <w:spacing w:after="0" w:line="88" w:lineRule="exact"/>
        <w:rPr>
          <w:rFonts w:ascii="Arial" w:cs="Arial" w:eastAsia="Arial" w:hAnsi="Arial"/>
          <w:sz w:val="18"/>
          <w:szCs w:val="18"/>
          <w:color w:val="auto"/>
        </w:rPr>
      </w:pPr>
    </w:p>
    <w:p>
      <w:pPr>
        <w:ind w:left="254" w:hanging="254"/>
        <w:spacing w:after="0"/>
        <w:tabs>
          <w:tab w:leader="none" w:pos="254" w:val="left"/>
        </w:tabs>
        <w:numPr>
          <w:ilvl w:val="0"/>
          <w:numId w:val="29"/>
        </w:numPr>
        <w:rPr>
          <w:rFonts w:ascii="Arial" w:cs="Arial" w:eastAsia="Arial" w:hAnsi="Arial"/>
          <w:sz w:val="18"/>
          <w:szCs w:val="18"/>
          <w:color w:val="auto"/>
        </w:rPr>
      </w:pPr>
      <w:r>
        <w:rPr>
          <w:rFonts w:ascii="Arial" w:cs="Arial" w:eastAsia="Arial" w:hAnsi="Arial"/>
          <w:sz w:val="18"/>
          <w:szCs w:val="18"/>
          <w:color w:val="auto"/>
        </w:rPr>
        <w:t>[X]</w:t>
      </w:r>
    </w:p>
    <w:p>
      <w:pPr>
        <w:spacing w:after="0" w:line="2207" w:lineRule="exact"/>
        <w:rPr>
          <w:sz w:val="20"/>
          <w:szCs w:val="20"/>
          <w:color w:val="auto"/>
        </w:rPr>
      </w:pPr>
    </w:p>
    <w:p>
      <w:pPr>
        <w:sectPr>
          <w:pgSz w:w="12240" w:h="15840" w:orient="portrait"/>
          <w:cols w:equalWidth="0" w:num="2">
            <w:col w:w="9126" w:space="720"/>
            <w:col w:w="1314"/>
          </w:cols>
          <w:pgMar w:left="520" w:top="598" w:right="560" w:bottom="1440" w:gutter="0" w:footer="0" w:header="0"/>
          <w:type w:val="continuous"/>
        </w:sectPr>
      </w:pPr>
    </w:p>
    <w:tbl>
      <w:tblPr>
        <w:tblLayout w:type="fixed"/>
        <w:tblInd w:w="440" w:type="dxa"/>
        <w:tblCellMar>
          <w:top w:w="0" w:type="dxa"/>
          <w:left w:w="0" w:type="dxa"/>
          <w:bottom w:w="0" w:type="dxa"/>
          <w:right w:w="0" w:type="dxa"/>
        </w:tblCellMar>
      </w:tblPr>
      <w:tr>
        <w:trPr>
          <w:trHeight w:val="41"/>
        </w:trPr>
        <w:tc>
          <w:tcPr>
            <w:tcW w:w="1700" w:type="dxa"/>
            <w:vAlign w:val="bottom"/>
            <w:vMerge w:val="restart"/>
          </w:tcPr>
          <w:p>
            <w:pPr>
              <w:jc w:val="center"/>
              <w:ind w:right="371"/>
              <w:spacing w:after="0"/>
              <w:rPr>
                <w:sz w:val="20"/>
                <w:szCs w:val="20"/>
                <w:color w:val="auto"/>
              </w:rPr>
            </w:pPr>
            <w:r>
              <w:rPr>
                <w:rFonts w:ascii="Arial" w:cs="Arial" w:eastAsia="Arial" w:hAnsi="Arial"/>
                <w:sz w:val="18"/>
                <w:szCs w:val="18"/>
                <w:color w:val="auto"/>
                <w:w w:val="96"/>
              </w:rPr>
              <w:t>NUMBER OF</w:t>
            </w:r>
          </w:p>
        </w:tc>
        <w:tc>
          <w:tcPr>
            <w:tcW w:w="840" w:type="dxa"/>
            <w:vAlign w:val="bottom"/>
            <w:tcBorders>
              <w:bottom w:val="single" w:sz="8" w:color="auto"/>
            </w:tcBorders>
          </w:tcPr>
          <w:p>
            <w:pPr>
              <w:spacing w:after="0"/>
              <w:rPr>
                <w:sz w:val="3"/>
                <w:szCs w:val="3"/>
                <w:color w:val="auto"/>
              </w:rPr>
            </w:pPr>
          </w:p>
        </w:tc>
        <w:tc>
          <w:tcPr>
            <w:tcW w:w="8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700" w:type="dxa"/>
            <w:vAlign w:val="bottom"/>
            <w:vMerge w:val="continue"/>
          </w:tcPr>
          <w:p>
            <w:pPr>
              <w:spacing w:after="0"/>
              <w:rPr>
                <w:sz w:val="13"/>
                <w:szCs w:val="13"/>
                <w:color w:val="auto"/>
              </w:rPr>
            </w:pPr>
          </w:p>
        </w:tc>
        <w:tc>
          <w:tcPr>
            <w:tcW w:w="840" w:type="dxa"/>
            <w:vAlign w:val="bottom"/>
            <w:vMerge w:val="restart"/>
          </w:tcPr>
          <w:p>
            <w:pPr>
              <w:jc w:val="right"/>
              <w:ind w:right="191"/>
              <w:spacing w:after="0"/>
              <w:rPr>
                <w:sz w:val="20"/>
                <w:szCs w:val="20"/>
                <w:color w:val="auto"/>
              </w:rPr>
            </w:pPr>
            <w:r>
              <w:rPr>
                <w:rFonts w:ascii="Arial" w:cs="Arial" w:eastAsia="Arial" w:hAnsi="Arial"/>
                <w:sz w:val="18"/>
                <w:szCs w:val="18"/>
                <w:b w:val="1"/>
                <w:bCs w:val="1"/>
                <w:color w:val="auto"/>
              </w:rPr>
              <w:t>6.</w:t>
            </w:r>
          </w:p>
        </w:tc>
        <w:tc>
          <w:tcPr>
            <w:tcW w:w="818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5"/>
        </w:trPr>
        <w:tc>
          <w:tcPr>
            <w:tcW w:w="1700" w:type="dxa"/>
            <w:vAlign w:val="bottom"/>
            <w:vMerge w:val="restart"/>
          </w:tcPr>
          <w:p>
            <w:pPr>
              <w:jc w:val="center"/>
              <w:ind w:right="371"/>
              <w:spacing w:after="0"/>
              <w:rPr>
                <w:sz w:val="20"/>
                <w:szCs w:val="20"/>
                <w:color w:val="auto"/>
              </w:rPr>
            </w:pPr>
            <w:r>
              <w:rPr>
                <w:rFonts w:ascii="Arial" w:cs="Arial" w:eastAsia="Arial" w:hAnsi="Arial"/>
                <w:sz w:val="18"/>
                <w:szCs w:val="18"/>
                <w:color w:val="auto"/>
                <w:w w:val="91"/>
              </w:rPr>
              <w:t>SHARES</w:t>
            </w:r>
          </w:p>
        </w:tc>
        <w:tc>
          <w:tcPr>
            <w:tcW w:w="840" w:type="dxa"/>
            <w:vAlign w:val="bottom"/>
            <w:vMerge w:val="continue"/>
          </w:tcPr>
          <w:p>
            <w:pPr>
              <w:spacing w:after="0"/>
              <w:rPr>
                <w:sz w:val="11"/>
                <w:szCs w:val="11"/>
                <w:color w:val="auto"/>
              </w:rPr>
            </w:pPr>
          </w:p>
        </w:tc>
        <w:tc>
          <w:tcPr>
            <w:tcW w:w="8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70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8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1700" w:type="dxa"/>
            <w:vAlign w:val="bottom"/>
          </w:tcPr>
          <w:p>
            <w:pPr>
              <w:jc w:val="center"/>
              <w:ind w:right="351"/>
              <w:spacing w:after="0"/>
              <w:rPr>
                <w:sz w:val="20"/>
                <w:szCs w:val="20"/>
                <w:color w:val="auto"/>
              </w:rPr>
            </w:pPr>
            <w:r>
              <w:rPr>
                <w:rFonts w:ascii="Arial" w:cs="Arial" w:eastAsia="Arial" w:hAnsi="Arial"/>
                <w:sz w:val="18"/>
                <w:szCs w:val="18"/>
                <w:color w:val="auto"/>
                <w:w w:val="99"/>
              </w:rPr>
              <w:t>BENEFICIALLY</w:t>
            </w:r>
          </w:p>
        </w:tc>
        <w:tc>
          <w:tcPr>
            <w:tcW w:w="840" w:type="dxa"/>
            <w:vAlign w:val="bottom"/>
          </w:tcPr>
          <w:p>
            <w:pPr>
              <w:spacing w:after="0"/>
              <w:rPr>
                <w:sz w:val="18"/>
                <w:szCs w:val="18"/>
                <w:color w:val="auto"/>
              </w:rPr>
            </w:pPr>
          </w:p>
        </w:tc>
        <w:tc>
          <w:tcPr>
            <w:tcW w:w="8180" w:type="dxa"/>
            <w:vAlign w:val="bottom"/>
            <w:vMerge w:val="restart"/>
          </w:tcPr>
          <w:p>
            <w:pPr>
              <w:ind w:left="480"/>
              <w:spacing w:after="0"/>
              <w:rPr>
                <w:sz w:val="20"/>
                <w:szCs w:val="20"/>
                <w:color w:val="auto"/>
              </w:rPr>
            </w:pPr>
            <w:r>
              <w:rPr>
                <w:rFonts w:ascii="Arial" w:cs="Arial" w:eastAsia="Arial" w:hAnsi="Arial"/>
                <w:sz w:val="18"/>
                <w:szCs w:val="18"/>
                <w:color w:val="auto"/>
              </w:rPr>
              <w:t>2,101,264</w:t>
            </w:r>
          </w:p>
        </w:tc>
        <w:tc>
          <w:tcPr>
            <w:tcW w:w="0" w:type="dxa"/>
            <w:vAlign w:val="bottom"/>
          </w:tcPr>
          <w:p>
            <w:pPr>
              <w:spacing w:after="0"/>
              <w:rPr>
                <w:sz w:val="1"/>
                <w:szCs w:val="1"/>
                <w:color w:val="auto"/>
              </w:rPr>
            </w:pPr>
          </w:p>
        </w:tc>
      </w:tr>
      <w:tr>
        <w:trPr>
          <w:trHeight w:val="229"/>
        </w:trPr>
        <w:tc>
          <w:tcPr>
            <w:tcW w:w="1700" w:type="dxa"/>
            <w:vAlign w:val="bottom"/>
          </w:tcPr>
          <w:p>
            <w:pPr>
              <w:jc w:val="center"/>
              <w:ind w:right="371"/>
              <w:spacing w:after="0"/>
              <w:rPr>
                <w:sz w:val="20"/>
                <w:szCs w:val="20"/>
                <w:color w:val="auto"/>
              </w:rPr>
            </w:pPr>
            <w:r>
              <w:rPr>
                <w:rFonts w:ascii="Arial" w:cs="Arial" w:eastAsia="Arial" w:hAnsi="Arial"/>
                <w:sz w:val="18"/>
                <w:szCs w:val="18"/>
                <w:color w:val="auto"/>
                <w:w w:val="97"/>
              </w:rPr>
              <w:t>OWNED BY</w:t>
            </w:r>
          </w:p>
        </w:tc>
        <w:tc>
          <w:tcPr>
            <w:tcW w:w="840" w:type="dxa"/>
            <w:vAlign w:val="bottom"/>
            <w:tcBorders>
              <w:bottom w:val="single" w:sz="8" w:color="auto"/>
            </w:tcBorders>
          </w:tcPr>
          <w:p>
            <w:pPr>
              <w:spacing w:after="0"/>
              <w:rPr>
                <w:sz w:val="19"/>
                <w:szCs w:val="19"/>
                <w:color w:val="auto"/>
              </w:rPr>
            </w:pPr>
          </w:p>
        </w:tc>
        <w:tc>
          <w:tcPr>
            <w:tcW w:w="8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700" w:type="dxa"/>
            <w:vAlign w:val="bottom"/>
          </w:tcPr>
          <w:p>
            <w:pPr>
              <w:jc w:val="center"/>
              <w:ind w:right="371"/>
              <w:spacing w:after="0" w:line="181" w:lineRule="exact"/>
              <w:rPr>
                <w:sz w:val="20"/>
                <w:szCs w:val="20"/>
                <w:color w:val="auto"/>
              </w:rPr>
            </w:pPr>
            <w:r>
              <w:rPr>
                <w:rFonts w:ascii="Arial" w:cs="Arial" w:eastAsia="Arial" w:hAnsi="Arial"/>
                <w:sz w:val="18"/>
                <w:szCs w:val="18"/>
                <w:color w:val="auto"/>
                <w:w w:val="95"/>
              </w:rPr>
              <w:t>EACH</w:t>
            </w:r>
          </w:p>
        </w:tc>
        <w:tc>
          <w:tcPr>
            <w:tcW w:w="840" w:type="dxa"/>
            <w:vAlign w:val="bottom"/>
            <w:vMerge w:val="restart"/>
          </w:tcPr>
          <w:p>
            <w:pPr>
              <w:jc w:val="right"/>
              <w:ind w:right="191"/>
              <w:spacing w:after="0"/>
              <w:rPr>
                <w:sz w:val="20"/>
                <w:szCs w:val="20"/>
                <w:color w:val="auto"/>
              </w:rPr>
            </w:pPr>
            <w:r>
              <w:rPr>
                <w:rFonts w:ascii="Arial" w:cs="Arial" w:eastAsia="Arial" w:hAnsi="Arial"/>
                <w:sz w:val="18"/>
                <w:szCs w:val="18"/>
                <w:b w:val="1"/>
                <w:bCs w:val="1"/>
                <w:color w:val="auto"/>
              </w:rPr>
              <w:t>7.</w:t>
            </w:r>
          </w:p>
        </w:tc>
        <w:tc>
          <w:tcPr>
            <w:tcW w:w="818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9"/>
        </w:trPr>
        <w:tc>
          <w:tcPr>
            <w:tcW w:w="1700" w:type="dxa"/>
            <w:vAlign w:val="bottom"/>
            <w:vMerge w:val="restart"/>
          </w:tcPr>
          <w:p>
            <w:pPr>
              <w:jc w:val="center"/>
              <w:ind w:right="351"/>
              <w:spacing w:after="0"/>
              <w:rPr>
                <w:sz w:val="20"/>
                <w:szCs w:val="20"/>
                <w:color w:val="auto"/>
              </w:rPr>
            </w:pPr>
            <w:r>
              <w:rPr>
                <w:rFonts w:ascii="Arial" w:cs="Arial" w:eastAsia="Arial" w:hAnsi="Arial"/>
                <w:sz w:val="18"/>
                <w:szCs w:val="18"/>
                <w:color w:val="auto"/>
                <w:w w:val="91"/>
              </w:rPr>
              <w:t>REPORTING</w:t>
            </w:r>
          </w:p>
        </w:tc>
        <w:tc>
          <w:tcPr>
            <w:tcW w:w="840" w:type="dxa"/>
            <w:vAlign w:val="bottom"/>
            <w:vMerge w:val="continue"/>
          </w:tcPr>
          <w:p>
            <w:pPr>
              <w:spacing w:after="0"/>
              <w:rPr>
                <w:sz w:val="9"/>
                <w:szCs w:val="9"/>
                <w:color w:val="auto"/>
              </w:rPr>
            </w:pPr>
          </w:p>
        </w:tc>
        <w:tc>
          <w:tcPr>
            <w:tcW w:w="8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0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700" w:type="dxa"/>
            <w:vAlign w:val="bottom"/>
          </w:tcPr>
          <w:p>
            <w:pPr>
              <w:jc w:val="center"/>
              <w:ind w:right="371"/>
              <w:spacing w:after="0"/>
              <w:rPr>
                <w:sz w:val="20"/>
                <w:szCs w:val="20"/>
                <w:color w:val="auto"/>
              </w:rPr>
            </w:pPr>
            <w:r>
              <w:rPr>
                <w:rFonts w:ascii="Arial" w:cs="Arial" w:eastAsia="Arial" w:hAnsi="Arial"/>
                <w:sz w:val="18"/>
                <w:szCs w:val="18"/>
                <w:color w:val="auto"/>
                <w:w w:val="89"/>
              </w:rPr>
              <w:t>PERSON</w:t>
            </w:r>
          </w:p>
        </w:tc>
        <w:tc>
          <w:tcPr>
            <w:tcW w:w="840" w:type="dxa"/>
            <w:vAlign w:val="bottom"/>
          </w:tcPr>
          <w:p>
            <w:pPr>
              <w:spacing w:after="0"/>
              <w:rPr>
                <w:sz w:val="18"/>
                <w:szCs w:val="18"/>
                <w:color w:val="auto"/>
              </w:rPr>
            </w:pPr>
          </w:p>
        </w:tc>
        <w:tc>
          <w:tcPr>
            <w:tcW w:w="8180" w:type="dxa"/>
            <w:vAlign w:val="bottom"/>
            <w:vMerge w:val="restart"/>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700" w:type="dxa"/>
            <w:vAlign w:val="bottom"/>
            <w:vMerge w:val="restart"/>
          </w:tcPr>
          <w:p>
            <w:pPr>
              <w:jc w:val="center"/>
              <w:ind w:right="371"/>
              <w:spacing w:after="0" w:line="156" w:lineRule="exact"/>
              <w:rPr>
                <w:sz w:val="20"/>
                <w:szCs w:val="20"/>
                <w:color w:val="auto"/>
              </w:rPr>
            </w:pPr>
            <w:r>
              <w:rPr>
                <w:rFonts w:ascii="Arial" w:cs="Arial" w:eastAsia="Arial" w:hAnsi="Arial"/>
                <w:sz w:val="18"/>
                <w:szCs w:val="18"/>
                <w:color w:val="auto"/>
              </w:rPr>
              <w:t>WITH:</w:t>
            </w:r>
          </w:p>
        </w:tc>
        <w:tc>
          <w:tcPr>
            <w:tcW w:w="840" w:type="dxa"/>
            <w:vAlign w:val="bottom"/>
          </w:tcPr>
          <w:p>
            <w:pPr>
              <w:spacing w:after="0"/>
              <w:rPr>
                <w:sz w:val="9"/>
                <w:szCs w:val="9"/>
                <w:color w:val="auto"/>
              </w:rPr>
            </w:pPr>
          </w:p>
        </w:tc>
        <w:tc>
          <w:tcPr>
            <w:tcW w:w="8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700" w:type="dxa"/>
            <w:vAlign w:val="bottom"/>
            <w:vMerge w:val="continue"/>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1700" w:type="dxa"/>
            <w:vAlign w:val="bottom"/>
          </w:tcPr>
          <w:p>
            <w:pPr>
              <w:spacing w:after="0"/>
              <w:rPr>
                <w:sz w:val="24"/>
                <w:szCs w:val="24"/>
                <w:color w:val="auto"/>
              </w:rPr>
            </w:pPr>
          </w:p>
        </w:tc>
        <w:tc>
          <w:tcPr>
            <w:tcW w:w="840" w:type="dxa"/>
            <w:vAlign w:val="bottom"/>
          </w:tcPr>
          <w:p>
            <w:pPr>
              <w:jc w:val="right"/>
              <w:ind w:right="191"/>
              <w:spacing w:after="0"/>
              <w:rPr>
                <w:sz w:val="20"/>
                <w:szCs w:val="20"/>
                <w:color w:val="auto"/>
              </w:rPr>
            </w:pPr>
            <w:r>
              <w:rPr>
                <w:rFonts w:ascii="Arial" w:cs="Arial" w:eastAsia="Arial" w:hAnsi="Arial"/>
                <w:sz w:val="18"/>
                <w:szCs w:val="18"/>
                <w:b w:val="1"/>
                <w:bCs w:val="1"/>
                <w:color w:val="auto"/>
              </w:rPr>
              <w:t>8.</w:t>
            </w:r>
          </w:p>
        </w:tc>
        <w:tc>
          <w:tcPr>
            <w:tcW w:w="818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54"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2,101,264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0866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22" w:lineRule="exact"/>
        <w:rPr>
          <w:sz w:val="20"/>
          <w:szCs w:val="20"/>
          <w:color w:val="auto"/>
        </w:rPr>
      </w:pPr>
    </w:p>
    <w:p>
      <w:pPr>
        <w:ind w:left="1120" w:hanging="677"/>
        <w:spacing w:after="0"/>
        <w:tabs>
          <w:tab w:leader="none" w:pos="1120" w:val="left"/>
        </w:tabs>
        <w:numPr>
          <w:ilvl w:val="0"/>
          <w:numId w:val="30"/>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2,101,264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08660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22" w:lineRule="exact"/>
        <w:rPr>
          <w:sz w:val="20"/>
          <w:szCs w:val="20"/>
          <w:color w:val="auto"/>
        </w:rPr>
      </w:pPr>
    </w:p>
    <w:p>
      <w:pPr>
        <w:ind w:left="1120" w:hanging="722"/>
        <w:spacing w:after="0"/>
        <w:tabs>
          <w:tab w:leader="none" w:pos="1120" w:val="left"/>
        </w:tabs>
        <w:numPr>
          <w:ilvl w:val="0"/>
          <w:numId w:val="31"/>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w:t>
      </w:r>
    </w:p>
    <w:p>
      <w:pPr>
        <w:spacing w:after="0" w:line="22" w:lineRule="exact"/>
        <w:rPr>
          <w:sz w:val="20"/>
          <w:szCs w:val="20"/>
          <w:color w:val="auto"/>
        </w:rPr>
      </w:pPr>
    </w:p>
    <w:p>
      <w:pPr>
        <w:ind w:left="1010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708660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61" w:lineRule="exact"/>
        <w:rPr>
          <w:sz w:val="20"/>
          <w:szCs w:val="20"/>
          <w:color w:val="auto"/>
        </w:rPr>
      </w:pPr>
    </w:p>
    <w:p>
      <w:pPr>
        <w:ind w:left="1120" w:hanging="717"/>
        <w:spacing w:after="0"/>
        <w:tabs>
          <w:tab w:leader="none" w:pos="1120" w:val="left"/>
        </w:tabs>
        <w:numPr>
          <w:ilvl w:val="0"/>
          <w:numId w:val="32"/>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35" w:lineRule="exact"/>
        <w:rPr>
          <w:sz w:val="20"/>
          <w:szCs w:val="20"/>
          <w:color w:val="auto"/>
        </w:rPr>
      </w:pPr>
    </w:p>
    <w:p>
      <w:pPr>
        <w:ind w:left="1340" w:right="7540" w:hanging="942"/>
        <w:spacing w:after="0" w:line="523" w:lineRule="auto"/>
        <w:tabs>
          <w:tab w:leader="none" w:pos="1125" w:val="left"/>
        </w:tabs>
        <w:numPr>
          <w:ilvl w:val="0"/>
          <w:numId w:val="33"/>
        </w:numPr>
        <w:rPr>
          <w:rFonts w:ascii="Arial" w:cs="Arial" w:eastAsia="Arial" w:hAnsi="Arial"/>
          <w:sz w:val="18"/>
          <w:szCs w:val="18"/>
          <w:b w:val="1"/>
          <w:bCs w:val="1"/>
          <w:color w:val="auto"/>
        </w:rPr>
      </w:pPr>
      <w:r>
        <w:rPr>
          <w:rFonts w:ascii="Arial" w:cs="Arial" w:eastAsia="Arial" w:hAnsi="Arial"/>
          <w:sz w:val="18"/>
          <w:szCs w:val="18"/>
          <w:color w:val="auto"/>
        </w:rPr>
        <w:t>TYPE OF REPORTING PERSON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70866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45" w:lineRule="exact"/>
        <w:rPr>
          <w:sz w:val="20"/>
          <w:szCs w:val="20"/>
          <w:color w:val="auto"/>
        </w:rPr>
      </w:pPr>
    </w:p>
    <w:p>
      <w:pPr>
        <w:ind w:left="100" w:right="300" w:hanging="93"/>
        <w:spacing w:after="0" w:line="274" w:lineRule="auto"/>
        <w:rPr>
          <w:sz w:val="20"/>
          <w:szCs w:val="20"/>
          <w:color w:val="auto"/>
        </w:rPr>
      </w:pPr>
      <w:r>
        <w:rPr>
          <w:rFonts w:ascii="Arial" w:cs="Arial" w:eastAsia="Arial" w:hAnsi="Arial"/>
          <w:sz w:val="18"/>
          <w:szCs w:val="18"/>
          <w:color w:val="auto"/>
        </w:rPr>
        <w:t>*Percentage calculations are based on the number of shares of Common Stock outstanding as of October 31, 2018, as provided in the Issuer’s Quarterly Report on Form 10-Q for the quarterly period ended September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134620</wp:posOffset>
            </wp:positionV>
            <wp:extent cx="708660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086600" cy="25400"/>
                    </a:xfrm>
                    <a:prstGeom prst="rect">
                      <a:avLst/>
                    </a:prstGeom>
                    <a:noFill/>
                  </pic:spPr>
                </pic:pic>
              </a:graphicData>
            </a:graphic>
          </wp:anchor>
        </w:drawing>
      </w:r>
    </w:p>
    <w:p>
      <w:pPr>
        <w:sectPr>
          <w:pgSz w:w="12240" w:h="15840" w:orient="portrait"/>
          <w:cols w:equalWidth="0" w:num="1">
            <w:col w:w="11160"/>
          </w:cols>
          <w:pgMar w:left="520" w:top="598" w:right="560" w:bottom="1440" w:gutter="0" w:footer="0" w:header="0"/>
          <w:type w:val="continuous"/>
        </w:sectPr>
      </w:pPr>
    </w:p>
    <w:bookmarkStart w:id="5" w:name="page6"/>
    <w:bookmarkEnd w:id="5"/>
    <w:p>
      <w:pPr>
        <w:spacing w:after="0"/>
        <w:tabs>
          <w:tab w:leader="none" w:pos="5920" w:val="left"/>
          <w:tab w:leader="none" w:pos="814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357505</wp:posOffset>
            </wp:positionV>
            <wp:extent cx="708660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86600" cy="8255"/>
                    </a:xfrm>
                    <a:prstGeom prst="rect">
                      <a:avLst/>
                    </a:prstGeom>
                    <a:noFill/>
                  </pic:spPr>
                </pic:pic>
              </a:graphicData>
            </a:graphic>
          </wp:anchor>
        </w:drawing>
        <w:t>CUSIP No. 63845R107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6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70866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195580</wp:posOffset>
            </wp:positionV>
            <wp:extent cx="70866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ectPr>
          <w:pgSz w:w="12240" w:h="15840" w:orient="portrait"/>
          <w:cols w:equalWidth="0" w:num="1">
            <w:col w:w="11160"/>
          </w:cols>
          <w:pgMar w:left="520" w:top="598" w:right="560" w:bottom="1440" w:gutter="0" w:footer="0" w:header="0"/>
        </w:sectPr>
      </w:pPr>
    </w:p>
    <w:p>
      <w:pPr>
        <w:spacing w:after="0" w:line="387" w:lineRule="exact"/>
        <w:rPr>
          <w:sz w:val="20"/>
          <w:szCs w:val="20"/>
          <w:color w:val="auto"/>
        </w:rPr>
      </w:pPr>
    </w:p>
    <w:p>
      <w:pPr>
        <w:ind w:left="1120" w:hanging="677"/>
        <w:spacing w:after="0"/>
        <w:tabs>
          <w:tab w:leader="none" w:pos="1120" w:val="left"/>
        </w:tabs>
        <w:numPr>
          <w:ilvl w:val="0"/>
          <w:numId w:val="34"/>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 w:lineRule="exact"/>
        <w:rPr>
          <w:rFonts w:ascii="Arial" w:cs="Arial" w:eastAsia="Arial" w:hAnsi="Arial"/>
          <w:sz w:val="18"/>
          <w:szCs w:val="18"/>
          <w:b w:val="1"/>
          <w:bCs w:val="1"/>
          <w:color w:val="auto"/>
        </w:rPr>
      </w:pPr>
    </w:p>
    <w:p>
      <w:pPr>
        <w:ind w:left="1120"/>
        <w:spacing w:after="0"/>
        <w:rPr>
          <w:rFonts w:ascii="Arial" w:cs="Arial" w:eastAsia="Arial" w:hAnsi="Arial"/>
          <w:sz w:val="18"/>
          <w:szCs w:val="18"/>
          <w:b w:val="1"/>
          <w:bCs w:val="1"/>
          <w:color w:val="auto"/>
        </w:rPr>
      </w:pPr>
      <w:r>
        <w:rPr>
          <w:rFonts w:ascii="Arial" w:cs="Arial" w:eastAsia="Arial" w:hAnsi="Arial"/>
          <w:sz w:val="17"/>
          <w:szCs w:val="17"/>
          <w:color w:val="auto"/>
        </w:rPr>
        <w:t>I.R.S. IDENTIFICATION NO. OF ABOVE PERSONS (ENTITIES ONLY)</w:t>
      </w:r>
    </w:p>
    <w:p>
      <w:pPr>
        <w:spacing w:after="0" w:line="21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Berkshire Investors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35" w:lineRule="exact"/>
        <w:rPr>
          <w:sz w:val="20"/>
          <w:szCs w:val="20"/>
          <w:color w:val="auto"/>
        </w:rPr>
      </w:pPr>
    </w:p>
    <w:p>
      <w:pPr>
        <w:ind w:left="1120" w:right="3066" w:hanging="677"/>
        <w:spacing w:after="0" w:line="274" w:lineRule="auto"/>
        <w:tabs>
          <w:tab w:leader="none" w:pos="112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20" w:lineRule="exact"/>
        <w:rPr>
          <w:rFonts w:ascii="Arial" w:cs="Arial" w:eastAsia="Arial" w:hAnsi="Arial"/>
          <w:sz w:val="18"/>
          <w:szCs w:val="18"/>
          <w:b w:val="1"/>
          <w:bCs w:val="1"/>
          <w:color w:val="auto"/>
        </w:rPr>
      </w:pPr>
    </w:p>
    <w:p>
      <w:pPr>
        <w:ind w:left="1120" w:hanging="677"/>
        <w:spacing w:after="0"/>
        <w:tabs>
          <w:tab w:leader="none" w:pos="1120" w:val="left"/>
        </w:tabs>
        <w:numPr>
          <w:ilvl w:val="0"/>
          <w:numId w:val="35"/>
        </w:numPr>
        <w:rPr>
          <w:rFonts w:ascii="Arial" w:cs="Arial" w:eastAsia="Arial" w:hAnsi="Arial"/>
          <w:sz w:val="36"/>
          <w:szCs w:val="36"/>
          <w:b w:val="1"/>
          <w:bCs w:val="1"/>
          <w:color w:val="auto"/>
          <w:vertAlign w:val="subscript"/>
        </w:rPr>
      </w:pPr>
      <w:r>
        <w:rPr>
          <w:rFonts w:ascii="Arial" w:cs="Arial" w:eastAsia="Arial" w:hAnsi="Arial"/>
          <w:sz w:val="18"/>
          <w:szCs w:val="18"/>
          <w:color w:val="auto"/>
        </w:rPr>
        <w:t>SEC USE ONLY</w:t>
      </w:r>
    </w:p>
    <w:p>
      <w:pPr>
        <w:spacing w:after="0" w:line="159" w:lineRule="exact"/>
        <w:rPr>
          <w:rFonts w:ascii="Arial" w:cs="Arial" w:eastAsia="Arial" w:hAnsi="Arial"/>
          <w:sz w:val="36"/>
          <w:szCs w:val="36"/>
          <w:b w:val="1"/>
          <w:bCs w:val="1"/>
          <w:color w:val="auto"/>
          <w:vertAlign w:val="subscript"/>
        </w:rPr>
      </w:pPr>
    </w:p>
    <w:p>
      <w:pPr>
        <w:ind w:left="1120" w:hanging="677"/>
        <w:spacing w:after="0"/>
        <w:tabs>
          <w:tab w:leader="none" w:pos="1120" w:val="left"/>
        </w:tabs>
        <w:numPr>
          <w:ilvl w:val="0"/>
          <w:numId w:val="35"/>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-181610</wp:posOffset>
            </wp:positionV>
            <wp:extent cx="70866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-402590</wp:posOffset>
            </wp:positionV>
            <wp:extent cx="708660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8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35" w:lineRule="exact"/>
        <w:rPr>
          <w:sz w:val="20"/>
          <w:szCs w:val="20"/>
          <w:color w:val="auto"/>
        </w:rPr>
      </w:pPr>
    </w:p>
    <w:p>
      <w:pPr>
        <w:ind w:left="3460" w:right="4026" w:hanging="891"/>
        <w:spacing w:after="0" w:line="388" w:lineRule="auto"/>
        <w:tabs>
          <w:tab w:leader="none" w:pos="3245" w:val="left"/>
        </w:tabs>
        <w:numPr>
          <w:ilvl w:val="0"/>
          <w:numId w:val="36"/>
        </w:numPr>
        <w:rPr>
          <w:rFonts w:ascii="Arial" w:cs="Arial" w:eastAsia="Arial" w:hAnsi="Arial"/>
          <w:sz w:val="18"/>
          <w:szCs w:val="18"/>
          <w:b w:val="1"/>
          <w:bCs w:val="1"/>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34" w:hanging="234"/>
        <w:spacing w:after="0"/>
        <w:tabs>
          <w:tab w:leader="none" w:pos="234" w:val="left"/>
        </w:tabs>
        <w:numPr>
          <w:ilvl w:val="0"/>
          <w:numId w:val="37"/>
        </w:numPr>
        <w:rPr>
          <w:rFonts w:ascii="Arial" w:cs="Arial" w:eastAsia="Arial" w:hAnsi="Arial"/>
          <w:sz w:val="18"/>
          <w:szCs w:val="18"/>
          <w:color w:val="auto"/>
        </w:rPr>
      </w:pPr>
      <w:r>
        <w:rPr>
          <w:rFonts w:ascii="Arial" w:cs="Arial" w:eastAsia="Arial" w:hAnsi="Arial"/>
          <w:sz w:val="18"/>
          <w:szCs w:val="18"/>
          <w:color w:val="auto"/>
        </w:rPr>
        <w:t>[  ]</w:t>
      </w:r>
    </w:p>
    <w:p>
      <w:pPr>
        <w:spacing w:after="0" w:line="88" w:lineRule="exact"/>
        <w:rPr>
          <w:rFonts w:ascii="Arial" w:cs="Arial" w:eastAsia="Arial" w:hAnsi="Arial"/>
          <w:sz w:val="18"/>
          <w:szCs w:val="18"/>
          <w:color w:val="auto"/>
        </w:rPr>
      </w:pPr>
    </w:p>
    <w:p>
      <w:pPr>
        <w:ind w:left="254" w:hanging="254"/>
        <w:spacing w:after="0"/>
        <w:tabs>
          <w:tab w:leader="none" w:pos="254" w:val="left"/>
        </w:tabs>
        <w:numPr>
          <w:ilvl w:val="0"/>
          <w:numId w:val="37"/>
        </w:numPr>
        <w:rPr>
          <w:rFonts w:ascii="Arial" w:cs="Arial" w:eastAsia="Arial" w:hAnsi="Arial"/>
          <w:sz w:val="18"/>
          <w:szCs w:val="18"/>
          <w:color w:val="auto"/>
        </w:rPr>
      </w:pPr>
      <w:r>
        <w:rPr>
          <w:rFonts w:ascii="Arial" w:cs="Arial" w:eastAsia="Arial" w:hAnsi="Arial"/>
          <w:sz w:val="18"/>
          <w:szCs w:val="18"/>
          <w:color w:val="auto"/>
        </w:rPr>
        <w:t>[X]</w:t>
      </w:r>
    </w:p>
    <w:p>
      <w:pPr>
        <w:spacing w:after="0" w:line="2207" w:lineRule="exact"/>
        <w:rPr>
          <w:sz w:val="20"/>
          <w:szCs w:val="20"/>
          <w:color w:val="auto"/>
        </w:rPr>
      </w:pPr>
    </w:p>
    <w:p>
      <w:pPr>
        <w:sectPr>
          <w:pgSz w:w="12240" w:h="15840" w:orient="portrait"/>
          <w:cols w:equalWidth="0" w:num="2">
            <w:col w:w="9126" w:space="720"/>
            <w:col w:w="1314"/>
          </w:cols>
          <w:pgMar w:left="520" w:top="598" w:right="560" w:bottom="1440" w:gutter="0" w:footer="0" w:header="0"/>
          <w:type w:val="continuous"/>
        </w:sectPr>
      </w:pPr>
    </w:p>
    <w:tbl>
      <w:tblPr>
        <w:tblLayout w:type="fixed"/>
        <w:tblInd w:w="440" w:type="dxa"/>
        <w:tblCellMar>
          <w:top w:w="0" w:type="dxa"/>
          <w:left w:w="0" w:type="dxa"/>
          <w:bottom w:w="0" w:type="dxa"/>
          <w:right w:w="0" w:type="dxa"/>
        </w:tblCellMar>
      </w:tblPr>
      <w:tr>
        <w:trPr>
          <w:trHeight w:val="41"/>
        </w:trPr>
        <w:tc>
          <w:tcPr>
            <w:tcW w:w="1700" w:type="dxa"/>
            <w:vAlign w:val="bottom"/>
            <w:vMerge w:val="restart"/>
          </w:tcPr>
          <w:p>
            <w:pPr>
              <w:jc w:val="center"/>
              <w:ind w:right="371"/>
              <w:spacing w:after="0"/>
              <w:rPr>
                <w:sz w:val="20"/>
                <w:szCs w:val="20"/>
                <w:color w:val="auto"/>
              </w:rPr>
            </w:pPr>
            <w:r>
              <w:rPr>
                <w:rFonts w:ascii="Arial" w:cs="Arial" w:eastAsia="Arial" w:hAnsi="Arial"/>
                <w:sz w:val="18"/>
                <w:szCs w:val="18"/>
                <w:color w:val="auto"/>
                <w:w w:val="96"/>
              </w:rPr>
              <w:t>NUMBER OF</w:t>
            </w:r>
          </w:p>
        </w:tc>
        <w:tc>
          <w:tcPr>
            <w:tcW w:w="840" w:type="dxa"/>
            <w:vAlign w:val="bottom"/>
            <w:tcBorders>
              <w:bottom w:val="single" w:sz="8" w:color="auto"/>
            </w:tcBorders>
          </w:tcPr>
          <w:p>
            <w:pPr>
              <w:spacing w:after="0"/>
              <w:rPr>
                <w:sz w:val="3"/>
                <w:szCs w:val="3"/>
                <w:color w:val="auto"/>
              </w:rPr>
            </w:pPr>
          </w:p>
        </w:tc>
        <w:tc>
          <w:tcPr>
            <w:tcW w:w="8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700" w:type="dxa"/>
            <w:vAlign w:val="bottom"/>
            <w:vMerge w:val="continue"/>
          </w:tcPr>
          <w:p>
            <w:pPr>
              <w:spacing w:after="0"/>
              <w:rPr>
                <w:sz w:val="13"/>
                <w:szCs w:val="13"/>
                <w:color w:val="auto"/>
              </w:rPr>
            </w:pPr>
          </w:p>
        </w:tc>
        <w:tc>
          <w:tcPr>
            <w:tcW w:w="840" w:type="dxa"/>
            <w:vAlign w:val="bottom"/>
            <w:vMerge w:val="restart"/>
          </w:tcPr>
          <w:p>
            <w:pPr>
              <w:jc w:val="right"/>
              <w:ind w:right="191"/>
              <w:spacing w:after="0"/>
              <w:rPr>
                <w:sz w:val="20"/>
                <w:szCs w:val="20"/>
                <w:color w:val="auto"/>
              </w:rPr>
            </w:pPr>
            <w:r>
              <w:rPr>
                <w:rFonts w:ascii="Arial" w:cs="Arial" w:eastAsia="Arial" w:hAnsi="Arial"/>
                <w:sz w:val="18"/>
                <w:szCs w:val="18"/>
                <w:b w:val="1"/>
                <w:bCs w:val="1"/>
                <w:color w:val="auto"/>
              </w:rPr>
              <w:t>6.</w:t>
            </w:r>
          </w:p>
        </w:tc>
        <w:tc>
          <w:tcPr>
            <w:tcW w:w="818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5"/>
        </w:trPr>
        <w:tc>
          <w:tcPr>
            <w:tcW w:w="1700" w:type="dxa"/>
            <w:vAlign w:val="bottom"/>
            <w:vMerge w:val="restart"/>
          </w:tcPr>
          <w:p>
            <w:pPr>
              <w:jc w:val="center"/>
              <w:ind w:right="371"/>
              <w:spacing w:after="0"/>
              <w:rPr>
                <w:sz w:val="20"/>
                <w:szCs w:val="20"/>
                <w:color w:val="auto"/>
              </w:rPr>
            </w:pPr>
            <w:r>
              <w:rPr>
                <w:rFonts w:ascii="Arial" w:cs="Arial" w:eastAsia="Arial" w:hAnsi="Arial"/>
                <w:sz w:val="18"/>
                <w:szCs w:val="18"/>
                <w:color w:val="auto"/>
                <w:w w:val="91"/>
              </w:rPr>
              <w:t>SHARES</w:t>
            </w:r>
          </w:p>
        </w:tc>
        <w:tc>
          <w:tcPr>
            <w:tcW w:w="840" w:type="dxa"/>
            <w:vAlign w:val="bottom"/>
            <w:vMerge w:val="continue"/>
          </w:tcPr>
          <w:p>
            <w:pPr>
              <w:spacing w:after="0"/>
              <w:rPr>
                <w:sz w:val="11"/>
                <w:szCs w:val="11"/>
                <w:color w:val="auto"/>
              </w:rPr>
            </w:pPr>
          </w:p>
        </w:tc>
        <w:tc>
          <w:tcPr>
            <w:tcW w:w="8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70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8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1700" w:type="dxa"/>
            <w:vAlign w:val="bottom"/>
          </w:tcPr>
          <w:p>
            <w:pPr>
              <w:jc w:val="center"/>
              <w:ind w:right="351"/>
              <w:spacing w:after="0"/>
              <w:rPr>
                <w:sz w:val="20"/>
                <w:szCs w:val="20"/>
                <w:color w:val="auto"/>
              </w:rPr>
            </w:pPr>
            <w:r>
              <w:rPr>
                <w:rFonts w:ascii="Arial" w:cs="Arial" w:eastAsia="Arial" w:hAnsi="Arial"/>
                <w:sz w:val="18"/>
                <w:szCs w:val="18"/>
                <w:color w:val="auto"/>
                <w:w w:val="99"/>
              </w:rPr>
              <w:t>BENEFICIALLY</w:t>
            </w:r>
          </w:p>
        </w:tc>
        <w:tc>
          <w:tcPr>
            <w:tcW w:w="840" w:type="dxa"/>
            <w:vAlign w:val="bottom"/>
          </w:tcPr>
          <w:p>
            <w:pPr>
              <w:spacing w:after="0"/>
              <w:rPr>
                <w:sz w:val="18"/>
                <w:szCs w:val="18"/>
                <w:color w:val="auto"/>
              </w:rPr>
            </w:pPr>
          </w:p>
        </w:tc>
        <w:tc>
          <w:tcPr>
            <w:tcW w:w="8180" w:type="dxa"/>
            <w:vAlign w:val="bottom"/>
            <w:vMerge w:val="restart"/>
          </w:tcPr>
          <w:p>
            <w:pPr>
              <w:ind w:left="480"/>
              <w:spacing w:after="0"/>
              <w:rPr>
                <w:sz w:val="20"/>
                <w:szCs w:val="20"/>
                <w:color w:val="auto"/>
              </w:rPr>
            </w:pPr>
            <w:r>
              <w:rPr>
                <w:rFonts w:ascii="Arial" w:cs="Arial" w:eastAsia="Arial" w:hAnsi="Arial"/>
                <w:sz w:val="18"/>
                <w:szCs w:val="18"/>
                <w:color w:val="auto"/>
              </w:rPr>
              <w:t>27,300</w:t>
            </w:r>
          </w:p>
        </w:tc>
        <w:tc>
          <w:tcPr>
            <w:tcW w:w="0" w:type="dxa"/>
            <w:vAlign w:val="bottom"/>
          </w:tcPr>
          <w:p>
            <w:pPr>
              <w:spacing w:after="0"/>
              <w:rPr>
                <w:sz w:val="1"/>
                <w:szCs w:val="1"/>
                <w:color w:val="auto"/>
              </w:rPr>
            </w:pPr>
          </w:p>
        </w:tc>
      </w:tr>
      <w:tr>
        <w:trPr>
          <w:trHeight w:val="229"/>
        </w:trPr>
        <w:tc>
          <w:tcPr>
            <w:tcW w:w="1700" w:type="dxa"/>
            <w:vAlign w:val="bottom"/>
          </w:tcPr>
          <w:p>
            <w:pPr>
              <w:jc w:val="center"/>
              <w:ind w:right="371"/>
              <w:spacing w:after="0"/>
              <w:rPr>
                <w:sz w:val="20"/>
                <w:szCs w:val="20"/>
                <w:color w:val="auto"/>
              </w:rPr>
            </w:pPr>
            <w:r>
              <w:rPr>
                <w:rFonts w:ascii="Arial" w:cs="Arial" w:eastAsia="Arial" w:hAnsi="Arial"/>
                <w:sz w:val="18"/>
                <w:szCs w:val="18"/>
                <w:color w:val="auto"/>
                <w:w w:val="97"/>
              </w:rPr>
              <w:t>OWNED BY</w:t>
            </w:r>
          </w:p>
        </w:tc>
        <w:tc>
          <w:tcPr>
            <w:tcW w:w="840" w:type="dxa"/>
            <w:vAlign w:val="bottom"/>
            <w:tcBorders>
              <w:bottom w:val="single" w:sz="8" w:color="auto"/>
            </w:tcBorders>
          </w:tcPr>
          <w:p>
            <w:pPr>
              <w:spacing w:after="0"/>
              <w:rPr>
                <w:sz w:val="19"/>
                <w:szCs w:val="19"/>
                <w:color w:val="auto"/>
              </w:rPr>
            </w:pPr>
          </w:p>
        </w:tc>
        <w:tc>
          <w:tcPr>
            <w:tcW w:w="8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700" w:type="dxa"/>
            <w:vAlign w:val="bottom"/>
          </w:tcPr>
          <w:p>
            <w:pPr>
              <w:jc w:val="center"/>
              <w:ind w:right="371"/>
              <w:spacing w:after="0" w:line="181" w:lineRule="exact"/>
              <w:rPr>
                <w:sz w:val="20"/>
                <w:szCs w:val="20"/>
                <w:color w:val="auto"/>
              </w:rPr>
            </w:pPr>
            <w:r>
              <w:rPr>
                <w:rFonts w:ascii="Arial" w:cs="Arial" w:eastAsia="Arial" w:hAnsi="Arial"/>
                <w:sz w:val="18"/>
                <w:szCs w:val="18"/>
                <w:color w:val="auto"/>
                <w:w w:val="95"/>
              </w:rPr>
              <w:t>EACH</w:t>
            </w:r>
          </w:p>
        </w:tc>
        <w:tc>
          <w:tcPr>
            <w:tcW w:w="840" w:type="dxa"/>
            <w:vAlign w:val="bottom"/>
            <w:vMerge w:val="restart"/>
          </w:tcPr>
          <w:p>
            <w:pPr>
              <w:jc w:val="right"/>
              <w:ind w:right="191"/>
              <w:spacing w:after="0"/>
              <w:rPr>
                <w:sz w:val="20"/>
                <w:szCs w:val="20"/>
                <w:color w:val="auto"/>
              </w:rPr>
            </w:pPr>
            <w:r>
              <w:rPr>
                <w:rFonts w:ascii="Arial" w:cs="Arial" w:eastAsia="Arial" w:hAnsi="Arial"/>
                <w:sz w:val="18"/>
                <w:szCs w:val="18"/>
                <w:b w:val="1"/>
                <w:bCs w:val="1"/>
                <w:color w:val="auto"/>
              </w:rPr>
              <w:t>7.</w:t>
            </w:r>
          </w:p>
        </w:tc>
        <w:tc>
          <w:tcPr>
            <w:tcW w:w="818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9"/>
        </w:trPr>
        <w:tc>
          <w:tcPr>
            <w:tcW w:w="1700" w:type="dxa"/>
            <w:vAlign w:val="bottom"/>
            <w:vMerge w:val="restart"/>
          </w:tcPr>
          <w:p>
            <w:pPr>
              <w:jc w:val="center"/>
              <w:ind w:right="351"/>
              <w:spacing w:after="0"/>
              <w:rPr>
                <w:sz w:val="20"/>
                <w:szCs w:val="20"/>
                <w:color w:val="auto"/>
              </w:rPr>
            </w:pPr>
            <w:r>
              <w:rPr>
                <w:rFonts w:ascii="Arial" w:cs="Arial" w:eastAsia="Arial" w:hAnsi="Arial"/>
                <w:sz w:val="18"/>
                <w:szCs w:val="18"/>
                <w:color w:val="auto"/>
                <w:w w:val="91"/>
              </w:rPr>
              <w:t>REPORTING</w:t>
            </w:r>
          </w:p>
        </w:tc>
        <w:tc>
          <w:tcPr>
            <w:tcW w:w="840" w:type="dxa"/>
            <w:vAlign w:val="bottom"/>
            <w:vMerge w:val="continue"/>
          </w:tcPr>
          <w:p>
            <w:pPr>
              <w:spacing w:after="0"/>
              <w:rPr>
                <w:sz w:val="9"/>
                <w:szCs w:val="9"/>
                <w:color w:val="auto"/>
              </w:rPr>
            </w:pPr>
          </w:p>
        </w:tc>
        <w:tc>
          <w:tcPr>
            <w:tcW w:w="8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700" w:type="dxa"/>
            <w:vAlign w:val="bottom"/>
            <w:vMerge w:val="continue"/>
          </w:tcPr>
          <w:p>
            <w:pPr>
              <w:spacing w:after="0"/>
              <w:rPr>
                <w:sz w:val="9"/>
                <w:szCs w:val="9"/>
                <w:color w:val="auto"/>
              </w:rPr>
            </w:pPr>
          </w:p>
        </w:tc>
        <w:tc>
          <w:tcPr>
            <w:tcW w:w="840" w:type="dxa"/>
            <w:vAlign w:val="bottom"/>
          </w:tcPr>
          <w:p>
            <w:pPr>
              <w:spacing w:after="0"/>
              <w:rPr>
                <w:sz w:val="9"/>
                <w:szCs w:val="9"/>
                <w:color w:val="auto"/>
              </w:rPr>
            </w:pPr>
          </w:p>
        </w:tc>
        <w:tc>
          <w:tcPr>
            <w:tcW w:w="8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5"/>
        </w:trPr>
        <w:tc>
          <w:tcPr>
            <w:tcW w:w="1700" w:type="dxa"/>
            <w:vAlign w:val="bottom"/>
          </w:tcPr>
          <w:p>
            <w:pPr>
              <w:jc w:val="center"/>
              <w:ind w:right="371"/>
              <w:spacing w:after="0"/>
              <w:rPr>
                <w:sz w:val="20"/>
                <w:szCs w:val="20"/>
                <w:color w:val="auto"/>
              </w:rPr>
            </w:pPr>
            <w:r>
              <w:rPr>
                <w:rFonts w:ascii="Arial" w:cs="Arial" w:eastAsia="Arial" w:hAnsi="Arial"/>
                <w:sz w:val="18"/>
                <w:szCs w:val="18"/>
                <w:color w:val="auto"/>
                <w:w w:val="89"/>
              </w:rPr>
              <w:t>PERSON</w:t>
            </w:r>
          </w:p>
        </w:tc>
        <w:tc>
          <w:tcPr>
            <w:tcW w:w="840" w:type="dxa"/>
            <w:vAlign w:val="bottom"/>
          </w:tcPr>
          <w:p>
            <w:pPr>
              <w:spacing w:after="0"/>
              <w:rPr>
                <w:sz w:val="18"/>
                <w:szCs w:val="18"/>
                <w:color w:val="auto"/>
              </w:rPr>
            </w:pPr>
          </w:p>
        </w:tc>
        <w:tc>
          <w:tcPr>
            <w:tcW w:w="8180" w:type="dxa"/>
            <w:vAlign w:val="bottom"/>
            <w:vMerge w:val="restart"/>
          </w:tcPr>
          <w:p>
            <w:pPr>
              <w:ind w:left="4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700" w:type="dxa"/>
            <w:vAlign w:val="bottom"/>
            <w:vMerge w:val="restart"/>
          </w:tcPr>
          <w:p>
            <w:pPr>
              <w:jc w:val="center"/>
              <w:ind w:right="371"/>
              <w:spacing w:after="0" w:line="156" w:lineRule="exact"/>
              <w:rPr>
                <w:sz w:val="20"/>
                <w:szCs w:val="20"/>
                <w:color w:val="auto"/>
              </w:rPr>
            </w:pPr>
            <w:r>
              <w:rPr>
                <w:rFonts w:ascii="Arial" w:cs="Arial" w:eastAsia="Arial" w:hAnsi="Arial"/>
                <w:sz w:val="18"/>
                <w:szCs w:val="18"/>
                <w:color w:val="auto"/>
              </w:rPr>
              <w:t>WITH:</w:t>
            </w:r>
          </w:p>
        </w:tc>
        <w:tc>
          <w:tcPr>
            <w:tcW w:w="840" w:type="dxa"/>
            <w:vAlign w:val="bottom"/>
          </w:tcPr>
          <w:p>
            <w:pPr>
              <w:spacing w:after="0"/>
              <w:rPr>
                <w:sz w:val="9"/>
                <w:szCs w:val="9"/>
                <w:color w:val="auto"/>
              </w:rPr>
            </w:pPr>
          </w:p>
        </w:tc>
        <w:tc>
          <w:tcPr>
            <w:tcW w:w="8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700" w:type="dxa"/>
            <w:vAlign w:val="bottom"/>
            <w:vMerge w:val="continue"/>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1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1700" w:type="dxa"/>
            <w:vAlign w:val="bottom"/>
          </w:tcPr>
          <w:p>
            <w:pPr>
              <w:spacing w:after="0"/>
              <w:rPr>
                <w:sz w:val="24"/>
                <w:szCs w:val="24"/>
                <w:color w:val="auto"/>
              </w:rPr>
            </w:pPr>
          </w:p>
        </w:tc>
        <w:tc>
          <w:tcPr>
            <w:tcW w:w="840" w:type="dxa"/>
            <w:vAlign w:val="bottom"/>
          </w:tcPr>
          <w:p>
            <w:pPr>
              <w:jc w:val="right"/>
              <w:ind w:right="191"/>
              <w:spacing w:after="0"/>
              <w:rPr>
                <w:sz w:val="20"/>
                <w:szCs w:val="20"/>
                <w:color w:val="auto"/>
              </w:rPr>
            </w:pPr>
            <w:r>
              <w:rPr>
                <w:rFonts w:ascii="Arial" w:cs="Arial" w:eastAsia="Arial" w:hAnsi="Arial"/>
                <w:sz w:val="18"/>
                <w:szCs w:val="18"/>
                <w:b w:val="1"/>
                <w:bCs w:val="1"/>
                <w:color w:val="auto"/>
              </w:rPr>
              <w:t>8.</w:t>
            </w:r>
          </w:p>
        </w:tc>
        <w:tc>
          <w:tcPr>
            <w:tcW w:w="8180" w:type="dxa"/>
            <w:vAlign w:val="bottom"/>
          </w:tcPr>
          <w:p>
            <w:pPr>
              <w:ind w:left="2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54"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27,300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0866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22" w:lineRule="exact"/>
        <w:rPr>
          <w:sz w:val="20"/>
          <w:szCs w:val="20"/>
          <w:color w:val="auto"/>
        </w:rPr>
      </w:pPr>
    </w:p>
    <w:p>
      <w:pPr>
        <w:ind w:left="1120" w:hanging="677"/>
        <w:spacing w:after="0"/>
        <w:tabs>
          <w:tab w:leader="none" w:pos="1120" w:val="left"/>
        </w:tabs>
        <w:numPr>
          <w:ilvl w:val="0"/>
          <w:numId w:val="38"/>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27,300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0866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22" w:lineRule="exact"/>
        <w:rPr>
          <w:sz w:val="20"/>
          <w:szCs w:val="20"/>
          <w:color w:val="auto"/>
        </w:rPr>
      </w:pPr>
    </w:p>
    <w:p>
      <w:pPr>
        <w:ind w:left="1120" w:hanging="722"/>
        <w:spacing w:after="0"/>
        <w:tabs>
          <w:tab w:leader="none" w:pos="1120" w:val="left"/>
        </w:tabs>
        <w:numPr>
          <w:ilvl w:val="0"/>
          <w:numId w:val="39"/>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w:t>
      </w:r>
    </w:p>
    <w:p>
      <w:pPr>
        <w:spacing w:after="0" w:line="22" w:lineRule="exact"/>
        <w:rPr>
          <w:sz w:val="20"/>
          <w:szCs w:val="20"/>
          <w:color w:val="auto"/>
        </w:rPr>
      </w:pPr>
    </w:p>
    <w:p>
      <w:pPr>
        <w:ind w:left="1010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708660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61" w:lineRule="exact"/>
        <w:rPr>
          <w:sz w:val="20"/>
          <w:szCs w:val="20"/>
          <w:color w:val="auto"/>
        </w:rPr>
      </w:pPr>
    </w:p>
    <w:p>
      <w:pPr>
        <w:ind w:left="1120" w:hanging="717"/>
        <w:spacing w:after="0"/>
        <w:tabs>
          <w:tab w:leader="none" w:pos="1120" w:val="left"/>
        </w:tabs>
        <w:numPr>
          <w:ilvl w:val="0"/>
          <w:numId w:val="40"/>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Less than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35" w:lineRule="exact"/>
        <w:rPr>
          <w:sz w:val="20"/>
          <w:szCs w:val="20"/>
          <w:color w:val="auto"/>
        </w:rPr>
      </w:pPr>
    </w:p>
    <w:p>
      <w:pPr>
        <w:ind w:left="1340" w:right="7540" w:hanging="942"/>
        <w:spacing w:after="0" w:line="523" w:lineRule="auto"/>
        <w:tabs>
          <w:tab w:leader="none" w:pos="1125" w:val="left"/>
        </w:tabs>
        <w:numPr>
          <w:ilvl w:val="0"/>
          <w:numId w:val="41"/>
        </w:numPr>
        <w:rPr>
          <w:rFonts w:ascii="Arial" w:cs="Arial" w:eastAsia="Arial" w:hAnsi="Arial"/>
          <w:sz w:val="18"/>
          <w:szCs w:val="18"/>
          <w:b w:val="1"/>
          <w:bCs w:val="1"/>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70866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45" w:lineRule="exact"/>
        <w:rPr>
          <w:sz w:val="20"/>
          <w:szCs w:val="20"/>
          <w:color w:val="auto"/>
        </w:rPr>
      </w:pPr>
    </w:p>
    <w:p>
      <w:pPr>
        <w:ind w:left="100" w:right="300" w:hanging="93"/>
        <w:spacing w:after="0" w:line="274" w:lineRule="auto"/>
        <w:rPr>
          <w:sz w:val="20"/>
          <w:szCs w:val="20"/>
          <w:color w:val="auto"/>
        </w:rPr>
      </w:pPr>
      <w:r>
        <w:rPr>
          <w:rFonts w:ascii="Arial" w:cs="Arial" w:eastAsia="Arial" w:hAnsi="Arial"/>
          <w:sz w:val="18"/>
          <w:szCs w:val="18"/>
          <w:color w:val="auto"/>
        </w:rPr>
        <w:t>*Percentage calculations are based on the number of shares of Common Stock outstanding as of October 31, 2018, as provided in the Issuer’s Quarterly Report on Form 10-Q for the quarterly period ended September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203200</wp:posOffset>
            </wp:positionV>
            <wp:extent cx="708660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86600" cy="25400"/>
                    </a:xfrm>
                    <a:prstGeom prst="rect">
                      <a:avLst/>
                    </a:prstGeom>
                    <a:noFill/>
                  </pic:spPr>
                </pic:pic>
              </a:graphicData>
            </a:graphic>
          </wp:anchor>
        </w:drawing>
      </w:r>
    </w:p>
    <w:p>
      <w:pPr>
        <w:sectPr>
          <w:pgSz w:w="12240" w:h="15840" w:orient="portrait"/>
          <w:cols w:equalWidth="0" w:num="1">
            <w:col w:w="11160"/>
          </w:cols>
          <w:pgMar w:left="520" w:top="598" w:right="560" w:bottom="1440" w:gutter="0" w:footer="0" w:header="0"/>
          <w:type w:val="continuous"/>
        </w:sectPr>
      </w:pPr>
    </w:p>
    <w:bookmarkStart w:id="6" w:name="page7"/>
    <w:bookmarkEnd w:id="6"/>
    <w:p>
      <w:pPr>
        <w:spacing w:after="0"/>
        <w:tabs>
          <w:tab w:leader="none" w:pos="5920" w:val="left"/>
          <w:tab w:leader="none" w:pos="8140" w:val="left"/>
        </w:tabs>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330200</wp:posOffset>
            </wp:positionH>
            <wp:positionV relativeFrom="page">
              <wp:posOffset>357505</wp:posOffset>
            </wp:positionV>
            <wp:extent cx="70866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86600" cy="8255"/>
                    </a:xfrm>
                    <a:prstGeom prst="rect">
                      <a:avLst/>
                    </a:prstGeom>
                    <a:noFill/>
                  </pic:spPr>
                </pic:pic>
              </a:graphicData>
            </a:graphic>
          </wp:anchor>
        </w:drawing>
        <w:t>CUSIP No. 63845R107</w:t>
      </w:r>
      <w:r>
        <w:rPr>
          <w:sz w:val="20"/>
          <w:szCs w:val="20"/>
          <w:color w:val="auto"/>
        </w:rPr>
        <w:tab/>
      </w:r>
      <w:r>
        <w:rPr>
          <w:rFonts w:ascii="Arial" w:cs="Arial" w:eastAsia="Arial" w:hAnsi="Arial"/>
          <w:sz w:val="18"/>
          <w:szCs w:val="18"/>
          <w:b w:val="1"/>
          <w:bCs w:val="1"/>
          <w:color w:val="auto"/>
        </w:rPr>
        <w:t>13G</w:t>
      </w:r>
      <w:r>
        <w:rPr>
          <w:sz w:val="20"/>
          <w:szCs w:val="20"/>
          <w:color w:val="auto"/>
        </w:rPr>
        <w:tab/>
      </w:r>
      <w:r>
        <w:rPr>
          <w:rFonts w:ascii="Arial" w:cs="Arial" w:eastAsia="Arial" w:hAnsi="Arial"/>
          <w:sz w:val="15"/>
          <w:szCs w:val="15"/>
          <w:color w:val="auto"/>
        </w:rPr>
        <w:t>Page 7 of 13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50800</wp:posOffset>
            </wp:positionV>
            <wp:extent cx="70866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195580</wp:posOffset>
            </wp:positionV>
            <wp:extent cx="708660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ectPr>
          <w:pgSz w:w="12240" w:h="15840" w:orient="portrait"/>
          <w:cols w:equalWidth="0" w:num="1">
            <w:col w:w="11160"/>
          </w:cols>
          <w:pgMar w:left="520" w:top="598" w:right="560" w:bottom="1440" w:gutter="0" w:footer="0" w:header="0"/>
        </w:sectPr>
      </w:pPr>
    </w:p>
    <w:p>
      <w:pPr>
        <w:spacing w:after="0" w:line="387" w:lineRule="exact"/>
        <w:rPr>
          <w:sz w:val="20"/>
          <w:szCs w:val="20"/>
          <w:color w:val="auto"/>
        </w:rPr>
      </w:pPr>
    </w:p>
    <w:p>
      <w:pPr>
        <w:ind w:left="1120" w:hanging="677"/>
        <w:spacing w:after="0"/>
        <w:tabs>
          <w:tab w:leader="none" w:pos="1120" w:val="left"/>
        </w:tabs>
        <w:numPr>
          <w:ilvl w:val="0"/>
          <w:numId w:val="42"/>
        </w:numPr>
        <w:rPr>
          <w:rFonts w:ascii="Arial" w:cs="Arial" w:eastAsia="Arial" w:hAnsi="Arial"/>
          <w:sz w:val="18"/>
          <w:szCs w:val="18"/>
          <w:b w:val="1"/>
          <w:bCs w:val="1"/>
          <w:color w:val="auto"/>
        </w:rPr>
      </w:pPr>
      <w:r>
        <w:rPr>
          <w:rFonts w:ascii="Arial" w:cs="Arial" w:eastAsia="Arial" w:hAnsi="Arial"/>
          <w:sz w:val="18"/>
          <w:szCs w:val="18"/>
          <w:color w:val="auto"/>
        </w:rPr>
        <w:t>NAMES OF REPORTING PERSONS</w:t>
      </w:r>
    </w:p>
    <w:p>
      <w:pPr>
        <w:spacing w:after="0" w:line="22" w:lineRule="exact"/>
        <w:rPr>
          <w:rFonts w:ascii="Arial" w:cs="Arial" w:eastAsia="Arial" w:hAnsi="Arial"/>
          <w:sz w:val="18"/>
          <w:szCs w:val="18"/>
          <w:b w:val="1"/>
          <w:bCs w:val="1"/>
          <w:color w:val="auto"/>
        </w:rPr>
      </w:pPr>
    </w:p>
    <w:p>
      <w:pPr>
        <w:ind w:left="1120"/>
        <w:spacing w:after="0"/>
        <w:rPr>
          <w:rFonts w:ascii="Arial" w:cs="Arial" w:eastAsia="Arial" w:hAnsi="Arial"/>
          <w:sz w:val="18"/>
          <w:szCs w:val="18"/>
          <w:b w:val="1"/>
          <w:bCs w:val="1"/>
          <w:color w:val="auto"/>
        </w:rPr>
      </w:pPr>
      <w:r>
        <w:rPr>
          <w:rFonts w:ascii="Arial" w:cs="Arial" w:eastAsia="Arial" w:hAnsi="Arial"/>
          <w:sz w:val="17"/>
          <w:szCs w:val="17"/>
          <w:color w:val="auto"/>
        </w:rPr>
        <w:t>I.R.S. IDENTIFICATION NO. OF ABOVE PERSONS (ENTITIES ONLY)</w:t>
      </w:r>
    </w:p>
    <w:p>
      <w:pPr>
        <w:spacing w:after="0" w:line="219"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Berkshire Investors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35" w:lineRule="exact"/>
        <w:rPr>
          <w:sz w:val="20"/>
          <w:szCs w:val="20"/>
          <w:color w:val="auto"/>
        </w:rPr>
      </w:pPr>
    </w:p>
    <w:p>
      <w:pPr>
        <w:ind w:left="1120" w:right="3066" w:hanging="677"/>
        <w:spacing w:after="0" w:line="274" w:lineRule="auto"/>
        <w:tabs>
          <w:tab w:leader="none" w:pos="112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CHECK THE APPROPRIATE BOX IF A MEMBER OF A GROUP (see instructions)</w:t>
      </w:r>
    </w:p>
    <w:p>
      <w:pPr>
        <w:spacing w:after="0" w:line="120" w:lineRule="exact"/>
        <w:rPr>
          <w:rFonts w:ascii="Arial" w:cs="Arial" w:eastAsia="Arial" w:hAnsi="Arial"/>
          <w:sz w:val="18"/>
          <w:szCs w:val="18"/>
          <w:b w:val="1"/>
          <w:bCs w:val="1"/>
          <w:color w:val="auto"/>
        </w:rPr>
      </w:pPr>
    </w:p>
    <w:p>
      <w:pPr>
        <w:ind w:left="1120" w:hanging="677"/>
        <w:spacing w:after="0"/>
        <w:tabs>
          <w:tab w:leader="none" w:pos="1120" w:val="left"/>
        </w:tabs>
        <w:numPr>
          <w:ilvl w:val="0"/>
          <w:numId w:val="43"/>
        </w:numPr>
        <w:rPr>
          <w:rFonts w:ascii="Arial" w:cs="Arial" w:eastAsia="Arial" w:hAnsi="Arial"/>
          <w:sz w:val="36"/>
          <w:szCs w:val="36"/>
          <w:b w:val="1"/>
          <w:bCs w:val="1"/>
          <w:color w:val="auto"/>
          <w:vertAlign w:val="subscript"/>
        </w:rPr>
      </w:pPr>
      <w:r>
        <w:rPr>
          <w:rFonts w:ascii="Arial" w:cs="Arial" w:eastAsia="Arial" w:hAnsi="Arial"/>
          <w:sz w:val="18"/>
          <w:szCs w:val="18"/>
          <w:color w:val="auto"/>
        </w:rPr>
        <w:t>SEC USE ONLY</w:t>
      </w:r>
    </w:p>
    <w:p>
      <w:pPr>
        <w:spacing w:after="0" w:line="159" w:lineRule="exact"/>
        <w:rPr>
          <w:rFonts w:ascii="Arial" w:cs="Arial" w:eastAsia="Arial" w:hAnsi="Arial"/>
          <w:sz w:val="36"/>
          <w:szCs w:val="36"/>
          <w:b w:val="1"/>
          <w:bCs w:val="1"/>
          <w:color w:val="auto"/>
          <w:vertAlign w:val="subscript"/>
        </w:rPr>
      </w:pPr>
    </w:p>
    <w:p>
      <w:pPr>
        <w:ind w:left="1120" w:hanging="677"/>
        <w:spacing w:after="0"/>
        <w:tabs>
          <w:tab w:leader="none" w:pos="1120" w:val="left"/>
        </w:tabs>
        <w:numPr>
          <w:ilvl w:val="0"/>
          <w:numId w:val="43"/>
        </w:numPr>
        <w:rPr>
          <w:rFonts w:ascii="Arial" w:cs="Arial" w:eastAsia="Arial" w:hAnsi="Arial"/>
          <w:sz w:val="18"/>
          <w:szCs w:val="18"/>
          <w:b w:val="1"/>
          <w:bCs w:val="1"/>
          <w:color w:val="auto"/>
        </w:rPr>
      </w:pPr>
      <w:r>
        <w:rPr>
          <w:rFonts w:ascii="Arial" w:cs="Arial" w:eastAsia="Arial" w:hAnsi="Arial"/>
          <w:sz w:val="18"/>
          <w:szCs w:val="18"/>
          <w:color w:val="auto"/>
        </w:rPr>
        <w:t>CITIZENSHIP OR PLACE OF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-181610</wp:posOffset>
            </wp:positionV>
            <wp:extent cx="708660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866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-402590</wp:posOffset>
            </wp:positionV>
            <wp:extent cx="708660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83"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Massachusetts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35" w:lineRule="exact"/>
        <w:rPr>
          <w:sz w:val="20"/>
          <w:szCs w:val="20"/>
          <w:color w:val="auto"/>
        </w:rPr>
      </w:pPr>
    </w:p>
    <w:p>
      <w:pPr>
        <w:ind w:left="3460" w:right="4026" w:hanging="891"/>
        <w:spacing w:after="0" w:line="388" w:lineRule="auto"/>
        <w:tabs>
          <w:tab w:leader="none" w:pos="3245" w:val="left"/>
        </w:tabs>
        <w:numPr>
          <w:ilvl w:val="0"/>
          <w:numId w:val="44"/>
        </w:numPr>
        <w:rPr>
          <w:rFonts w:ascii="Arial" w:cs="Arial" w:eastAsia="Arial" w:hAnsi="Arial"/>
          <w:sz w:val="18"/>
          <w:szCs w:val="18"/>
          <w:b w:val="1"/>
          <w:bCs w:val="1"/>
          <w:color w:val="auto"/>
        </w:rPr>
      </w:pPr>
      <w:r>
        <w:rPr>
          <w:rFonts w:ascii="Arial" w:cs="Arial" w:eastAsia="Arial" w:hAnsi="Arial"/>
          <w:sz w:val="18"/>
          <w:szCs w:val="18"/>
          <w:color w:val="auto"/>
        </w:rPr>
        <w:t>SOLE VOTING POWER 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34" w:hanging="234"/>
        <w:spacing w:after="0"/>
        <w:tabs>
          <w:tab w:leader="none" w:pos="234" w:val="left"/>
        </w:tabs>
        <w:numPr>
          <w:ilvl w:val="0"/>
          <w:numId w:val="45"/>
        </w:numPr>
        <w:rPr>
          <w:rFonts w:ascii="Arial" w:cs="Arial" w:eastAsia="Arial" w:hAnsi="Arial"/>
          <w:sz w:val="18"/>
          <w:szCs w:val="18"/>
          <w:color w:val="auto"/>
        </w:rPr>
      </w:pPr>
      <w:r>
        <w:rPr>
          <w:rFonts w:ascii="Arial" w:cs="Arial" w:eastAsia="Arial" w:hAnsi="Arial"/>
          <w:sz w:val="18"/>
          <w:szCs w:val="18"/>
          <w:color w:val="auto"/>
        </w:rPr>
        <w:t>[  ]</w:t>
      </w:r>
    </w:p>
    <w:p>
      <w:pPr>
        <w:spacing w:after="0" w:line="88" w:lineRule="exact"/>
        <w:rPr>
          <w:rFonts w:ascii="Arial" w:cs="Arial" w:eastAsia="Arial" w:hAnsi="Arial"/>
          <w:sz w:val="18"/>
          <w:szCs w:val="18"/>
          <w:color w:val="auto"/>
        </w:rPr>
      </w:pPr>
    </w:p>
    <w:p>
      <w:pPr>
        <w:ind w:left="254" w:hanging="254"/>
        <w:spacing w:after="0"/>
        <w:tabs>
          <w:tab w:leader="none" w:pos="254" w:val="left"/>
        </w:tabs>
        <w:numPr>
          <w:ilvl w:val="0"/>
          <w:numId w:val="45"/>
        </w:numPr>
        <w:rPr>
          <w:rFonts w:ascii="Arial" w:cs="Arial" w:eastAsia="Arial" w:hAnsi="Arial"/>
          <w:sz w:val="18"/>
          <w:szCs w:val="18"/>
          <w:color w:val="auto"/>
        </w:rPr>
      </w:pPr>
      <w:r>
        <w:rPr>
          <w:rFonts w:ascii="Arial" w:cs="Arial" w:eastAsia="Arial" w:hAnsi="Arial"/>
          <w:sz w:val="18"/>
          <w:szCs w:val="18"/>
          <w:color w:val="auto"/>
        </w:rPr>
        <w:t>[X]</w:t>
      </w:r>
    </w:p>
    <w:p>
      <w:pPr>
        <w:spacing w:after="0" w:line="2207" w:lineRule="exact"/>
        <w:rPr>
          <w:sz w:val="20"/>
          <w:szCs w:val="20"/>
          <w:color w:val="auto"/>
        </w:rPr>
      </w:pPr>
    </w:p>
    <w:p>
      <w:pPr>
        <w:sectPr>
          <w:pgSz w:w="12240" w:h="15840" w:orient="portrait"/>
          <w:cols w:equalWidth="0" w:num="2">
            <w:col w:w="9126" w:space="720"/>
            <w:col w:w="1314"/>
          </w:cols>
          <w:pgMar w:left="520" w:top="598" w:right="560" w:bottom="1440" w:gutter="0" w:footer="0" w:header="0"/>
          <w:type w:val="continuous"/>
        </w:sectPr>
      </w:pPr>
    </w:p>
    <w:tbl>
      <w:tblPr>
        <w:tblLayout w:type="fixed"/>
        <w:tblInd w:w="440" w:type="dxa"/>
        <w:tblCellMar>
          <w:top w:w="0" w:type="dxa"/>
          <w:left w:w="0" w:type="dxa"/>
          <w:bottom w:w="0" w:type="dxa"/>
          <w:right w:w="0" w:type="dxa"/>
        </w:tblCellMar>
      </w:tblPr>
      <w:tr>
        <w:trPr>
          <w:trHeight w:val="41"/>
        </w:trPr>
        <w:tc>
          <w:tcPr>
            <w:tcW w:w="1700" w:type="dxa"/>
            <w:vAlign w:val="bottom"/>
            <w:vMerge w:val="restart"/>
          </w:tcPr>
          <w:p>
            <w:pPr>
              <w:jc w:val="center"/>
              <w:ind w:right="371"/>
              <w:spacing w:after="0"/>
              <w:rPr>
                <w:sz w:val="20"/>
                <w:szCs w:val="20"/>
                <w:color w:val="auto"/>
              </w:rPr>
            </w:pPr>
            <w:r>
              <w:rPr>
                <w:rFonts w:ascii="Arial" w:cs="Arial" w:eastAsia="Arial" w:hAnsi="Arial"/>
                <w:sz w:val="18"/>
                <w:szCs w:val="18"/>
                <w:color w:val="auto"/>
                <w:w w:val="96"/>
              </w:rPr>
              <w:t>NUMBER OF</w:t>
            </w:r>
          </w:p>
        </w:tc>
        <w:tc>
          <w:tcPr>
            <w:tcW w:w="840" w:type="dxa"/>
            <w:vAlign w:val="bottom"/>
            <w:tcBorders>
              <w:bottom w:val="single" w:sz="8" w:color="auto"/>
            </w:tcBorders>
          </w:tcPr>
          <w:p>
            <w:pPr>
              <w:spacing w:after="0"/>
              <w:rPr>
                <w:sz w:val="3"/>
                <w:szCs w:val="3"/>
                <w:color w:val="auto"/>
              </w:rPr>
            </w:pPr>
          </w:p>
        </w:tc>
        <w:tc>
          <w:tcPr>
            <w:tcW w:w="81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3"/>
        </w:trPr>
        <w:tc>
          <w:tcPr>
            <w:tcW w:w="1700" w:type="dxa"/>
            <w:vAlign w:val="bottom"/>
            <w:vMerge w:val="continue"/>
          </w:tcPr>
          <w:p>
            <w:pPr>
              <w:spacing w:after="0"/>
              <w:rPr>
                <w:sz w:val="13"/>
                <w:szCs w:val="13"/>
                <w:color w:val="auto"/>
              </w:rPr>
            </w:pPr>
          </w:p>
        </w:tc>
        <w:tc>
          <w:tcPr>
            <w:tcW w:w="840" w:type="dxa"/>
            <w:vAlign w:val="bottom"/>
            <w:vMerge w:val="restart"/>
          </w:tcPr>
          <w:p>
            <w:pPr>
              <w:jc w:val="right"/>
              <w:ind w:right="191"/>
              <w:spacing w:after="0"/>
              <w:rPr>
                <w:sz w:val="20"/>
                <w:szCs w:val="20"/>
                <w:color w:val="auto"/>
              </w:rPr>
            </w:pPr>
            <w:r>
              <w:rPr>
                <w:rFonts w:ascii="Arial" w:cs="Arial" w:eastAsia="Arial" w:hAnsi="Arial"/>
                <w:sz w:val="18"/>
                <w:szCs w:val="18"/>
                <w:b w:val="1"/>
                <w:bCs w:val="1"/>
                <w:color w:val="auto"/>
              </w:rPr>
              <w:t>6.</w:t>
            </w:r>
          </w:p>
        </w:tc>
        <w:tc>
          <w:tcPr>
            <w:tcW w:w="8180" w:type="dxa"/>
            <w:vAlign w:val="bottom"/>
            <w:vMerge w:val="restart"/>
          </w:tcPr>
          <w:p>
            <w:pPr>
              <w:ind w:left="2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35"/>
        </w:trPr>
        <w:tc>
          <w:tcPr>
            <w:tcW w:w="1700" w:type="dxa"/>
            <w:vAlign w:val="bottom"/>
            <w:vMerge w:val="restart"/>
          </w:tcPr>
          <w:p>
            <w:pPr>
              <w:jc w:val="center"/>
              <w:ind w:right="371"/>
              <w:spacing w:after="0"/>
              <w:rPr>
                <w:sz w:val="20"/>
                <w:szCs w:val="20"/>
                <w:color w:val="auto"/>
              </w:rPr>
            </w:pPr>
            <w:r>
              <w:rPr>
                <w:rFonts w:ascii="Arial" w:cs="Arial" w:eastAsia="Arial" w:hAnsi="Arial"/>
                <w:sz w:val="18"/>
                <w:szCs w:val="18"/>
                <w:color w:val="auto"/>
                <w:w w:val="91"/>
              </w:rPr>
              <w:t>SHARES</w:t>
            </w:r>
          </w:p>
        </w:tc>
        <w:tc>
          <w:tcPr>
            <w:tcW w:w="840" w:type="dxa"/>
            <w:vAlign w:val="bottom"/>
            <w:vMerge w:val="continue"/>
          </w:tcPr>
          <w:p>
            <w:pPr>
              <w:spacing w:after="0"/>
              <w:rPr>
                <w:sz w:val="11"/>
                <w:szCs w:val="11"/>
                <w:color w:val="auto"/>
              </w:rPr>
            </w:pPr>
          </w:p>
        </w:tc>
        <w:tc>
          <w:tcPr>
            <w:tcW w:w="8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1700" w:type="dxa"/>
            <w:vAlign w:val="bottom"/>
            <w:vMerge w:val="continue"/>
          </w:tcPr>
          <w:p>
            <w:pPr>
              <w:spacing w:after="0"/>
              <w:rPr>
                <w:sz w:val="6"/>
                <w:szCs w:val="6"/>
                <w:color w:val="auto"/>
              </w:rPr>
            </w:pPr>
          </w:p>
        </w:tc>
        <w:tc>
          <w:tcPr>
            <w:tcW w:w="840" w:type="dxa"/>
            <w:vAlign w:val="bottom"/>
          </w:tcPr>
          <w:p>
            <w:pPr>
              <w:spacing w:after="0"/>
              <w:rPr>
                <w:sz w:val="6"/>
                <w:szCs w:val="6"/>
                <w:color w:val="auto"/>
              </w:rPr>
            </w:pPr>
          </w:p>
        </w:tc>
        <w:tc>
          <w:tcPr>
            <w:tcW w:w="8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1700" w:type="dxa"/>
            <w:vAlign w:val="bottom"/>
          </w:tcPr>
          <w:p>
            <w:pPr>
              <w:jc w:val="center"/>
              <w:ind w:right="351"/>
              <w:spacing w:after="0"/>
              <w:rPr>
                <w:sz w:val="20"/>
                <w:szCs w:val="20"/>
                <w:color w:val="auto"/>
              </w:rPr>
            </w:pPr>
            <w:r>
              <w:rPr>
                <w:rFonts w:ascii="Arial" w:cs="Arial" w:eastAsia="Arial" w:hAnsi="Arial"/>
                <w:sz w:val="18"/>
                <w:szCs w:val="18"/>
                <w:color w:val="auto"/>
                <w:w w:val="99"/>
              </w:rPr>
              <w:t>BENEFICIALLY</w:t>
            </w:r>
          </w:p>
        </w:tc>
        <w:tc>
          <w:tcPr>
            <w:tcW w:w="840" w:type="dxa"/>
            <w:vAlign w:val="bottom"/>
          </w:tcPr>
          <w:p>
            <w:pPr>
              <w:spacing w:after="0"/>
              <w:rPr>
                <w:sz w:val="18"/>
                <w:szCs w:val="18"/>
                <w:color w:val="auto"/>
              </w:rPr>
            </w:pPr>
          </w:p>
        </w:tc>
        <w:tc>
          <w:tcPr>
            <w:tcW w:w="8180" w:type="dxa"/>
            <w:vAlign w:val="bottom"/>
            <w:vMerge w:val="restart"/>
          </w:tcPr>
          <w:p>
            <w:pPr>
              <w:jc w:val="right"/>
              <w:ind w:right="7131"/>
              <w:spacing w:after="0"/>
              <w:rPr>
                <w:sz w:val="20"/>
                <w:szCs w:val="20"/>
                <w:color w:val="auto"/>
              </w:rPr>
            </w:pPr>
            <w:r>
              <w:rPr>
                <w:rFonts w:ascii="Arial" w:cs="Arial" w:eastAsia="Arial" w:hAnsi="Arial"/>
                <w:sz w:val="18"/>
                <w:szCs w:val="18"/>
                <w:color w:val="auto"/>
              </w:rPr>
              <w:t>11,121</w:t>
            </w:r>
          </w:p>
        </w:tc>
        <w:tc>
          <w:tcPr>
            <w:tcW w:w="0" w:type="dxa"/>
            <w:vAlign w:val="bottom"/>
          </w:tcPr>
          <w:p>
            <w:pPr>
              <w:spacing w:after="0"/>
              <w:rPr>
                <w:sz w:val="1"/>
                <w:szCs w:val="1"/>
                <w:color w:val="auto"/>
              </w:rPr>
            </w:pPr>
          </w:p>
        </w:tc>
      </w:tr>
      <w:tr>
        <w:trPr>
          <w:trHeight w:val="229"/>
        </w:trPr>
        <w:tc>
          <w:tcPr>
            <w:tcW w:w="1700" w:type="dxa"/>
            <w:vAlign w:val="bottom"/>
          </w:tcPr>
          <w:p>
            <w:pPr>
              <w:jc w:val="center"/>
              <w:ind w:right="371"/>
              <w:spacing w:after="0"/>
              <w:rPr>
                <w:sz w:val="20"/>
                <w:szCs w:val="20"/>
                <w:color w:val="auto"/>
              </w:rPr>
            </w:pPr>
            <w:r>
              <w:rPr>
                <w:rFonts w:ascii="Arial" w:cs="Arial" w:eastAsia="Arial" w:hAnsi="Arial"/>
                <w:sz w:val="18"/>
                <w:szCs w:val="18"/>
                <w:color w:val="auto"/>
                <w:w w:val="97"/>
              </w:rPr>
              <w:t>OWNED BY</w:t>
            </w:r>
          </w:p>
        </w:tc>
        <w:tc>
          <w:tcPr>
            <w:tcW w:w="840" w:type="dxa"/>
            <w:vAlign w:val="bottom"/>
            <w:tcBorders>
              <w:bottom w:val="single" w:sz="8" w:color="auto"/>
            </w:tcBorders>
          </w:tcPr>
          <w:p>
            <w:pPr>
              <w:spacing w:after="0"/>
              <w:rPr>
                <w:sz w:val="19"/>
                <w:szCs w:val="19"/>
                <w:color w:val="auto"/>
              </w:rPr>
            </w:pPr>
          </w:p>
        </w:tc>
        <w:tc>
          <w:tcPr>
            <w:tcW w:w="81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1700" w:type="dxa"/>
            <w:vAlign w:val="bottom"/>
          </w:tcPr>
          <w:p>
            <w:pPr>
              <w:jc w:val="center"/>
              <w:ind w:right="371"/>
              <w:spacing w:after="0" w:line="181" w:lineRule="exact"/>
              <w:rPr>
                <w:sz w:val="20"/>
                <w:szCs w:val="20"/>
                <w:color w:val="auto"/>
              </w:rPr>
            </w:pPr>
            <w:r>
              <w:rPr>
                <w:rFonts w:ascii="Arial" w:cs="Arial" w:eastAsia="Arial" w:hAnsi="Arial"/>
                <w:sz w:val="18"/>
                <w:szCs w:val="18"/>
                <w:color w:val="auto"/>
                <w:w w:val="95"/>
              </w:rPr>
              <w:t>EACH</w:t>
            </w:r>
          </w:p>
        </w:tc>
        <w:tc>
          <w:tcPr>
            <w:tcW w:w="840" w:type="dxa"/>
            <w:vAlign w:val="bottom"/>
            <w:vMerge w:val="restart"/>
          </w:tcPr>
          <w:p>
            <w:pPr>
              <w:jc w:val="right"/>
              <w:ind w:right="191"/>
              <w:spacing w:after="0"/>
              <w:rPr>
                <w:sz w:val="20"/>
                <w:szCs w:val="20"/>
                <w:color w:val="auto"/>
              </w:rPr>
            </w:pPr>
            <w:r>
              <w:rPr>
                <w:rFonts w:ascii="Arial" w:cs="Arial" w:eastAsia="Arial" w:hAnsi="Arial"/>
                <w:sz w:val="18"/>
                <w:szCs w:val="18"/>
                <w:b w:val="1"/>
                <w:bCs w:val="1"/>
                <w:color w:val="auto"/>
              </w:rPr>
              <w:t>7.</w:t>
            </w:r>
          </w:p>
        </w:tc>
        <w:tc>
          <w:tcPr>
            <w:tcW w:w="8180" w:type="dxa"/>
            <w:vAlign w:val="bottom"/>
            <w:vMerge w:val="restart"/>
          </w:tcPr>
          <w:p>
            <w:pPr>
              <w:ind w:left="2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09"/>
        </w:trPr>
        <w:tc>
          <w:tcPr>
            <w:tcW w:w="1700" w:type="dxa"/>
            <w:vAlign w:val="bottom"/>
            <w:vMerge w:val="restart"/>
          </w:tcPr>
          <w:p>
            <w:pPr>
              <w:jc w:val="center"/>
              <w:ind w:right="351"/>
              <w:spacing w:after="0"/>
              <w:rPr>
                <w:sz w:val="20"/>
                <w:szCs w:val="20"/>
                <w:color w:val="auto"/>
              </w:rPr>
            </w:pPr>
            <w:r>
              <w:rPr>
                <w:rFonts w:ascii="Arial" w:cs="Arial" w:eastAsia="Arial" w:hAnsi="Arial"/>
                <w:sz w:val="18"/>
                <w:szCs w:val="18"/>
                <w:color w:val="auto"/>
                <w:w w:val="91"/>
              </w:rPr>
              <w:t>REPORTING</w:t>
            </w:r>
          </w:p>
        </w:tc>
        <w:tc>
          <w:tcPr>
            <w:tcW w:w="840" w:type="dxa"/>
            <w:vAlign w:val="bottom"/>
            <w:vMerge w:val="continue"/>
          </w:tcPr>
          <w:p>
            <w:pPr>
              <w:spacing w:after="0"/>
              <w:rPr>
                <w:sz w:val="9"/>
                <w:szCs w:val="9"/>
                <w:color w:val="auto"/>
              </w:rPr>
            </w:pPr>
          </w:p>
        </w:tc>
        <w:tc>
          <w:tcPr>
            <w:tcW w:w="81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170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8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720" w:type="dxa"/>
        <w:tblCellMar>
          <w:top w:w="0" w:type="dxa"/>
          <w:left w:w="0" w:type="dxa"/>
          <w:bottom w:w="0" w:type="dxa"/>
          <w:right w:w="0" w:type="dxa"/>
        </w:tblCellMar>
      </w:tblPr>
      <w:tr>
        <w:trPr>
          <w:trHeight w:val="200"/>
        </w:trPr>
        <w:tc>
          <w:tcPr>
            <w:tcW w:w="1420" w:type="dxa"/>
            <w:vAlign w:val="bottom"/>
          </w:tcPr>
          <w:p>
            <w:pPr>
              <w:jc w:val="center"/>
              <w:ind w:right="651"/>
              <w:spacing w:after="0" w:line="200" w:lineRule="exact"/>
              <w:rPr>
                <w:sz w:val="20"/>
                <w:szCs w:val="20"/>
                <w:color w:val="auto"/>
              </w:rPr>
            </w:pPr>
            <w:r>
              <w:rPr>
                <w:rFonts w:ascii="Arial" w:cs="Arial" w:eastAsia="Arial" w:hAnsi="Arial"/>
                <w:sz w:val="18"/>
                <w:szCs w:val="18"/>
                <w:color w:val="auto"/>
                <w:w w:val="89"/>
              </w:rPr>
              <w:t>PERSON</w:t>
            </w:r>
          </w:p>
        </w:tc>
        <w:tc>
          <w:tcPr>
            <w:tcW w:w="9020" w:type="dxa"/>
            <w:vAlign w:val="bottom"/>
            <w:vMerge w:val="restart"/>
          </w:tcPr>
          <w:p>
            <w:pPr>
              <w:jc w:val="right"/>
              <w:ind w:right="7511"/>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9"/>
        </w:trPr>
        <w:tc>
          <w:tcPr>
            <w:tcW w:w="1420" w:type="dxa"/>
            <w:vAlign w:val="bottom"/>
            <w:vMerge w:val="restart"/>
          </w:tcPr>
          <w:p>
            <w:pPr>
              <w:jc w:val="center"/>
              <w:ind w:right="651"/>
              <w:spacing w:after="0" w:line="156" w:lineRule="exact"/>
              <w:rPr>
                <w:sz w:val="20"/>
                <w:szCs w:val="20"/>
                <w:color w:val="auto"/>
              </w:rPr>
            </w:pPr>
            <w:r>
              <w:rPr>
                <w:rFonts w:ascii="Arial" w:cs="Arial" w:eastAsia="Arial" w:hAnsi="Arial"/>
                <w:sz w:val="18"/>
                <w:szCs w:val="18"/>
                <w:color w:val="auto"/>
              </w:rPr>
              <w:t>WITH:</w:t>
            </w:r>
          </w:p>
        </w:tc>
        <w:tc>
          <w:tcPr>
            <w:tcW w:w="9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3"/>
        </w:trPr>
        <w:tc>
          <w:tcPr>
            <w:tcW w:w="1420" w:type="dxa"/>
            <w:vAlign w:val="bottom"/>
            <w:vMerge w:val="continue"/>
          </w:tcPr>
          <w:p>
            <w:pPr>
              <w:spacing w:after="0"/>
              <w:rPr>
                <w:sz w:val="4"/>
                <w:szCs w:val="4"/>
                <w:color w:val="auto"/>
              </w:rPr>
            </w:pPr>
          </w:p>
        </w:tc>
        <w:tc>
          <w:tcPr>
            <w:tcW w:w="90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1420" w:type="dxa"/>
            <w:vAlign w:val="bottom"/>
          </w:tcPr>
          <w:p>
            <w:pPr>
              <w:spacing w:after="0"/>
              <w:rPr>
                <w:sz w:val="24"/>
                <w:szCs w:val="24"/>
                <w:color w:val="auto"/>
              </w:rPr>
            </w:pPr>
          </w:p>
        </w:tc>
        <w:tc>
          <w:tcPr>
            <w:tcW w:w="9020" w:type="dxa"/>
            <w:vAlign w:val="bottom"/>
          </w:tcPr>
          <w:p>
            <w:pPr>
              <w:jc w:val="right"/>
              <w:ind w:right="5311"/>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54"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11,121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08660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22" w:lineRule="exact"/>
        <w:rPr>
          <w:sz w:val="20"/>
          <w:szCs w:val="20"/>
          <w:color w:val="auto"/>
        </w:rPr>
      </w:pPr>
    </w:p>
    <w:p>
      <w:pPr>
        <w:ind w:left="1120" w:hanging="677"/>
        <w:spacing w:after="0"/>
        <w:tabs>
          <w:tab w:leader="none" w:pos="1120" w:val="left"/>
        </w:tabs>
        <w:numPr>
          <w:ilvl w:val="0"/>
          <w:numId w:val="46"/>
        </w:numPr>
        <w:rPr>
          <w:rFonts w:ascii="Arial" w:cs="Arial" w:eastAsia="Arial" w:hAnsi="Arial"/>
          <w:sz w:val="18"/>
          <w:szCs w:val="18"/>
          <w:b w:val="1"/>
          <w:bCs w:val="1"/>
          <w:color w:val="auto"/>
        </w:rPr>
      </w:pPr>
      <w:r>
        <w:rPr>
          <w:rFonts w:ascii="Arial" w:cs="Arial" w:eastAsia="Arial" w:hAnsi="Arial"/>
          <w:sz w:val="18"/>
          <w:szCs w:val="18"/>
          <w:color w:val="auto"/>
        </w:rPr>
        <w:t>AGGREGATE AMOUNT BENEFICIALLY OWNED BY EACH REPORTING PERSON</w:t>
      </w:r>
    </w:p>
    <w:p>
      <w:pPr>
        <w:spacing w:after="0" w:line="276"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11,121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39370</wp:posOffset>
            </wp:positionV>
            <wp:extent cx="708660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22" w:lineRule="exact"/>
        <w:rPr>
          <w:sz w:val="20"/>
          <w:szCs w:val="20"/>
          <w:color w:val="auto"/>
        </w:rPr>
      </w:pPr>
    </w:p>
    <w:p>
      <w:pPr>
        <w:ind w:left="1120" w:hanging="722"/>
        <w:spacing w:after="0"/>
        <w:tabs>
          <w:tab w:leader="none" w:pos="1120" w:val="left"/>
        </w:tabs>
        <w:numPr>
          <w:ilvl w:val="0"/>
          <w:numId w:val="47"/>
        </w:numPr>
        <w:rPr>
          <w:rFonts w:ascii="Arial" w:cs="Arial" w:eastAsia="Arial" w:hAnsi="Arial"/>
          <w:sz w:val="18"/>
          <w:szCs w:val="18"/>
          <w:b w:val="1"/>
          <w:bCs w:val="1"/>
          <w:color w:val="auto"/>
        </w:rPr>
      </w:pPr>
      <w:r>
        <w:rPr>
          <w:rFonts w:ascii="Arial" w:cs="Arial" w:eastAsia="Arial" w:hAnsi="Arial"/>
          <w:sz w:val="18"/>
          <w:szCs w:val="18"/>
          <w:color w:val="auto"/>
        </w:rPr>
        <w:t>CHECK IF THE AGGREGATE AMOUNT IN ROW (9) EXCLUDES CERTAIN SHARES</w:t>
      </w:r>
    </w:p>
    <w:p>
      <w:pPr>
        <w:spacing w:after="0" w:line="22" w:lineRule="exact"/>
        <w:rPr>
          <w:sz w:val="20"/>
          <w:szCs w:val="20"/>
          <w:color w:val="auto"/>
        </w:rPr>
      </w:pPr>
    </w:p>
    <w:p>
      <w:pPr>
        <w:ind w:left="10100"/>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64135</wp:posOffset>
            </wp:positionV>
            <wp:extent cx="708660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61" w:lineRule="exact"/>
        <w:rPr>
          <w:sz w:val="20"/>
          <w:szCs w:val="20"/>
          <w:color w:val="auto"/>
        </w:rPr>
      </w:pPr>
    </w:p>
    <w:p>
      <w:pPr>
        <w:ind w:left="1120" w:hanging="717"/>
        <w:spacing w:after="0"/>
        <w:tabs>
          <w:tab w:leader="none" w:pos="1120" w:val="left"/>
        </w:tabs>
        <w:numPr>
          <w:ilvl w:val="0"/>
          <w:numId w:val="48"/>
        </w:numPr>
        <w:rPr>
          <w:rFonts w:ascii="Arial" w:cs="Arial" w:eastAsia="Arial" w:hAnsi="Arial"/>
          <w:sz w:val="18"/>
          <w:szCs w:val="18"/>
          <w:b w:val="1"/>
          <w:bCs w:val="1"/>
          <w:color w:val="auto"/>
        </w:rPr>
      </w:pPr>
      <w:r>
        <w:rPr>
          <w:rFonts w:ascii="Arial" w:cs="Arial" w:eastAsia="Arial" w:hAnsi="Arial"/>
          <w:sz w:val="18"/>
          <w:szCs w:val="18"/>
          <w:color w:val="auto"/>
        </w:rPr>
        <w:t>PERCENT OF CLASS REPRESENTED BY AMOUNT IN ROW (9)</w:t>
      </w:r>
    </w:p>
    <w:p>
      <w:pPr>
        <w:spacing w:after="0" w:line="222" w:lineRule="exact"/>
        <w:rPr>
          <w:sz w:val="20"/>
          <w:szCs w:val="20"/>
          <w:color w:val="auto"/>
        </w:rPr>
      </w:pPr>
    </w:p>
    <w:p>
      <w:pPr>
        <w:ind w:left="1340"/>
        <w:spacing w:after="0"/>
        <w:rPr>
          <w:sz w:val="20"/>
          <w:szCs w:val="20"/>
          <w:color w:val="auto"/>
        </w:rPr>
      </w:pPr>
      <w:r>
        <w:rPr>
          <w:rFonts w:ascii="Arial" w:cs="Arial" w:eastAsia="Arial" w:hAnsi="Arial"/>
          <w:sz w:val="18"/>
          <w:szCs w:val="18"/>
          <w:color w:val="auto"/>
        </w:rPr>
        <w:t>Less than 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48260</wp:posOffset>
            </wp:positionV>
            <wp:extent cx="708660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135" w:lineRule="exact"/>
        <w:rPr>
          <w:sz w:val="20"/>
          <w:szCs w:val="20"/>
          <w:color w:val="auto"/>
        </w:rPr>
      </w:pPr>
    </w:p>
    <w:p>
      <w:pPr>
        <w:ind w:left="1340" w:right="7540" w:hanging="942"/>
        <w:spacing w:after="0" w:line="523" w:lineRule="auto"/>
        <w:tabs>
          <w:tab w:leader="none" w:pos="1125" w:val="left"/>
        </w:tabs>
        <w:numPr>
          <w:ilvl w:val="0"/>
          <w:numId w:val="49"/>
        </w:numPr>
        <w:rPr>
          <w:rFonts w:ascii="Arial" w:cs="Arial" w:eastAsia="Arial" w:hAnsi="Arial"/>
          <w:sz w:val="18"/>
          <w:szCs w:val="18"/>
          <w:b w:val="1"/>
          <w:bCs w:val="1"/>
          <w:color w:val="auto"/>
        </w:rPr>
      </w:pPr>
      <w:r>
        <w:rPr>
          <w:rFonts w:ascii="Arial" w:cs="Arial" w:eastAsia="Arial" w:hAnsi="Arial"/>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708660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pacing w:after="0" w:line="245" w:lineRule="exact"/>
        <w:rPr>
          <w:sz w:val="20"/>
          <w:szCs w:val="20"/>
          <w:color w:val="auto"/>
        </w:rPr>
      </w:pPr>
    </w:p>
    <w:p>
      <w:pPr>
        <w:ind w:left="100" w:right="300" w:hanging="93"/>
        <w:spacing w:after="0" w:line="274" w:lineRule="auto"/>
        <w:rPr>
          <w:sz w:val="20"/>
          <w:szCs w:val="20"/>
          <w:color w:val="auto"/>
        </w:rPr>
      </w:pPr>
      <w:r>
        <w:rPr>
          <w:rFonts w:ascii="Arial" w:cs="Arial" w:eastAsia="Arial" w:hAnsi="Arial"/>
          <w:sz w:val="18"/>
          <w:szCs w:val="18"/>
          <w:color w:val="auto"/>
        </w:rPr>
        <w:t>*Percentage calculations are based on the number of shares of Common Stock outstanding as of October 31, 2018, as provided in the Issuer’s Quarterly Report on Form 10-Q for the quarterly period ended September 29,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475615</wp:posOffset>
            </wp:positionV>
            <wp:extent cx="708660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086600" cy="25400"/>
                    </a:xfrm>
                    <a:prstGeom prst="rect">
                      <a:avLst/>
                    </a:prstGeom>
                    <a:noFill/>
                  </pic:spPr>
                </pic:pic>
              </a:graphicData>
            </a:graphic>
          </wp:anchor>
        </w:drawing>
      </w:r>
    </w:p>
    <w:p>
      <w:pPr>
        <w:sectPr>
          <w:pgSz w:w="12240" w:h="15840" w:orient="portrait"/>
          <w:cols w:equalWidth="0" w:num="1">
            <w:col w:w="11160"/>
          </w:cols>
          <w:pgMar w:left="520" w:top="598" w:right="560"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color w:val="auto"/>
        </w:rPr>
        <w:t>em 1(a). Name of Issuer:</w:t>
      </w:r>
    </w:p>
    <w:p>
      <w:pPr>
        <w:spacing w:after="0" w:line="33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Issuer’s name is National Vision Holdings, Inc. (the “Company” or the “Issuer”).</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address of the principal executive offices of the Issuer is 2435 Commerce Ave., Building 2200, Duluth, Georgia 30096.</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26" w:lineRule="exact"/>
        <w:rPr>
          <w:sz w:val="20"/>
          <w:szCs w:val="20"/>
          <w:color w:val="auto"/>
        </w:rPr>
      </w:pPr>
    </w:p>
    <w:p>
      <w:pPr>
        <w:ind w:right="160" w:firstLine="322"/>
        <w:spacing w:after="0" w:line="261" w:lineRule="auto"/>
        <w:rPr>
          <w:sz w:val="20"/>
          <w:szCs w:val="20"/>
          <w:color w:val="auto"/>
        </w:rPr>
      </w:pPr>
      <w:r>
        <w:rPr>
          <w:rFonts w:ascii="Arial" w:cs="Arial" w:eastAsia="Arial" w:hAnsi="Arial"/>
          <w:sz w:val="18"/>
          <w:szCs w:val="18"/>
          <w:color w:val="auto"/>
        </w:rPr>
        <w:t>This Schedule 13G (this “Statement”) is being filed jointly by the following (each, a “Reporting Person,” and, collectively, the “Reporting Persons”): Berkshire Partners Holdings LLC (“BPH”), BPSP, L.P. (“BPSP”), Berkshire Fund VI, Limited Partnership (“Fund VI”), Berkshire Investors LLC (“Investors”), Berkshire Investors III LLC (“Investors III”) and Berkshire Partners LLC (“BP”).</w:t>
      </w:r>
    </w:p>
    <w:p>
      <w:pPr>
        <w:spacing w:after="0" w:line="183" w:lineRule="exact"/>
        <w:rPr>
          <w:sz w:val="20"/>
          <w:szCs w:val="20"/>
          <w:color w:val="auto"/>
        </w:rPr>
      </w:pPr>
    </w:p>
    <w:p>
      <w:pPr>
        <w:ind w:firstLine="322"/>
        <w:spacing w:after="0" w:line="284" w:lineRule="auto"/>
        <w:rPr>
          <w:sz w:val="20"/>
          <w:szCs w:val="20"/>
          <w:color w:val="auto"/>
        </w:rPr>
      </w:pPr>
      <w:r>
        <w:rPr>
          <w:rFonts w:ascii="Arial" w:cs="Arial" w:eastAsia="Arial" w:hAnsi="Arial"/>
          <w:sz w:val="17"/>
          <w:szCs w:val="17"/>
          <w:color w:val="auto"/>
        </w:rPr>
        <w:t>Sixth Berkshire Associates LLC, a Massachusetts limited liability company (“6BA”), is the sole general partner of Fund VI. BPH, a Delaware limited liability company, is the general partner of BPSP, a Delaware limited partnership. BPSP is the managing member of BP, the registered investment adviser to Fund VI, as well as certain other accounts holding shares of the Issuer for which BP serves as investment manager.</w:t>
      </w:r>
    </w:p>
    <w:p>
      <w:pPr>
        <w:spacing w:after="0" w:line="165" w:lineRule="exact"/>
        <w:rPr>
          <w:sz w:val="20"/>
          <w:szCs w:val="20"/>
          <w:color w:val="auto"/>
        </w:rPr>
      </w:pPr>
    </w:p>
    <w:p>
      <w:pPr>
        <w:jc w:val="both"/>
        <w:ind w:right="140" w:firstLine="322"/>
        <w:spacing w:after="0" w:line="309" w:lineRule="auto"/>
        <w:rPr>
          <w:sz w:val="20"/>
          <w:szCs w:val="20"/>
          <w:color w:val="auto"/>
        </w:rPr>
      </w:pPr>
      <w:r>
        <w:rPr>
          <w:rFonts w:ascii="Arial" w:cs="Arial" w:eastAsia="Arial" w:hAnsi="Arial"/>
          <w:sz w:val="16"/>
          <w:szCs w:val="16"/>
          <w:color w:val="auto"/>
        </w:rPr>
        <w:t>Certain of the Reporting Persons often make acquisitions in, and dispose of, securities of an issuer on the same terms and conditions and at the same time. Based on the foregoing and the relationships described herein, these entities may be deemed to constitute a “group” for purposes of Section 13(g)(3) of the Act. The filing of this statement shall not be construed as an admission that the Reporting Persons are a group, or have agreed to act as a group.</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26" w:lineRule="exact"/>
        <w:rPr>
          <w:sz w:val="20"/>
          <w:szCs w:val="20"/>
          <w:color w:val="auto"/>
        </w:rPr>
      </w:pPr>
    </w:p>
    <w:p>
      <w:pPr>
        <w:ind w:right="800" w:firstLine="322"/>
        <w:spacing w:after="0" w:line="274" w:lineRule="auto"/>
        <w:rPr>
          <w:sz w:val="20"/>
          <w:szCs w:val="20"/>
          <w:color w:val="auto"/>
        </w:rPr>
      </w:pPr>
      <w:r>
        <w:rPr>
          <w:rFonts w:ascii="Arial" w:cs="Arial" w:eastAsia="Arial" w:hAnsi="Arial"/>
          <w:sz w:val="18"/>
          <w:szCs w:val="18"/>
          <w:color w:val="auto"/>
        </w:rPr>
        <w:t>The following address is the principal business offices of each of the Reporting Persons and 6BA: 200 Clarendon Street, 35th Floor, Boston, Massachusetts 02116.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26" w:lineRule="exact"/>
        <w:rPr>
          <w:sz w:val="20"/>
          <w:szCs w:val="20"/>
          <w:color w:val="auto"/>
        </w:rPr>
      </w:pPr>
    </w:p>
    <w:p>
      <w:pPr>
        <w:ind w:right="160" w:firstLine="322"/>
        <w:spacing w:after="0" w:line="274" w:lineRule="auto"/>
        <w:rPr>
          <w:sz w:val="20"/>
          <w:szCs w:val="20"/>
          <w:color w:val="auto"/>
        </w:rPr>
      </w:pPr>
      <w:r>
        <w:rPr>
          <w:rFonts w:ascii="Arial" w:cs="Arial" w:eastAsia="Arial" w:hAnsi="Arial"/>
          <w:sz w:val="18"/>
          <w:szCs w:val="18"/>
          <w:color w:val="auto"/>
        </w:rPr>
        <w:t>Each of BPH and BPSP is organized under the laws of the State of Delaware. Each of Fund VI, Investors, Investors III and BP is organized under the laws of the Commonwealth of Massachusetts.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and Class of Securities:</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class of equity securities to which this Statement relates is the Company’s Common Stock, par value $0.01 per share (the “Common Stock”).</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CUSIP Number to which this Statement relates is 63845R107.</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Rule 13d-1(b) or 13d-2(b) or (c), Check Whether the Person Filing is a:</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303530</wp:posOffset>
            </wp:positionV>
            <wp:extent cx="708660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086600" cy="25400"/>
                    </a:xfrm>
                    <a:prstGeom prst="rect">
                      <a:avLst/>
                    </a:prstGeom>
                    <a:noFill/>
                  </pic:spPr>
                </pic:pic>
              </a:graphicData>
            </a:graphic>
          </wp:anchor>
        </w:drawing>
      </w:r>
    </w:p>
    <w:p>
      <w:pPr>
        <w:sectPr>
          <w:pgSz w:w="12240" w:h="15840" w:orient="portrait"/>
          <w:cols w:equalWidth="0" w:num="1">
            <w:col w:w="11160"/>
          </w:cols>
          <w:pgMar w:left="520" w:top="330" w:right="560"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Item 4. Ownership.</w:t>
      </w:r>
    </w:p>
    <w:p>
      <w:pPr>
        <w:spacing w:after="0" w:line="226" w:lineRule="exact"/>
        <w:rPr>
          <w:sz w:val="20"/>
          <w:szCs w:val="20"/>
          <w:color w:val="auto"/>
        </w:rPr>
      </w:pPr>
    </w:p>
    <w:p>
      <w:pPr>
        <w:ind w:firstLine="322"/>
        <w:spacing w:after="0" w:line="291" w:lineRule="auto"/>
        <w:tabs>
          <w:tab w:leader="none" w:pos="677"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responses of the Reporting Persons to Row (9) of the cover pages of this Statement are incorporated herein by reference. 6BA is the sole general partner of Fund VI. BP, a registered investment adviser, is the investment manager for Fund VI, as well as certain other accounts holding shares of the Issuer. As the managing member of BP, BPSP may be deemed to beneficially own shares of Common Stock that are beneficially owned by BP. As the general partner of BPSP, BPH may be deemed to beneficially own shares of Common Stock that are beneficially owned by BPSP. However, BPSP and BPH disclaim beneficial ownership of such shares of Common Stock and the filing of this Statement shall not be construed as an admission that BPSP or BPH is, for the purpose of Section 13(d) of the Act, the beneficial owner of such shares beneficially owned by BP.</w:t>
      </w:r>
    </w:p>
    <w:p>
      <w:pPr>
        <w:spacing w:after="0" w:line="164" w:lineRule="exact"/>
        <w:rPr>
          <w:sz w:val="20"/>
          <w:szCs w:val="20"/>
          <w:color w:val="auto"/>
        </w:rPr>
      </w:pPr>
    </w:p>
    <w:p>
      <w:pPr>
        <w:ind w:firstLine="322"/>
        <w:spacing w:after="0" w:line="273" w:lineRule="auto"/>
        <w:rPr>
          <w:sz w:val="20"/>
          <w:szCs w:val="20"/>
          <w:color w:val="auto"/>
        </w:rPr>
      </w:pPr>
      <w:r>
        <w:rPr>
          <w:rFonts w:ascii="Arial" w:cs="Arial" w:eastAsia="Arial" w:hAnsi="Arial"/>
          <w:sz w:val="17"/>
          <w:szCs w:val="17"/>
          <w:color w:val="auto"/>
        </w:rPr>
        <w:t>Certain of the Reporting Persons are, along with KKR Vision Aggregator L.P. (“KKR”) (collectively, the “Investors”), each party to an Amended and Restated Stockholders’ Agreement (the “Agreement”), which previously contained certain provisions relating to voting of securities of the Issuer, which provisions have been terminated. As a result, the Reporting Persons and the other Investors and/or certain of their affiliates are no longer acting as a “group” within the meaning of Section 13(d) under the Act. The Reporting Persons expressly disclaim beneficial ownership over any shares of Common Stock that they may have been deemed to beneficially own solely by reason of the Agreement.</w:t>
      </w:r>
    </w:p>
    <w:p>
      <w:pPr>
        <w:spacing w:after="0" w:line="176" w:lineRule="exact"/>
        <w:rPr>
          <w:sz w:val="20"/>
          <w:szCs w:val="20"/>
          <w:color w:val="auto"/>
        </w:rPr>
      </w:pPr>
    </w:p>
    <w:p>
      <w:pPr>
        <w:ind w:firstLine="322"/>
        <w:spacing w:after="0" w:line="257" w:lineRule="auto"/>
        <w:tabs>
          <w:tab w:leader="none" w:pos="655"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responses of the Reporting Persons to Row (11) of the cover pages of this Statement are incorporated herein by reference. As of December 31, 2018, the Reporting Persons beneficially owned in the aggregate 2,139,685 shares of Common Stock, representing approximately 2.8% of the shares of Common Stock outstanding (based on the number of shares outstanding as of October 31, 2018, as provided in the Issuer’s Quarterly Report on Form 10-Q for the quarterly period ended September 29, 2018).</w:t>
      </w:r>
    </w:p>
    <w:p>
      <w:pPr>
        <w:spacing w:after="0" w:line="186" w:lineRule="exact"/>
        <w:rPr>
          <w:rFonts w:ascii="Arial" w:cs="Arial" w:eastAsia="Arial" w:hAnsi="Arial"/>
          <w:sz w:val="18"/>
          <w:szCs w:val="18"/>
          <w:color w:val="auto"/>
        </w:rPr>
      </w:pPr>
    </w:p>
    <w:p>
      <w:pPr>
        <w:ind w:left="680" w:hanging="358"/>
        <w:spacing w:after="0"/>
        <w:tabs>
          <w:tab w:leader="none" w:pos="6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responses of the Reporting Persons to Rows (5) through (8) of the cover pages of this Statement are incorporated herein by reference.</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26" w:lineRule="exact"/>
        <w:rPr>
          <w:sz w:val="20"/>
          <w:szCs w:val="20"/>
          <w:color w:val="auto"/>
        </w:rPr>
      </w:pPr>
    </w:p>
    <w:p>
      <w:pPr>
        <w:ind w:right="120" w:firstLine="322"/>
        <w:spacing w:after="0" w:line="282" w:lineRule="auto"/>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 of more than 5 percent of the class of securities, check the following </w:t>
      </w:r>
      <w:r>
        <w:rPr>
          <w:sz w:val="1"/>
          <w:szCs w:val="1"/>
          <w:color w:val="auto"/>
        </w:rPr>
        <w:drawing>
          <wp:inline distT="0" distB="0" distL="0" distR="0">
            <wp:extent cx="119380" cy="11938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19380" cy="119380"/>
                    </a:xfrm>
                    <a:prstGeom prst="rect">
                      <a:avLst/>
                    </a:prstGeom>
                    <a:noFill/>
                    <a:ln>
                      <a:noFill/>
                    </a:ln>
                  </pic:spPr>
                </pic:pic>
              </a:graphicData>
            </a:graphic>
          </wp:inline>
        </w:drawing>
      </w:r>
      <w:r>
        <w:rPr>
          <w:rFonts w:ascii="Arial" w:cs="Arial" w:eastAsia="Arial" w:hAnsi="Arial"/>
          <w:sz w:val="18"/>
          <w:szCs w:val="18"/>
          <w:color w:val="auto"/>
        </w:rPr>
        <w: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26" w:lineRule="exact"/>
        <w:rPr>
          <w:sz w:val="20"/>
          <w:szCs w:val="20"/>
          <w:color w:val="auto"/>
        </w:rPr>
      </w:pPr>
    </w:p>
    <w:p>
      <w:pPr>
        <w:jc w:val="both"/>
        <w:ind w:firstLine="322"/>
        <w:spacing w:after="0" w:line="309" w:lineRule="auto"/>
        <w:rPr>
          <w:sz w:val="20"/>
          <w:szCs w:val="20"/>
          <w:color w:val="auto"/>
        </w:rPr>
      </w:pPr>
      <w:r>
        <w:rPr>
          <w:rFonts w:ascii="Arial" w:cs="Arial" w:eastAsia="Arial" w:hAnsi="Arial"/>
          <w:sz w:val="16"/>
          <w:szCs w:val="16"/>
          <w:color w:val="auto"/>
        </w:rPr>
        <w:t>The responses of the Reporting Persons to Items 2(a) and 4(a) are incorporated herein by reference. Under certain circumstances, partners, members or managed accounts of a Reporting Person or another person named above in Item 4, as the case may be, could have the right to receive or the power to direct the receipt of dividends from, or the proceeds from the sale of, shares of Common Stock beneficially owned by such Reporting Person.</w:t>
      </w:r>
    </w:p>
    <w:p>
      <w:pPr>
        <w:spacing w:after="0" w:line="144" w:lineRule="exact"/>
        <w:rPr>
          <w:sz w:val="20"/>
          <w:szCs w:val="20"/>
          <w:color w:val="auto"/>
        </w:rPr>
      </w:pPr>
    </w:p>
    <w:p>
      <w:pPr>
        <w:ind w:left="640" w:right="280" w:hanging="643"/>
        <w:spacing w:after="0" w:line="279" w:lineRule="auto"/>
        <w:rPr>
          <w:sz w:val="20"/>
          <w:szCs w:val="20"/>
          <w:color w:val="auto"/>
        </w:rPr>
      </w:pPr>
      <w:r>
        <w:rPr>
          <w:rFonts w:ascii="Arial" w:cs="Arial" w:eastAsia="Arial" w:hAnsi="Arial"/>
          <w:sz w:val="18"/>
          <w:szCs w:val="18"/>
          <w:b w:val="1"/>
          <w:bCs w:val="1"/>
          <w:color w:val="auto"/>
        </w:rPr>
        <w:t>Item 7. Identification and Classification of the Subsidiary Which Acquired the Security Being Reported on By the Parent Holding Company or Control Person.</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See Item 4(a)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303530</wp:posOffset>
            </wp:positionV>
            <wp:extent cx="7086600"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086600" cy="25400"/>
                    </a:xfrm>
                    <a:prstGeom prst="rect">
                      <a:avLst/>
                    </a:prstGeom>
                    <a:noFill/>
                  </pic:spPr>
                </pic:pic>
              </a:graphicData>
            </a:graphic>
          </wp:anchor>
        </w:drawing>
      </w:r>
    </w:p>
    <w:p>
      <w:pPr>
        <w:sectPr>
          <w:pgSz w:w="12240" w:h="15840" w:orient="portrait"/>
          <w:cols w:equalWidth="0" w:num="1">
            <w:col w:w="11160"/>
          </w:cols>
          <w:pgMar w:left="520" w:top="330" w:right="560"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26" w:lineRule="exact"/>
        <w:rPr>
          <w:sz w:val="20"/>
          <w:szCs w:val="20"/>
          <w:color w:val="auto"/>
        </w:rPr>
      </w:pPr>
    </w:p>
    <w:p>
      <w:pPr>
        <w:ind w:firstLine="322"/>
        <w:spacing w:after="0" w:line="294" w:lineRule="auto"/>
        <w:rPr>
          <w:sz w:val="20"/>
          <w:szCs w:val="20"/>
          <w:color w:val="auto"/>
        </w:rPr>
      </w:pPr>
      <w:r>
        <w:rPr>
          <w:rFonts w:ascii="Arial" w:cs="Arial" w:eastAsia="Arial" w:hAnsi="Arial"/>
          <w:sz w:val="16"/>
          <w:szCs w:val="16"/>
          <w:color w:val="auto"/>
        </w:rPr>
        <w:t>As described in Item 4 above, certain of the Reporting Persons are, along with KKR, each party to the Agreement, which previously contained certain provisions relating to voting of securities of the Issuer, which provisions have been terminated. As a result, the Reporting Persons and the other Investors and/or certain of their affiliates are no longer acting as a “group” within the meaning of Section 13(d) under the Act. The Reporting Persons expressly disclaim beneficial ownership over any shares of Common Stock that they may have been deemed to beneficially own solely by reason of the Agreement. Certain entities affiliated with KKR are separately making Schedule 13G filings reporting their beneficial ownership of shares of Common Stock.</w:t>
      </w:r>
    </w:p>
    <w:p>
      <w:pPr>
        <w:spacing w:after="0" w:line="157" w:lineRule="exact"/>
        <w:rPr>
          <w:sz w:val="20"/>
          <w:szCs w:val="20"/>
          <w:color w:val="auto"/>
        </w:rPr>
      </w:pPr>
    </w:p>
    <w:p>
      <w:pPr>
        <w:jc w:val="center"/>
        <w:ind w:right="9300"/>
        <w:spacing w:after="0"/>
        <w:rPr>
          <w:sz w:val="20"/>
          <w:szCs w:val="20"/>
          <w:color w:val="auto"/>
        </w:rPr>
      </w:pPr>
      <w:r>
        <w:rPr>
          <w:rFonts w:ascii="Arial" w:cs="Arial" w:eastAsia="Arial" w:hAnsi="Arial"/>
          <w:sz w:val="16"/>
          <w:szCs w:val="16"/>
          <w:b w:val="1"/>
          <w:bCs w:val="1"/>
          <w:color w:val="auto"/>
        </w:rPr>
        <w:t>Item 10. Certifications.</w:t>
      </w:r>
    </w:p>
    <w:p>
      <w:pPr>
        <w:spacing w:after="0" w:line="24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303530</wp:posOffset>
            </wp:positionV>
            <wp:extent cx="7086600"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086600" cy="25400"/>
                    </a:xfrm>
                    <a:prstGeom prst="rect">
                      <a:avLst/>
                    </a:prstGeom>
                    <a:noFill/>
                  </pic:spPr>
                </pic:pic>
              </a:graphicData>
            </a:graphic>
          </wp:anchor>
        </w:drawing>
      </w:r>
    </w:p>
    <w:p>
      <w:pPr>
        <w:sectPr>
          <w:pgSz w:w="12240" w:h="15840" w:orient="portrait"/>
          <w:cols w:equalWidth="0" w:num="1">
            <w:col w:w="11060"/>
          </w:cols>
          <w:pgMar w:left="520" w:top="759" w:right="660" w:bottom="1440" w:gutter="0" w:footer="0" w:header="0"/>
        </w:sectPr>
      </w:pPr>
    </w:p>
    <w:bookmarkStart w:id="10" w:name="page11"/>
    <w:bookmarkEnd w:id="10"/>
    <w:p>
      <w:pPr>
        <w:jc w:val="center"/>
        <w:ind w:left="640"/>
        <w:spacing w:after="0"/>
        <w:rPr>
          <w:sz w:val="20"/>
          <w:szCs w:val="20"/>
          <w:color w:val="auto"/>
        </w:rPr>
      </w:pPr>
      <w:r>
        <w:rPr>
          <w:rFonts w:ascii="Arial" w:cs="Arial" w:eastAsia="Arial" w:hAnsi="Arial"/>
          <w:sz w:val="18"/>
          <w:szCs w:val="18"/>
          <w:b w:val="1"/>
          <w:bCs w:val="1"/>
          <w:color w:val="auto"/>
        </w:rPr>
        <w:t>SIGNATURES</w:t>
      </w:r>
    </w:p>
    <w:p>
      <w:pPr>
        <w:spacing w:after="0" w:line="226" w:lineRule="exact"/>
        <w:rPr>
          <w:sz w:val="20"/>
          <w:szCs w:val="20"/>
          <w:color w:val="auto"/>
        </w:rPr>
      </w:pPr>
    </w:p>
    <w:p>
      <w:pPr>
        <w:ind w:left="6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2019</w:t>
      </w:r>
    </w:p>
    <w:p>
      <w:pPr>
        <w:spacing w:after="0" w:line="22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BERKSHIRE FUND VI, Limited Partnership</w:t>
      </w:r>
    </w:p>
    <w:p>
      <w:pPr>
        <w:spacing w:after="0" w:line="200" w:lineRule="exact"/>
        <w:rPr>
          <w:sz w:val="20"/>
          <w:szCs w:val="20"/>
          <w:color w:val="auto"/>
        </w:rPr>
      </w:pPr>
    </w:p>
    <w:p>
      <w:pPr>
        <w:spacing w:after="0" w:line="264" w:lineRule="exact"/>
        <w:rPr>
          <w:sz w:val="20"/>
          <w:szCs w:val="20"/>
          <w:color w:val="auto"/>
        </w:rPr>
      </w:pPr>
    </w:p>
    <w:tbl>
      <w:tblPr>
        <w:tblLayout w:type="fixed"/>
        <w:tblInd w:w="5820" w:type="dxa"/>
        <w:tblCellMar>
          <w:top w:w="0" w:type="dxa"/>
          <w:left w:w="0" w:type="dxa"/>
          <w:bottom w:w="0" w:type="dxa"/>
          <w:right w:w="0" w:type="dxa"/>
        </w:tblCellMar>
      </w:tblPr>
      <w:tr>
        <w:trPr>
          <w:trHeight w:val="215"/>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18"/>
                <w:szCs w:val="18"/>
                <w:color w:val="auto"/>
              </w:rPr>
            </w:pPr>
          </w:p>
        </w:tc>
        <w:tc>
          <w:tcPr>
            <w:tcW w:w="4440" w:type="dxa"/>
            <w:vAlign w:val="bottom"/>
          </w:tcPr>
          <w:p>
            <w:pPr>
              <w:ind w:left="100"/>
              <w:spacing w:after="0"/>
              <w:rPr>
                <w:sz w:val="20"/>
                <w:szCs w:val="20"/>
                <w:color w:val="auto"/>
              </w:rPr>
            </w:pPr>
            <w:r>
              <w:rPr>
                <w:rFonts w:ascii="Arial" w:cs="Arial" w:eastAsia="Arial" w:hAnsi="Arial"/>
                <w:sz w:val="18"/>
                <w:szCs w:val="18"/>
                <w:color w:val="auto"/>
              </w:rPr>
              <w:t>Sixth Berkshire Associates LLC,</w:t>
            </w:r>
          </w:p>
        </w:tc>
      </w:tr>
      <w:tr>
        <w:trPr>
          <w:trHeight w:val="229"/>
        </w:trPr>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40" w:type="dxa"/>
            <w:vAlign w:val="bottom"/>
          </w:tcPr>
          <w:p>
            <w:pPr>
              <w:ind w:left="100"/>
              <w:spacing w:after="0"/>
              <w:rPr>
                <w:sz w:val="20"/>
                <w:szCs w:val="20"/>
                <w:color w:val="auto"/>
              </w:rPr>
            </w:pPr>
            <w:r>
              <w:rPr>
                <w:rFonts w:ascii="Arial" w:cs="Arial" w:eastAsia="Arial" w:hAnsi="Arial"/>
                <w:sz w:val="18"/>
                <w:szCs w:val="18"/>
                <w:color w:val="auto"/>
              </w:rPr>
              <w:t>its general partner</w:t>
            </w:r>
          </w:p>
        </w:tc>
      </w:tr>
      <w:tr>
        <w:trPr>
          <w:trHeight w:val="429"/>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100" w:type="dxa"/>
            <w:vAlign w:val="bottom"/>
          </w:tcPr>
          <w:p>
            <w:pPr>
              <w:spacing w:after="0"/>
              <w:rPr>
                <w:sz w:val="24"/>
                <w:szCs w:val="24"/>
                <w:color w:val="auto"/>
              </w:rPr>
            </w:pPr>
          </w:p>
        </w:tc>
        <w:tc>
          <w:tcPr>
            <w:tcW w:w="44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Kenneth S. Bring</w:t>
            </w:r>
          </w:p>
        </w:tc>
      </w:tr>
      <w:tr>
        <w:trPr>
          <w:trHeight w:val="194"/>
        </w:trPr>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40" w:type="dxa"/>
            <w:vAlign w:val="bottom"/>
          </w:tcPr>
          <w:p>
            <w:pPr>
              <w:ind w:left="100"/>
              <w:spacing w:after="0" w:line="194" w:lineRule="exact"/>
              <w:rPr>
                <w:sz w:val="20"/>
                <w:szCs w:val="20"/>
                <w:color w:val="auto"/>
              </w:rPr>
            </w:pPr>
            <w:r>
              <w:rPr>
                <w:rFonts w:ascii="Arial" w:cs="Arial" w:eastAsia="Arial" w:hAnsi="Arial"/>
                <w:sz w:val="18"/>
                <w:szCs w:val="18"/>
                <w:color w:val="auto"/>
              </w:rPr>
              <w:t>Name: Kenneth S. Bring</w:t>
            </w:r>
          </w:p>
        </w:tc>
      </w:tr>
      <w:tr>
        <w:trPr>
          <w:trHeight w:val="229"/>
        </w:trPr>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40" w:type="dxa"/>
            <w:vAlign w:val="bottom"/>
          </w:tcPr>
          <w:p>
            <w:pPr>
              <w:ind w:left="100"/>
              <w:spacing w:after="0"/>
              <w:rPr>
                <w:sz w:val="20"/>
                <w:szCs w:val="20"/>
                <w:color w:val="auto"/>
              </w:rPr>
            </w:pPr>
            <w:r>
              <w:rPr>
                <w:rFonts w:ascii="Arial" w:cs="Arial" w:eastAsia="Arial" w:hAnsi="Arial"/>
                <w:sz w:val="18"/>
                <w:szCs w:val="18"/>
                <w:color w:val="auto"/>
              </w:rPr>
              <w:t>Title: Managing Director</w:t>
            </w:r>
          </w:p>
        </w:tc>
      </w:tr>
      <w:tr>
        <w:trPr>
          <w:trHeight w:val="429"/>
        </w:trPr>
        <w:tc>
          <w:tcPr>
            <w:tcW w:w="5340" w:type="dxa"/>
            <w:vAlign w:val="bottom"/>
            <w:gridSpan w:val="3"/>
          </w:tcPr>
          <w:p>
            <w:pPr>
              <w:spacing w:after="0"/>
              <w:rPr>
                <w:sz w:val="20"/>
                <w:szCs w:val="20"/>
                <w:color w:val="auto"/>
              </w:rPr>
            </w:pPr>
            <w:r>
              <w:rPr>
                <w:rFonts w:ascii="Arial" w:cs="Arial" w:eastAsia="Arial" w:hAnsi="Arial"/>
                <w:sz w:val="18"/>
                <w:szCs w:val="18"/>
                <w:color w:val="auto"/>
              </w:rPr>
              <w:t>BERKSHIRE INVESTORS LLC</w:t>
            </w:r>
          </w:p>
        </w:tc>
      </w:tr>
      <w:tr>
        <w:trPr>
          <w:trHeight w:val="644"/>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Kenneth S. Bring</w:t>
            </w:r>
          </w:p>
        </w:tc>
      </w:tr>
      <w:tr>
        <w:trPr>
          <w:trHeight w:val="194"/>
        </w:trPr>
        <w:tc>
          <w:tcPr>
            <w:tcW w:w="800" w:type="dxa"/>
            <w:vAlign w:val="bottom"/>
          </w:tcPr>
          <w:p>
            <w:pPr>
              <w:spacing w:after="0"/>
              <w:rPr>
                <w:sz w:val="16"/>
                <w:szCs w:val="16"/>
                <w:color w:val="auto"/>
              </w:rPr>
            </w:pPr>
          </w:p>
        </w:tc>
        <w:tc>
          <w:tcPr>
            <w:tcW w:w="4540" w:type="dxa"/>
            <w:vAlign w:val="bottom"/>
            <w:gridSpan w:val="2"/>
          </w:tcPr>
          <w:p>
            <w:pPr>
              <w:ind w:left="80"/>
              <w:spacing w:after="0" w:line="194" w:lineRule="exact"/>
              <w:rPr>
                <w:sz w:val="20"/>
                <w:szCs w:val="20"/>
                <w:color w:val="auto"/>
              </w:rPr>
            </w:pPr>
            <w:r>
              <w:rPr>
                <w:rFonts w:ascii="Arial" w:cs="Arial" w:eastAsia="Arial" w:hAnsi="Arial"/>
                <w:sz w:val="18"/>
                <w:szCs w:val="18"/>
                <w:color w:val="auto"/>
              </w:rPr>
              <w:t>Name: Kenneth S. Bring</w:t>
            </w:r>
          </w:p>
        </w:tc>
      </w:tr>
      <w:tr>
        <w:trPr>
          <w:trHeight w:val="229"/>
        </w:trPr>
        <w:tc>
          <w:tcPr>
            <w:tcW w:w="800" w:type="dxa"/>
            <w:vAlign w:val="bottom"/>
          </w:tcPr>
          <w:p>
            <w:pPr>
              <w:spacing w:after="0"/>
              <w:rPr>
                <w:sz w:val="19"/>
                <w:szCs w:val="19"/>
                <w:color w:val="auto"/>
              </w:rPr>
            </w:pPr>
          </w:p>
        </w:tc>
        <w:tc>
          <w:tcPr>
            <w:tcW w:w="4540" w:type="dxa"/>
            <w:vAlign w:val="bottom"/>
            <w:gridSpan w:val="2"/>
          </w:tcPr>
          <w:p>
            <w:pPr>
              <w:ind w:left="80"/>
              <w:spacing w:after="0"/>
              <w:rPr>
                <w:sz w:val="20"/>
                <w:szCs w:val="20"/>
                <w:color w:val="auto"/>
              </w:rPr>
            </w:pPr>
            <w:r>
              <w:rPr>
                <w:rFonts w:ascii="Arial" w:cs="Arial" w:eastAsia="Arial" w:hAnsi="Arial"/>
                <w:sz w:val="18"/>
                <w:szCs w:val="18"/>
                <w:color w:val="auto"/>
              </w:rPr>
              <w:t>Title: Managing Director</w:t>
            </w:r>
          </w:p>
        </w:tc>
      </w:tr>
      <w:tr>
        <w:trPr>
          <w:trHeight w:val="644"/>
        </w:trPr>
        <w:tc>
          <w:tcPr>
            <w:tcW w:w="5340" w:type="dxa"/>
            <w:vAlign w:val="bottom"/>
            <w:gridSpan w:val="3"/>
          </w:tcPr>
          <w:p>
            <w:pPr>
              <w:spacing w:after="0"/>
              <w:rPr>
                <w:sz w:val="20"/>
                <w:szCs w:val="20"/>
                <w:color w:val="auto"/>
              </w:rPr>
            </w:pPr>
            <w:r>
              <w:rPr>
                <w:rFonts w:ascii="Arial" w:cs="Arial" w:eastAsia="Arial" w:hAnsi="Arial"/>
                <w:sz w:val="18"/>
                <w:szCs w:val="18"/>
                <w:color w:val="auto"/>
              </w:rPr>
              <w:t>BERKSHIRE INVESTORS III LLC</w:t>
            </w:r>
          </w:p>
        </w:tc>
      </w:tr>
      <w:tr>
        <w:trPr>
          <w:trHeight w:val="644"/>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/s/Kenneth S. Bring</w:t>
            </w:r>
          </w:p>
        </w:tc>
      </w:tr>
      <w:tr>
        <w:trPr>
          <w:trHeight w:val="194"/>
        </w:trPr>
        <w:tc>
          <w:tcPr>
            <w:tcW w:w="800" w:type="dxa"/>
            <w:vAlign w:val="bottom"/>
          </w:tcPr>
          <w:p>
            <w:pPr>
              <w:spacing w:after="0"/>
              <w:rPr>
                <w:sz w:val="16"/>
                <w:szCs w:val="16"/>
                <w:color w:val="auto"/>
              </w:rPr>
            </w:pPr>
          </w:p>
        </w:tc>
        <w:tc>
          <w:tcPr>
            <w:tcW w:w="4540" w:type="dxa"/>
            <w:vAlign w:val="bottom"/>
            <w:gridSpan w:val="2"/>
          </w:tcPr>
          <w:p>
            <w:pPr>
              <w:ind w:left="80"/>
              <w:spacing w:after="0" w:line="194" w:lineRule="exact"/>
              <w:rPr>
                <w:sz w:val="20"/>
                <w:szCs w:val="20"/>
                <w:color w:val="auto"/>
              </w:rPr>
            </w:pPr>
            <w:r>
              <w:rPr>
                <w:rFonts w:ascii="Arial" w:cs="Arial" w:eastAsia="Arial" w:hAnsi="Arial"/>
                <w:sz w:val="18"/>
                <w:szCs w:val="18"/>
                <w:color w:val="auto"/>
              </w:rPr>
              <w:t>Name: Kenneth S. Bring</w:t>
            </w:r>
          </w:p>
        </w:tc>
      </w:tr>
      <w:tr>
        <w:trPr>
          <w:trHeight w:val="229"/>
        </w:trPr>
        <w:tc>
          <w:tcPr>
            <w:tcW w:w="800" w:type="dxa"/>
            <w:vAlign w:val="bottom"/>
          </w:tcPr>
          <w:p>
            <w:pPr>
              <w:spacing w:after="0"/>
              <w:rPr>
                <w:sz w:val="19"/>
                <w:szCs w:val="19"/>
                <w:color w:val="auto"/>
              </w:rPr>
            </w:pPr>
          </w:p>
        </w:tc>
        <w:tc>
          <w:tcPr>
            <w:tcW w:w="4540" w:type="dxa"/>
            <w:vAlign w:val="bottom"/>
            <w:gridSpan w:val="2"/>
          </w:tcPr>
          <w:p>
            <w:pPr>
              <w:ind w:left="80"/>
              <w:spacing w:after="0"/>
              <w:rPr>
                <w:sz w:val="20"/>
                <w:szCs w:val="20"/>
                <w:color w:val="auto"/>
              </w:rPr>
            </w:pPr>
            <w:r>
              <w:rPr>
                <w:rFonts w:ascii="Arial" w:cs="Arial" w:eastAsia="Arial" w:hAnsi="Arial"/>
                <w:sz w:val="18"/>
                <w:szCs w:val="18"/>
                <w:color w:val="auto"/>
              </w:rPr>
              <w:t>Title: Managing Director</w:t>
            </w:r>
          </w:p>
        </w:tc>
      </w:tr>
      <w:tr>
        <w:trPr>
          <w:trHeight w:val="644"/>
        </w:trPr>
        <w:tc>
          <w:tcPr>
            <w:tcW w:w="5340" w:type="dxa"/>
            <w:vAlign w:val="bottom"/>
            <w:gridSpan w:val="3"/>
          </w:tcPr>
          <w:p>
            <w:pPr>
              <w:spacing w:after="0"/>
              <w:rPr>
                <w:sz w:val="20"/>
                <w:szCs w:val="20"/>
                <w:color w:val="auto"/>
              </w:rPr>
            </w:pPr>
            <w:r>
              <w:rPr>
                <w:rFonts w:ascii="Arial" w:cs="Arial" w:eastAsia="Arial" w:hAnsi="Arial"/>
                <w:sz w:val="18"/>
                <w:szCs w:val="18"/>
                <w:color w:val="auto"/>
              </w:rPr>
              <w:t>BERKSHIRE PARTNERS LLC</w:t>
            </w:r>
          </w:p>
        </w:tc>
      </w:tr>
      <w:tr>
        <w:trPr>
          <w:trHeight w:val="629"/>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gridSpan w:val="2"/>
          </w:tcPr>
          <w:p>
            <w:pPr>
              <w:ind w:left="80"/>
              <w:spacing w:after="0"/>
              <w:rPr>
                <w:sz w:val="20"/>
                <w:szCs w:val="20"/>
                <w:color w:val="auto"/>
              </w:rPr>
            </w:pPr>
            <w:r>
              <w:rPr>
                <w:rFonts w:ascii="Arial" w:cs="Arial" w:eastAsia="Arial" w:hAnsi="Arial"/>
                <w:sz w:val="18"/>
                <w:szCs w:val="18"/>
                <w:color w:val="auto"/>
              </w:rPr>
              <w:t>BPSP, L.P.,</w:t>
            </w:r>
          </w:p>
        </w:tc>
      </w:tr>
      <w:tr>
        <w:trPr>
          <w:trHeight w:val="215"/>
        </w:trPr>
        <w:tc>
          <w:tcPr>
            <w:tcW w:w="800" w:type="dxa"/>
            <w:vAlign w:val="bottom"/>
          </w:tcPr>
          <w:p>
            <w:pPr>
              <w:spacing w:after="0"/>
              <w:rPr>
                <w:sz w:val="18"/>
                <w:szCs w:val="18"/>
                <w:color w:val="auto"/>
              </w:rPr>
            </w:pPr>
          </w:p>
        </w:tc>
        <w:tc>
          <w:tcPr>
            <w:tcW w:w="4540" w:type="dxa"/>
            <w:vAlign w:val="bottom"/>
            <w:gridSpan w:val="2"/>
          </w:tcPr>
          <w:p>
            <w:pPr>
              <w:ind w:left="80"/>
              <w:spacing w:after="0"/>
              <w:rPr>
                <w:sz w:val="20"/>
                <w:szCs w:val="20"/>
                <w:color w:val="auto"/>
              </w:rPr>
            </w:pPr>
            <w:r>
              <w:rPr>
                <w:rFonts w:ascii="Arial" w:cs="Arial" w:eastAsia="Arial" w:hAnsi="Arial"/>
                <w:sz w:val="18"/>
                <w:szCs w:val="18"/>
                <w:color w:val="auto"/>
              </w:rPr>
              <w:t>its managing member</w:t>
            </w:r>
          </w:p>
        </w:tc>
      </w:tr>
      <w:tr>
        <w:trPr>
          <w:trHeight w:val="215"/>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gridSpan w:val="2"/>
          </w:tcPr>
          <w:p>
            <w:pPr>
              <w:ind w:left="80"/>
              <w:spacing w:after="0"/>
              <w:rPr>
                <w:sz w:val="20"/>
                <w:szCs w:val="20"/>
                <w:color w:val="auto"/>
              </w:rPr>
            </w:pPr>
            <w:r>
              <w:rPr>
                <w:rFonts w:ascii="Arial" w:cs="Arial" w:eastAsia="Arial" w:hAnsi="Arial"/>
                <w:sz w:val="18"/>
                <w:szCs w:val="18"/>
                <w:color w:val="auto"/>
              </w:rPr>
              <w:t>Berkshire Partners Holdings LLC,</w:t>
            </w:r>
          </w:p>
        </w:tc>
      </w:tr>
      <w:tr>
        <w:trPr>
          <w:trHeight w:val="229"/>
        </w:trPr>
        <w:tc>
          <w:tcPr>
            <w:tcW w:w="800" w:type="dxa"/>
            <w:vAlign w:val="bottom"/>
          </w:tcPr>
          <w:p>
            <w:pPr>
              <w:spacing w:after="0"/>
              <w:rPr>
                <w:sz w:val="19"/>
                <w:szCs w:val="19"/>
                <w:color w:val="auto"/>
              </w:rPr>
            </w:pPr>
          </w:p>
        </w:tc>
        <w:tc>
          <w:tcPr>
            <w:tcW w:w="4540" w:type="dxa"/>
            <w:vAlign w:val="bottom"/>
            <w:gridSpan w:val="2"/>
          </w:tcPr>
          <w:p>
            <w:pPr>
              <w:ind w:left="80"/>
              <w:spacing w:after="0"/>
              <w:rPr>
                <w:sz w:val="20"/>
                <w:szCs w:val="20"/>
                <w:color w:val="auto"/>
              </w:rPr>
            </w:pPr>
            <w:r>
              <w:rPr>
                <w:rFonts w:ascii="Arial" w:cs="Arial" w:eastAsia="Arial" w:hAnsi="Arial"/>
                <w:sz w:val="18"/>
                <w:szCs w:val="18"/>
                <w:color w:val="auto"/>
              </w:rPr>
              <w:t>its general partner</w:t>
            </w:r>
          </w:p>
        </w:tc>
      </w:tr>
      <w:tr>
        <w:trPr>
          <w:trHeight w:val="429"/>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/s/ Kenneth S. Bring</w:t>
            </w:r>
          </w:p>
        </w:tc>
      </w:tr>
      <w:tr>
        <w:trPr>
          <w:trHeight w:val="194"/>
        </w:trPr>
        <w:tc>
          <w:tcPr>
            <w:tcW w:w="800" w:type="dxa"/>
            <w:vAlign w:val="bottom"/>
          </w:tcPr>
          <w:p>
            <w:pPr>
              <w:spacing w:after="0"/>
              <w:rPr>
                <w:sz w:val="16"/>
                <w:szCs w:val="16"/>
                <w:color w:val="auto"/>
              </w:rPr>
            </w:pPr>
          </w:p>
        </w:tc>
        <w:tc>
          <w:tcPr>
            <w:tcW w:w="4540" w:type="dxa"/>
            <w:vAlign w:val="bottom"/>
            <w:gridSpan w:val="2"/>
          </w:tcPr>
          <w:p>
            <w:pPr>
              <w:ind w:left="80"/>
              <w:spacing w:after="0" w:line="194" w:lineRule="exact"/>
              <w:rPr>
                <w:sz w:val="20"/>
                <w:szCs w:val="20"/>
                <w:color w:val="auto"/>
              </w:rPr>
            </w:pPr>
            <w:r>
              <w:rPr>
                <w:rFonts w:ascii="Arial" w:cs="Arial" w:eastAsia="Arial" w:hAnsi="Arial"/>
                <w:sz w:val="18"/>
                <w:szCs w:val="18"/>
                <w:color w:val="auto"/>
              </w:rPr>
              <w:t>Name: Kenneth S. Bring</w:t>
            </w:r>
          </w:p>
        </w:tc>
      </w:tr>
      <w:tr>
        <w:trPr>
          <w:trHeight w:val="229"/>
        </w:trPr>
        <w:tc>
          <w:tcPr>
            <w:tcW w:w="800" w:type="dxa"/>
            <w:vAlign w:val="bottom"/>
          </w:tcPr>
          <w:p>
            <w:pPr>
              <w:spacing w:after="0"/>
              <w:rPr>
                <w:sz w:val="19"/>
                <w:szCs w:val="19"/>
                <w:color w:val="auto"/>
              </w:rPr>
            </w:pPr>
          </w:p>
        </w:tc>
        <w:tc>
          <w:tcPr>
            <w:tcW w:w="4540" w:type="dxa"/>
            <w:vAlign w:val="bottom"/>
            <w:gridSpan w:val="2"/>
          </w:tcPr>
          <w:p>
            <w:pPr>
              <w:ind w:left="80"/>
              <w:spacing w:after="0"/>
              <w:rPr>
                <w:sz w:val="20"/>
                <w:szCs w:val="20"/>
                <w:color w:val="auto"/>
              </w:rPr>
            </w:pPr>
            <w:r>
              <w:rPr>
                <w:rFonts w:ascii="Arial" w:cs="Arial" w:eastAsia="Arial" w:hAnsi="Arial"/>
                <w:sz w:val="18"/>
                <w:szCs w:val="18"/>
                <w:color w:val="auto"/>
              </w:rPr>
              <w:t>Title: Managing Director</w:t>
            </w:r>
          </w:p>
        </w:tc>
      </w:tr>
    </w:tbl>
    <w:p>
      <w:pPr>
        <w:spacing w:after="0" w:line="200" w:lineRule="exact"/>
        <w:rPr>
          <w:sz w:val="20"/>
          <w:szCs w:val="20"/>
          <w:color w:val="auto"/>
        </w:rPr>
      </w:pPr>
    </w:p>
    <w:p>
      <w:pPr>
        <w:spacing w:after="0" w:line="2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BERKSHIRE PARTNERS HOLDINGS LLC</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20" w:type="dxa"/>
            <w:vAlign w:val="bottom"/>
          </w:tcPr>
          <w:p>
            <w:pPr>
              <w:ind w:left="5820"/>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Kenneth S. Bring</w:t>
            </w:r>
          </w:p>
        </w:tc>
      </w:tr>
      <w:tr>
        <w:trPr>
          <w:trHeight w:val="194"/>
        </w:trPr>
        <w:tc>
          <w:tcPr>
            <w:tcW w:w="6620" w:type="dxa"/>
            <w:vAlign w:val="bottom"/>
          </w:tcPr>
          <w:p>
            <w:pPr>
              <w:spacing w:after="0"/>
              <w:rPr>
                <w:sz w:val="16"/>
                <w:szCs w:val="16"/>
                <w:color w:val="auto"/>
              </w:rPr>
            </w:pPr>
          </w:p>
        </w:tc>
        <w:tc>
          <w:tcPr>
            <w:tcW w:w="4540" w:type="dxa"/>
            <w:vAlign w:val="bottom"/>
          </w:tcPr>
          <w:p>
            <w:pPr>
              <w:ind w:left="80"/>
              <w:spacing w:after="0" w:line="194" w:lineRule="exact"/>
              <w:rPr>
                <w:sz w:val="20"/>
                <w:szCs w:val="20"/>
                <w:color w:val="auto"/>
              </w:rPr>
            </w:pPr>
            <w:r>
              <w:rPr>
                <w:rFonts w:ascii="Arial" w:cs="Arial" w:eastAsia="Arial" w:hAnsi="Arial"/>
                <w:sz w:val="18"/>
                <w:szCs w:val="18"/>
                <w:color w:val="auto"/>
              </w:rPr>
              <w:t>Name: Kenneth S. Bring</w:t>
            </w:r>
          </w:p>
        </w:tc>
      </w:tr>
      <w:tr>
        <w:trPr>
          <w:trHeight w:val="229"/>
        </w:trPr>
        <w:tc>
          <w:tcPr>
            <w:tcW w:w="6620" w:type="dxa"/>
            <w:vAlign w:val="bottom"/>
          </w:tcPr>
          <w:p>
            <w:pPr>
              <w:spacing w:after="0"/>
              <w:rPr>
                <w:sz w:val="19"/>
                <w:szCs w:val="19"/>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Title: Managing Director</w:t>
            </w:r>
          </w:p>
        </w:tc>
      </w:tr>
      <w:tr>
        <w:trPr>
          <w:trHeight w:val="644"/>
        </w:trPr>
        <w:tc>
          <w:tcPr>
            <w:tcW w:w="6620" w:type="dxa"/>
            <w:vAlign w:val="bottom"/>
          </w:tcPr>
          <w:p>
            <w:pPr>
              <w:ind w:left="5820"/>
              <w:spacing w:after="0"/>
              <w:rPr>
                <w:sz w:val="20"/>
                <w:szCs w:val="20"/>
                <w:color w:val="auto"/>
              </w:rPr>
            </w:pPr>
            <w:r>
              <w:rPr>
                <w:rFonts w:ascii="Arial" w:cs="Arial" w:eastAsia="Arial" w:hAnsi="Arial"/>
                <w:sz w:val="18"/>
                <w:szCs w:val="18"/>
                <w:color w:val="auto"/>
                <w:w w:val="86"/>
              </w:rPr>
              <w:t>BPSP, L.P.</w:t>
            </w:r>
          </w:p>
        </w:tc>
        <w:tc>
          <w:tcPr>
            <w:tcW w:w="4540" w:type="dxa"/>
            <w:vAlign w:val="bottom"/>
          </w:tcPr>
          <w:p>
            <w:pPr>
              <w:spacing w:after="0"/>
              <w:rPr>
                <w:sz w:val="24"/>
                <w:szCs w:val="24"/>
                <w:color w:val="auto"/>
              </w:rPr>
            </w:pPr>
          </w:p>
        </w:tc>
      </w:tr>
      <w:tr>
        <w:trPr>
          <w:trHeight w:val="629"/>
        </w:trPr>
        <w:tc>
          <w:tcPr>
            <w:tcW w:w="6620" w:type="dxa"/>
            <w:vAlign w:val="bottom"/>
          </w:tcPr>
          <w:p>
            <w:pPr>
              <w:ind w:left="5820"/>
              <w:spacing w:after="0"/>
              <w:rPr>
                <w:sz w:val="20"/>
                <w:szCs w:val="20"/>
                <w:color w:val="auto"/>
              </w:rPr>
            </w:pPr>
            <w:r>
              <w:rPr>
                <w:rFonts w:ascii="Arial" w:cs="Arial" w:eastAsia="Arial" w:hAnsi="Arial"/>
                <w:sz w:val="18"/>
                <w:szCs w:val="18"/>
                <w:color w:val="auto"/>
              </w:rPr>
              <w:t>By:</w:t>
            </w:r>
          </w:p>
        </w:tc>
        <w:tc>
          <w:tcPr>
            <w:tcW w:w="4540" w:type="dxa"/>
            <w:vAlign w:val="bottom"/>
          </w:tcPr>
          <w:p>
            <w:pPr>
              <w:ind w:left="80"/>
              <w:spacing w:after="0"/>
              <w:rPr>
                <w:sz w:val="20"/>
                <w:szCs w:val="20"/>
                <w:color w:val="auto"/>
              </w:rPr>
            </w:pPr>
            <w:r>
              <w:rPr>
                <w:rFonts w:ascii="Arial" w:cs="Arial" w:eastAsia="Arial" w:hAnsi="Arial"/>
                <w:sz w:val="18"/>
                <w:szCs w:val="18"/>
                <w:color w:val="auto"/>
              </w:rPr>
              <w:t>Berkshire Partners Holdings LLC,</w:t>
            </w:r>
          </w:p>
        </w:tc>
      </w:tr>
      <w:tr>
        <w:trPr>
          <w:trHeight w:val="229"/>
        </w:trPr>
        <w:tc>
          <w:tcPr>
            <w:tcW w:w="6620" w:type="dxa"/>
            <w:vAlign w:val="bottom"/>
          </w:tcPr>
          <w:p>
            <w:pPr>
              <w:spacing w:after="0"/>
              <w:rPr>
                <w:sz w:val="19"/>
                <w:szCs w:val="19"/>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its general partner</w:t>
            </w:r>
          </w:p>
        </w:tc>
      </w:tr>
      <w:tr>
        <w:trPr>
          <w:trHeight w:val="429"/>
        </w:trPr>
        <w:tc>
          <w:tcPr>
            <w:tcW w:w="6620" w:type="dxa"/>
            <w:vAlign w:val="bottom"/>
          </w:tcPr>
          <w:p>
            <w:pPr>
              <w:ind w:left="5820"/>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 Kenneth S. Bring</w:t>
            </w:r>
          </w:p>
        </w:tc>
      </w:tr>
      <w:tr>
        <w:trPr>
          <w:trHeight w:val="194"/>
        </w:trPr>
        <w:tc>
          <w:tcPr>
            <w:tcW w:w="6620" w:type="dxa"/>
            <w:vAlign w:val="bottom"/>
          </w:tcPr>
          <w:p>
            <w:pPr>
              <w:spacing w:after="0"/>
              <w:rPr>
                <w:sz w:val="16"/>
                <w:szCs w:val="16"/>
                <w:color w:val="auto"/>
              </w:rPr>
            </w:pPr>
          </w:p>
        </w:tc>
        <w:tc>
          <w:tcPr>
            <w:tcW w:w="4540" w:type="dxa"/>
            <w:vAlign w:val="bottom"/>
          </w:tcPr>
          <w:p>
            <w:pPr>
              <w:ind w:left="80"/>
              <w:spacing w:after="0" w:line="194" w:lineRule="exact"/>
              <w:rPr>
                <w:sz w:val="20"/>
                <w:szCs w:val="20"/>
                <w:color w:val="auto"/>
              </w:rPr>
            </w:pPr>
            <w:r>
              <w:rPr>
                <w:rFonts w:ascii="Arial" w:cs="Arial" w:eastAsia="Arial" w:hAnsi="Arial"/>
                <w:sz w:val="18"/>
                <w:szCs w:val="18"/>
                <w:color w:val="auto"/>
              </w:rPr>
              <w:t>Name: Kenneth S. Bring</w:t>
            </w:r>
          </w:p>
        </w:tc>
      </w:tr>
      <w:tr>
        <w:trPr>
          <w:trHeight w:val="229"/>
        </w:trPr>
        <w:tc>
          <w:tcPr>
            <w:tcW w:w="6620" w:type="dxa"/>
            <w:vAlign w:val="bottom"/>
          </w:tcPr>
          <w:p>
            <w:pPr>
              <w:spacing w:after="0"/>
              <w:rPr>
                <w:sz w:val="19"/>
                <w:szCs w:val="19"/>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Title: Managing Director</w:t>
            </w:r>
          </w:p>
        </w:tc>
      </w:tr>
      <w:tr>
        <w:trPr>
          <w:trHeight w:val="691"/>
        </w:trPr>
        <w:tc>
          <w:tcPr>
            <w:tcW w:w="6620" w:type="dxa"/>
            <w:vAlign w:val="bottom"/>
            <w:tcBorders>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ectPr>
          <w:pgSz w:w="12240" w:h="15840" w:orient="portrait"/>
          <w:cols w:equalWidth="0" w:num="1">
            <w:col w:w="11160"/>
          </w:cols>
          <w:pgMar w:left="520" w:top="330" w:right="560" w:bottom="372"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2"/>
              </w:rPr>
              <w:t>Exhibit Index</w:t>
            </w:r>
          </w:p>
        </w:tc>
        <w:tc>
          <w:tcPr>
            <w:tcW w:w="5040" w:type="dxa"/>
            <w:vAlign w:val="bottom"/>
          </w:tcPr>
          <w:p>
            <w:pPr>
              <w:spacing w:after="0"/>
              <w:rPr>
                <w:sz w:val="17"/>
                <w:szCs w:val="17"/>
                <w:color w:val="auto"/>
              </w:rPr>
            </w:pPr>
          </w:p>
        </w:tc>
      </w:tr>
      <w:tr>
        <w:trPr>
          <w:trHeight w:val="409"/>
        </w:trPr>
        <w:tc>
          <w:tcPr>
            <w:tcW w:w="1600" w:type="dxa"/>
            <w:vAlign w:val="bottom"/>
          </w:tcPr>
          <w:p>
            <w:pPr>
              <w:spacing w:after="0"/>
              <w:rPr>
                <w:sz w:val="24"/>
                <w:szCs w:val="24"/>
                <w:color w:val="auto"/>
              </w:rPr>
            </w:pPr>
          </w:p>
        </w:tc>
        <w:tc>
          <w:tcPr>
            <w:tcW w:w="1420" w:type="dxa"/>
            <w:vAlign w:val="bottom"/>
            <w:gridSpan w:val="2"/>
          </w:tcPr>
          <w:p>
            <w:pPr>
              <w:jc w:val="center"/>
              <w:ind w:right="600"/>
              <w:spacing w:after="0"/>
              <w:rPr>
                <w:sz w:val="20"/>
                <w:szCs w:val="20"/>
                <w:color w:val="auto"/>
              </w:rPr>
            </w:pPr>
            <w:r>
              <w:rPr>
                <w:rFonts w:ascii="Arial" w:cs="Arial" w:eastAsia="Arial" w:hAnsi="Arial"/>
                <w:sz w:val="18"/>
                <w:szCs w:val="18"/>
                <w:color w:val="auto"/>
                <w:w w:val="94"/>
              </w:rPr>
              <w:t>Exhibit No.</w:t>
            </w:r>
          </w:p>
        </w:tc>
        <w:tc>
          <w:tcPr>
            <w:tcW w:w="8140" w:type="dxa"/>
            <w:vAlign w:val="bottom"/>
            <w:gridSpan w:val="5"/>
          </w:tcPr>
          <w:p>
            <w:pPr>
              <w:ind w:left="620"/>
              <w:spacing w:after="0"/>
              <w:rPr>
                <w:sz w:val="20"/>
                <w:szCs w:val="20"/>
                <w:color w:val="auto"/>
              </w:rPr>
            </w:pPr>
            <w:r>
              <w:rPr>
                <w:rFonts w:ascii="Arial" w:cs="Arial" w:eastAsia="Arial" w:hAnsi="Arial"/>
                <w:sz w:val="18"/>
                <w:szCs w:val="18"/>
                <w:color w:val="auto"/>
              </w:rPr>
              <w:t>Description</w:t>
            </w:r>
          </w:p>
        </w:tc>
      </w:tr>
      <w:tr>
        <w:trPr>
          <w:trHeight w:val="20"/>
        </w:trPr>
        <w:tc>
          <w:tcPr>
            <w:tcW w:w="16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6700" w:type="dxa"/>
            <w:vAlign w:val="bottom"/>
            <w:gridSpan w:val="3"/>
          </w:tcPr>
          <w:p>
            <w:pPr>
              <w:spacing w:after="0" w:line="20" w:lineRule="exact"/>
              <w:rPr>
                <w:sz w:val="1"/>
                <w:szCs w:val="1"/>
                <w:color w:val="auto"/>
              </w:rPr>
            </w:pPr>
          </w:p>
        </w:tc>
      </w:tr>
      <w:tr>
        <w:trPr>
          <w:trHeight w:val="450"/>
        </w:trPr>
        <w:tc>
          <w:tcPr>
            <w:tcW w:w="1600" w:type="dxa"/>
            <w:vAlign w:val="bottom"/>
          </w:tcPr>
          <w:p>
            <w:pPr>
              <w:spacing w:after="0"/>
              <w:rPr>
                <w:sz w:val="24"/>
                <w:szCs w:val="24"/>
                <w:color w:val="auto"/>
              </w:rPr>
            </w:pPr>
          </w:p>
        </w:tc>
        <w:tc>
          <w:tcPr>
            <w:tcW w:w="820" w:type="dxa"/>
            <w:vAlign w:val="bottom"/>
          </w:tcPr>
          <w:p>
            <w:pPr>
              <w:jc w:val="right"/>
              <w:ind w:right="271"/>
              <w:spacing w:after="0"/>
              <w:rPr>
                <w:sz w:val="20"/>
                <w:szCs w:val="20"/>
                <w:color w:val="auto"/>
              </w:rPr>
            </w:pPr>
            <w:r>
              <w:rPr>
                <w:rFonts w:ascii="Arial" w:cs="Arial" w:eastAsia="Arial" w:hAnsi="Arial"/>
                <w:sz w:val="18"/>
                <w:szCs w:val="18"/>
                <w:color w:val="auto"/>
              </w:rPr>
              <w:t>1</w:t>
            </w:r>
          </w:p>
        </w:tc>
        <w:tc>
          <w:tcPr>
            <w:tcW w:w="600" w:type="dxa"/>
            <w:vAlign w:val="bottom"/>
          </w:tcPr>
          <w:p>
            <w:pPr>
              <w:spacing w:after="0"/>
              <w:rPr>
                <w:sz w:val="24"/>
                <w:szCs w:val="24"/>
                <w:color w:val="auto"/>
              </w:rPr>
            </w:pPr>
          </w:p>
        </w:tc>
        <w:tc>
          <w:tcPr>
            <w:tcW w:w="8140" w:type="dxa"/>
            <w:vAlign w:val="bottom"/>
            <w:gridSpan w:val="5"/>
          </w:tcPr>
          <w:p>
            <w:pPr>
              <w:ind w:left="620"/>
              <w:spacing w:after="0"/>
              <w:rPr>
                <w:sz w:val="20"/>
                <w:szCs w:val="20"/>
                <w:color w:val="auto"/>
              </w:rPr>
            </w:pPr>
            <w:r>
              <w:rPr>
                <w:rFonts w:ascii="Arial" w:cs="Arial" w:eastAsia="Arial" w:hAnsi="Arial"/>
                <w:sz w:val="18"/>
                <w:szCs w:val="18"/>
                <w:color w:val="auto"/>
              </w:rPr>
              <w:t>Joint Filing Agreement among Reporting Persons</w:t>
            </w:r>
          </w:p>
        </w:tc>
      </w:tr>
      <w:tr>
        <w:trPr>
          <w:trHeight w:val="1549"/>
        </w:trPr>
        <w:tc>
          <w:tcPr>
            <w:tcW w:w="16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2240" w:h="15840" w:orient="portrait"/>
          <w:cols w:equalWidth="0" w:num="1">
            <w:col w:w="11160"/>
          </w:cols>
          <w:pgMar w:left="520" w:top="530" w:right="560" w:bottom="1440" w:gutter="0" w:footer="0" w:header="0"/>
        </w:sectPr>
      </w:pPr>
    </w:p>
    <w:bookmarkStart w:id="12" w:name="page13"/>
    <w:bookmarkEnd w:id="12"/>
    <w:p>
      <w:pPr>
        <w:spacing w:after="0" w:line="5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1</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JOINT FILING AGREEMENT</w:t>
      </w:r>
    </w:p>
    <w:p>
      <w:pPr>
        <w:spacing w:after="0" w:line="222" w:lineRule="exact"/>
        <w:rPr>
          <w:sz w:val="20"/>
          <w:szCs w:val="20"/>
          <w:color w:val="auto"/>
        </w:rPr>
      </w:pPr>
    </w:p>
    <w:p>
      <w:pPr>
        <w:ind w:right="140" w:firstLine="644"/>
        <w:spacing w:after="0" w:line="294" w:lineRule="auto"/>
        <w:rPr>
          <w:sz w:val="20"/>
          <w:szCs w:val="20"/>
          <w:color w:val="auto"/>
        </w:rPr>
      </w:pPr>
      <w:r>
        <w:rPr>
          <w:rFonts w:ascii="Arial" w:cs="Arial" w:eastAsia="Arial" w:hAnsi="Arial"/>
          <w:sz w:val="16"/>
          <w:szCs w:val="16"/>
          <w:color w:val="auto"/>
        </w:rPr>
        <w:t>This will confirm the agreement by and among all the undersigned that the Schedule 13G filed on or about this date and any amendments thereto with respect to the beneficial ownership by the undersigned of shares of common stock, $0.01 par value per share, of National Vision Holdings, Inc. is being filed on behalf of each of the undersigned in accordance with Rule 13d-1(k)(1) under the Securities Exchange Act of 1934. This agreement may be executed in two or more counterparts, each of which shall be deemed an original, but all of which together shall constitute one and the same instrument. The execution and filing of this agreement shall not be construed as an admission that the undersigned are a group, or have agreed to act as a group.</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14, 2019</w:t>
      </w:r>
    </w:p>
    <w:p>
      <w:pPr>
        <w:spacing w:after="0" w:line="22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BERKSHIRE FUND VI, Limited Partnership</w:t>
      </w:r>
    </w:p>
    <w:p>
      <w:pPr>
        <w:spacing w:after="0" w:line="200" w:lineRule="exact"/>
        <w:rPr>
          <w:sz w:val="20"/>
          <w:szCs w:val="20"/>
          <w:color w:val="auto"/>
        </w:rPr>
      </w:pPr>
    </w:p>
    <w:p>
      <w:pPr>
        <w:spacing w:after="0" w:line="264" w:lineRule="exact"/>
        <w:rPr>
          <w:sz w:val="20"/>
          <w:szCs w:val="20"/>
          <w:color w:val="auto"/>
        </w:rPr>
      </w:pPr>
    </w:p>
    <w:tbl>
      <w:tblPr>
        <w:tblLayout w:type="fixed"/>
        <w:tblInd w:w="5820" w:type="dxa"/>
        <w:tblCellMar>
          <w:top w:w="0" w:type="dxa"/>
          <w:left w:w="0" w:type="dxa"/>
          <w:bottom w:w="0" w:type="dxa"/>
          <w:right w:w="0" w:type="dxa"/>
        </w:tblCellMar>
      </w:tblPr>
      <w:tr>
        <w:trPr>
          <w:trHeight w:val="215"/>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Pr>
          <w:p>
            <w:pPr>
              <w:ind w:left="100"/>
              <w:spacing w:after="0"/>
              <w:rPr>
                <w:sz w:val="20"/>
                <w:szCs w:val="20"/>
                <w:color w:val="auto"/>
              </w:rPr>
            </w:pPr>
            <w:r>
              <w:rPr>
                <w:rFonts w:ascii="Arial" w:cs="Arial" w:eastAsia="Arial" w:hAnsi="Arial"/>
                <w:sz w:val="18"/>
                <w:szCs w:val="18"/>
                <w:color w:val="auto"/>
              </w:rPr>
              <w:t>Sixth Berkshire Associates LLC,</w:t>
            </w:r>
          </w:p>
        </w:tc>
      </w:tr>
      <w:tr>
        <w:trPr>
          <w:trHeight w:val="229"/>
        </w:trPr>
        <w:tc>
          <w:tcPr>
            <w:tcW w:w="900" w:type="dxa"/>
            <w:vAlign w:val="bottom"/>
          </w:tcPr>
          <w:p>
            <w:pPr>
              <w:spacing w:after="0"/>
              <w:rPr>
                <w:sz w:val="19"/>
                <w:szCs w:val="19"/>
                <w:color w:val="auto"/>
              </w:rPr>
            </w:pPr>
          </w:p>
        </w:tc>
        <w:tc>
          <w:tcPr>
            <w:tcW w:w="4440" w:type="dxa"/>
            <w:vAlign w:val="bottom"/>
          </w:tcPr>
          <w:p>
            <w:pPr>
              <w:ind w:left="100"/>
              <w:spacing w:after="0"/>
              <w:rPr>
                <w:sz w:val="20"/>
                <w:szCs w:val="20"/>
                <w:color w:val="auto"/>
              </w:rPr>
            </w:pPr>
            <w:r>
              <w:rPr>
                <w:rFonts w:ascii="Arial" w:cs="Arial" w:eastAsia="Arial" w:hAnsi="Arial"/>
                <w:sz w:val="18"/>
                <w:szCs w:val="18"/>
                <w:color w:val="auto"/>
              </w:rPr>
              <w:t>its general partner</w:t>
            </w:r>
          </w:p>
        </w:tc>
      </w:tr>
      <w:tr>
        <w:trPr>
          <w:trHeight w:val="429"/>
        </w:trPr>
        <w:tc>
          <w:tcPr>
            <w:tcW w:w="900" w:type="dxa"/>
            <w:vAlign w:val="bottom"/>
          </w:tcPr>
          <w:p>
            <w:pPr>
              <w:spacing w:after="0"/>
              <w:rPr>
                <w:sz w:val="20"/>
                <w:szCs w:val="20"/>
                <w:color w:val="auto"/>
              </w:rPr>
            </w:pPr>
            <w:r>
              <w:rPr>
                <w:rFonts w:ascii="Arial" w:cs="Arial" w:eastAsia="Arial" w:hAnsi="Arial"/>
                <w:sz w:val="18"/>
                <w:szCs w:val="18"/>
                <w:color w:val="auto"/>
              </w:rPr>
              <w:t>By:</w:t>
            </w:r>
          </w:p>
        </w:tc>
        <w:tc>
          <w:tcPr>
            <w:tcW w:w="4440" w:type="dxa"/>
            <w:vAlign w:val="bottom"/>
            <w:tcBorders>
              <w:bottom w:val="single" w:sz="8" w:color="auto"/>
            </w:tcBorders>
          </w:tcPr>
          <w:p>
            <w:pPr>
              <w:spacing w:after="0"/>
              <w:rPr>
                <w:sz w:val="24"/>
                <w:szCs w:val="24"/>
                <w:color w:val="auto"/>
              </w:rPr>
            </w:pPr>
          </w:p>
        </w:tc>
      </w:tr>
      <w:tr>
        <w:trPr>
          <w:trHeight w:val="194"/>
        </w:trPr>
        <w:tc>
          <w:tcPr>
            <w:tcW w:w="900" w:type="dxa"/>
            <w:vAlign w:val="bottom"/>
          </w:tcPr>
          <w:p>
            <w:pPr>
              <w:spacing w:after="0"/>
              <w:rPr>
                <w:sz w:val="16"/>
                <w:szCs w:val="16"/>
                <w:color w:val="auto"/>
              </w:rPr>
            </w:pPr>
          </w:p>
        </w:tc>
        <w:tc>
          <w:tcPr>
            <w:tcW w:w="4440" w:type="dxa"/>
            <w:vAlign w:val="bottom"/>
          </w:tcPr>
          <w:p>
            <w:pPr>
              <w:ind w:left="100"/>
              <w:spacing w:after="0" w:line="194" w:lineRule="exact"/>
              <w:rPr>
                <w:sz w:val="20"/>
                <w:szCs w:val="20"/>
                <w:color w:val="auto"/>
              </w:rPr>
            </w:pPr>
            <w:r>
              <w:rPr>
                <w:rFonts w:ascii="Arial" w:cs="Arial" w:eastAsia="Arial" w:hAnsi="Arial"/>
                <w:sz w:val="18"/>
                <w:szCs w:val="18"/>
                <w:color w:val="auto"/>
              </w:rPr>
              <w:t>Name: Kenneth S. Bring</w:t>
            </w:r>
          </w:p>
        </w:tc>
      </w:tr>
      <w:tr>
        <w:trPr>
          <w:trHeight w:val="229"/>
        </w:trPr>
        <w:tc>
          <w:tcPr>
            <w:tcW w:w="900" w:type="dxa"/>
            <w:vAlign w:val="bottom"/>
          </w:tcPr>
          <w:p>
            <w:pPr>
              <w:spacing w:after="0"/>
              <w:rPr>
                <w:sz w:val="19"/>
                <w:szCs w:val="19"/>
                <w:color w:val="auto"/>
              </w:rPr>
            </w:pPr>
          </w:p>
        </w:tc>
        <w:tc>
          <w:tcPr>
            <w:tcW w:w="4440" w:type="dxa"/>
            <w:vAlign w:val="bottom"/>
          </w:tcPr>
          <w:p>
            <w:pPr>
              <w:ind w:left="100"/>
              <w:spacing w:after="0"/>
              <w:rPr>
                <w:sz w:val="20"/>
                <w:szCs w:val="20"/>
                <w:color w:val="auto"/>
              </w:rPr>
            </w:pPr>
            <w:r>
              <w:rPr>
                <w:rFonts w:ascii="Arial" w:cs="Arial" w:eastAsia="Arial" w:hAnsi="Arial"/>
                <w:sz w:val="18"/>
                <w:szCs w:val="18"/>
                <w:color w:val="auto"/>
              </w:rPr>
              <w:t>Title: Managing Director</w:t>
            </w:r>
          </w:p>
        </w:tc>
      </w:tr>
    </w:tbl>
    <w:p>
      <w:pPr>
        <w:spacing w:after="0" w:line="20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BERKSHIRE INVESTORS LLC</w:t>
      </w:r>
    </w:p>
    <w:p>
      <w:pPr>
        <w:spacing w:after="0" w:line="200" w:lineRule="exact"/>
        <w:rPr>
          <w:sz w:val="20"/>
          <w:szCs w:val="20"/>
          <w:color w:val="auto"/>
        </w:rPr>
      </w:pPr>
    </w:p>
    <w:p>
      <w:pPr>
        <w:spacing w:after="0" w:line="23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13970</wp:posOffset>
            </wp:positionV>
            <wp:extent cx="288734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87345" cy="8255"/>
                    </a:xfrm>
                    <a:prstGeom prst="rect">
                      <a:avLst/>
                    </a:prstGeom>
                    <a:noFill/>
                  </pic:spPr>
                </pic:pic>
              </a:graphicData>
            </a:graphic>
          </wp:anchor>
        </w:drawing>
      </w:r>
    </w:p>
    <w:p>
      <w:pPr>
        <w:spacing w:after="0" w:line="2"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 Kenneth S. Bring</w:t>
      </w:r>
    </w:p>
    <w:p>
      <w:pPr>
        <w:spacing w:after="0" w:line="2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2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BERKSHIRE INVESTORS III LLC</w:t>
      </w:r>
    </w:p>
    <w:p>
      <w:pPr>
        <w:spacing w:after="0" w:line="200" w:lineRule="exact"/>
        <w:rPr>
          <w:sz w:val="20"/>
          <w:szCs w:val="20"/>
          <w:color w:val="auto"/>
        </w:rPr>
      </w:pPr>
    </w:p>
    <w:p>
      <w:pPr>
        <w:spacing w:after="0" w:line="237"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w:t>
      </w:r>
    </w:p>
    <w:p>
      <w:pPr>
        <w:spacing w:after="0" w:line="22" w:lineRule="exact"/>
        <w:rPr>
          <w:sz w:val="20"/>
          <w:szCs w:val="20"/>
          <w:color w:val="auto"/>
        </w:rPr>
      </w:pPr>
    </w:p>
    <w:tbl>
      <w:tblPr>
        <w:tblLayout w:type="fixed"/>
        <w:tblInd w:w="5820" w:type="dxa"/>
        <w:tblCellMar>
          <w:top w:w="0" w:type="dxa"/>
          <w:left w:w="0" w:type="dxa"/>
          <w:bottom w:w="0" w:type="dxa"/>
          <w:right w:w="0" w:type="dxa"/>
        </w:tblCellMar>
      </w:tblPr>
      <w:tr>
        <w:trPr>
          <w:trHeight w:val="194"/>
        </w:trPr>
        <w:tc>
          <w:tcPr>
            <w:tcW w:w="800" w:type="dxa"/>
            <w:vAlign w:val="bottom"/>
          </w:tcPr>
          <w:p>
            <w:pPr>
              <w:spacing w:after="0"/>
              <w:rPr>
                <w:sz w:val="16"/>
                <w:szCs w:val="16"/>
                <w:color w:val="auto"/>
              </w:rPr>
            </w:pPr>
          </w:p>
        </w:tc>
        <w:tc>
          <w:tcPr>
            <w:tcW w:w="4540" w:type="dxa"/>
            <w:vAlign w:val="bottom"/>
            <w:tcBorders>
              <w:top w:val="single" w:sz="8" w:color="auto"/>
            </w:tcBorders>
          </w:tcPr>
          <w:p>
            <w:pPr>
              <w:ind w:left="80"/>
              <w:spacing w:after="0" w:line="194" w:lineRule="exact"/>
              <w:rPr>
                <w:sz w:val="20"/>
                <w:szCs w:val="20"/>
                <w:color w:val="auto"/>
              </w:rPr>
            </w:pPr>
            <w:r>
              <w:rPr>
                <w:rFonts w:ascii="Arial" w:cs="Arial" w:eastAsia="Arial" w:hAnsi="Arial"/>
                <w:sz w:val="18"/>
                <w:szCs w:val="18"/>
                <w:color w:val="auto"/>
              </w:rPr>
              <w:t>Name: Kenneth S. Bring</w:t>
            </w:r>
          </w:p>
        </w:tc>
      </w:tr>
      <w:tr>
        <w:trPr>
          <w:trHeight w:val="229"/>
        </w:trPr>
        <w:tc>
          <w:tcPr>
            <w:tcW w:w="800" w:type="dxa"/>
            <w:vAlign w:val="bottom"/>
          </w:tcPr>
          <w:p>
            <w:pPr>
              <w:spacing w:after="0"/>
              <w:rPr>
                <w:sz w:val="19"/>
                <w:szCs w:val="19"/>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Title: Managing Director</w:t>
            </w:r>
          </w:p>
        </w:tc>
      </w:tr>
      <w:tr>
        <w:trPr>
          <w:trHeight w:val="644"/>
        </w:trPr>
        <w:tc>
          <w:tcPr>
            <w:tcW w:w="5340" w:type="dxa"/>
            <w:vAlign w:val="bottom"/>
            <w:gridSpan w:val="2"/>
          </w:tcPr>
          <w:p>
            <w:pPr>
              <w:spacing w:after="0"/>
              <w:rPr>
                <w:sz w:val="20"/>
                <w:szCs w:val="20"/>
                <w:color w:val="auto"/>
              </w:rPr>
            </w:pPr>
            <w:r>
              <w:rPr>
                <w:rFonts w:ascii="Arial" w:cs="Arial" w:eastAsia="Arial" w:hAnsi="Arial"/>
                <w:sz w:val="18"/>
                <w:szCs w:val="18"/>
                <w:color w:val="auto"/>
              </w:rPr>
              <w:t>BERKSHIRE PARTNERS LLC</w:t>
            </w:r>
          </w:p>
        </w:tc>
      </w:tr>
      <w:tr>
        <w:trPr>
          <w:trHeight w:val="629"/>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Pr>
          <w:p>
            <w:pPr>
              <w:ind w:left="80"/>
              <w:spacing w:after="0"/>
              <w:rPr>
                <w:sz w:val="20"/>
                <w:szCs w:val="20"/>
                <w:color w:val="auto"/>
              </w:rPr>
            </w:pPr>
            <w:r>
              <w:rPr>
                <w:rFonts w:ascii="Arial" w:cs="Arial" w:eastAsia="Arial" w:hAnsi="Arial"/>
                <w:sz w:val="18"/>
                <w:szCs w:val="18"/>
                <w:color w:val="auto"/>
              </w:rPr>
              <w:t>BPSP, L.P.,</w:t>
            </w:r>
          </w:p>
        </w:tc>
      </w:tr>
      <w:tr>
        <w:trPr>
          <w:trHeight w:val="215"/>
        </w:trPr>
        <w:tc>
          <w:tcPr>
            <w:tcW w:w="800" w:type="dxa"/>
            <w:vAlign w:val="bottom"/>
          </w:tcPr>
          <w:p>
            <w:pPr>
              <w:spacing w:after="0"/>
              <w:rPr>
                <w:sz w:val="18"/>
                <w:szCs w:val="18"/>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its managing member</w:t>
            </w:r>
          </w:p>
        </w:tc>
      </w:tr>
      <w:tr>
        <w:trPr>
          <w:trHeight w:val="215"/>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Pr>
          <w:p>
            <w:pPr>
              <w:ind w:left="80"/>
              <w:spacing w:after="0"/>
              <w:rPr>
                <w:sz w:val="20"/>
                <w:szCs w:val="20"/>
                <w:color w:val="auto"/>
              </w:rPr>
            </w:pPr>
            <w:r>
              <w:rPr>
                <w:rFonts w:ascii="Arial" w:cs="Arial" w:eastAsia="Arial" w:hAnsi="Arial"/>
                <w:sz w:val="18"/>
                <w:szCs w:val="18"/>
                <w:color w:val="auto"/>
              </w:rPr>
              <w:t>Berkshire Partners Holdings LLC,</w:t>
            </w:r>
          </w:p>
        </w:tc>
      </w:tr>
      <w:tr>
        <w:trPr>
          <w:trHeight w:val="229"/>
        </w:trPr>
        <w:tc>
          <w:tcPr>
            <w:tcW w:w="800" w:type="dxa"/>
            <w:vAlign w:val="bottom"/>
          </w:tcPr>
          <w:p>
            <w:pPr>
              <w:spacing w:after="0"/>
              <w:rPr>
                <w:sz w:val="19"/>
                <w:szCs w:val="19"/>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its general partner</w:t>
            </w:r>
          </w:p>
        </w:tc>
      </w:tr>
    </w:tbl>
    <w:p>
      <w:pPr>
        <w:spacing w:after="0" w:line="200"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4199255</wp:posOffset>
            </wp:positionH>
            <wp:positionV relativeFrom="paragraph">
              <wp:posOffset>13970</wp:posOffset>
            </wp:positionV>
            <wp:extent cx="288734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87345" cy="8255"/>
                    </a:xfrm>
                    <a:prstGeom prst="rect">
                      <a:avLst/>
                    </a:prstGeom>
                    <a:noFill/>
                  </pic:spPr>
                </pic:pic>
              </a:graphicData>
            </a:graphic>
          </wp:anchor>
        </w:drawing>
      </w:r>
    </w:p>
    <w:p>
      <w:pPr>
        <w:spacing w:after="0" w:line="2"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Name: Kenneth S. Bring</w:t>
      </w:r>
    </w:p>
    <w:p>
      <w:pPr>
        <w:spacing w:after="0" w:line="21"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Title: Managing Director</w:t>
      </w:r>
    </w:p>
    <w:p>
      <w:pPr>
        <w:spacing w:after="0" w:line="200" w:lineRule="exact"/>
        <w:rPr>
          <w:sz w:val="20"/>
          <w:szCs w:val="20"/>
          <w:color w:val="auto"/>
        </w:rPr>
      </w:pPr>
    </w:p>
    <w:p>
      <w:pPr>
        <w:spacing w:after="0" w:line="222"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BERKSHIRE PARTNERS HOLDINGS LLC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By:</w:t>
      </w:r>
    </w:p>
    <w:p>
      <w:pPr>
        <w:spacing w:after="0" w:line="22" w:lineRule="exact"/>
        <w:rPr>
          <w:sz w:val="20"/>
          <w:szCs w:val="20"/>
          <w:color w:val="auto"/>
        </w:rPr>
      </w:pPr>
    </w:p>
    <w:tbl>
      <w:tblPr>
        <w:tblLayout w:type="fixed"/>
        <w:tblInd w:w="5820" w:type="dxa"/>
        <w:tblCellMar>
          <w:top w:w="0" w:type="dxa"/>
          <w:left w:w="0" w:type="dxa"/>
          <w:bottom w:w="0" w:type="dxa"/>
          <w:right w:w="0" w:type="dxa"/>
        </w:tblCellMar>
      </w:tblPr>
      <w:tr>
        <w:trPr>
          <w:trHeight w:val="194"/>
        </w:trPr>
        <w:tc>
          <w:tcPr>
            <w:tcW w:w="800" w:type="dxa"/>
            <w:vAlign w:val="bottom"/>
          </w:tcPr>
          <w:p>
            <w:pPr>
              <w:spacing w:after="0"/>
              <w:rPr>
                <w:sz w:val="16"/>
                <w:szCs w:val="16"/>
                <w:color w:val="auto"/>
              </w:rPr>
            </w:pPr>
          </w:p>
        </w:tc>
        <w:tc>
          <w:tcPr>
            <w:tcW w:w="4540" w:type="dxa"/>
            <w:vAlign w:val="bottom"/>
            <w:tcBorders>
              <w:top w:val="single" w:sz="8" w:color="auto"/>
            </w:tcBorders>
          </w:tcPr>
          <w:p>
            <w:pPr>
              <w:ind w:left="80"/>
              <w:spacing w:after="0" w:line="194" w:lineRule="exact"/>
              <w:rPr>
                <w:sz w:val="20"/>
                <w:szCs w:val="20"/>
                <w:color w:val="auto"/>
              </w:rPr>
            </w:pPr>
            <w:r>
              <w:rPr>
                <w:rFonts w:ascii="Arial" w:cs="Arial" w:eastAsia="Arial" w:hAnsi="Arial"/>
                <w:sz w:val="18"/>
                <w:szCs w:val="18"/>
                <w:color w:val="auto"/>
              </w:rPr>
              <w:t>Name: Kenneth S. Bring</w:t>
            </w:r>
          </w:p>
        </w:tc>
      </w:tr>
      <w:tr>
        <w:trPr>
          <w:trHeight w:val="229"/>
        </w:trPr>
        <w:tc>
          <w:tcPr>
            <w:tcW w:w="800" w:type="dxa"/>
            <w:vAlign w:val="bottom"/>
          </w:tcPr>
          <w:p>
            <w:pPr>
              <w:spacing w:after="0"/>
              <w:rPr>
                <w:sz w:val="19"/>
                <w:szCs w:val="19"/>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Title: Managing Director</w:t>
            </w:r>
          </w:p>
        </w:tc>
      </w:tr>
      <w:tr>
        <w:trPr>
          <w:trHeight w:val="644"/>
        </w:trPr>
        <w:tc>
          <w:tcPr>
            <w:tcW w:w="800" w:type="dxa"/>
            <w:vAlign w:val="bottom"/>
          </w:tcPr>
          <w:p>
            <w:pPr>
              <w:spacing w:after="0"/>
              <w:rPr>
                <w:sz w:val="20"/>
                <w:szCs w:val="20"/>
                <w:color w:val="auto"/>
              </w:rPr>
            </w:pPr>
            <w:r>
              <w:rPr>
                <w:rFonts w:ascii="Arial" w:cs="Arial" w:eastAsia="Arial" w:hAnsi="Arial"/>
                <w:sz w:val="18"/>
                <w:szCs w:val="18"/>
                <w:color w:val="auto"/>
                <w:w w:val="86"/>
              </w:rPr>
              <w:t>BPSP, L.P.</w:t>
            </w:r>
          </w:p>
        </w:tc>
        <w:tc>
          <w:tcPr>
            <w:tcW w:w="4540" w:type="dxa"/>
            <w:vAlign w:val="bottom"/>
          </w:tcPr>
          <w:p>
            <w:pPr>
              <w:spacing w:after="0"/>
              <w:rPr>
                <w:sz w:val="24"/>
                <w:szCs w:val="24"/>
                <w:color w:val="auto"/>
              </w:rPr>
            </w:pPr>
          </w:p>
        </w:tc>
      </w:tr>
      <w:tr>
        <w:trPr>
          <w:trHeight w:val="629"/>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Pr>
          <w:p>
            <w:pPr>
              <w:ind w:left="80"/>
              <w:spacing w:after="0"/>
              <w:rPr>
                <w:sz w:val="20"/>
                <w:szCs w:val="20"/>
                <w:color w:val="auto"/>
              </w:rPr>
            </w:pPr>
            <w:r>
              <w:rPr>
                <w:rFonts w:ascii="Arial" w:cs="Arial" w:eastAsia="Arial" w:hAnsi="Arial"/>
                <w:sz w:val="18"/>
                <w:szCs w:val="18"/>
                <w:color w:val="auto"/>
              </w:rPr>
              <w:t>Berkshire Partners Holdings LLC,</w:t>
            </w:r>
          </w:p>
        </w:tc>
      </w:tr>
      <w:tr>
        <w:trPr>
          <w:trHeight w:val="229"/>
        </w:trPr>
        <w:tc>
          <w:tcPr>
            <w:tcW w:w="800" w:type="dxa"/>
            <w:vAlign w:val="bottom"/>
          </w:tcPr>
          <w:p>
            <w:pPr>
              <w:spacing w:after="0"/>
              <w:rPr>
                <w:sz w:val="19"/>
                <w:szCs w:val="19"/>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its general partner</w:t>
            </w:r>
          </w:p>
        </w:tc>
      </w:tr>
      <w:tr>
        <w:trPr>
          <w:trHeight w:val="429"/>
        </w:trPr>
        <w:tc>
          <w:tcPr>
            <w:tcW w:w="80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Borders>
              <w:bottom w:val="single" w:sz="8" w:color="auto"/>
            </w:tcBorders>
          </w:tcPr>
          <w:p>
            <w:pPr>
              <w:spacing w:after="0"/>
              <w:rPr>
                <w:sz w:val="24"/>
                <w:szCs w:val="24"/>
                <w:color w:val="auto"/>
              </w:rPr>
            </w:pPr>
          </w:p>
        </w:tc>
      </w:tr>
      <w:tr>
        <w:trPr>
          <w:trHeight w:val="194"/>
        </w:trPr>
        <w:tc>
          <w:tcPr>
            <w:tcW w:w="800" w:type="dxa"/>
            <w:vAlign w:val="bottom"/>
          </w:tcPr>
          <w:p>
            <w:pPr>
              <w:spacing w:after="0"/>
              <w:rPr>
                <w:sz w:val="16"/>
                <w:szCs w:val="16"/>
                <w:color w:val="auto"/>
              </w:rPr>
            </w:pPr>
          </w:p>
        </w:tc>
        <w:tc>
          <w:tcPr>
            <w:tcW w:w="4540" w:type="dxa"/>
            <w:vAlign w:val="bottom"/>
          </w:tcPr>
          <w:p>
            <w:pPr>
              <w:ind w:left="80"/>
              <w:spacing w:after="0" w:line="194" w:lineRule="exact"/>
              <w:rPr>
                <w:sz w:val="20"/>
                <w:szCs w:val="20"/>
                <w:color w:val="auto"/>
              </w:rPr>
            </w:pPr>
            <w:r>
              <w:rPr>
                <w:rFonts w:ascii="Arial" w:cs="Arial" w:eastAsia="Arial" w:hAnsi="Arial"/>
                <w:sz w:val="18"/>
                <w:szCs w:val="18"/>
                <w:color w:val="auto"/>
              </w:rPr>
              <w:t>Name: Kenneth S. Bring</w:t>
            </w:r>
          </w:p>
        </w:tc>
      </w:tr>
      <w:tr>
        <w:trPr>
          <w:trHeight w:val="229"/>
        </w:trPr>
        <w:tc>
          <w:tcPr>
            <w:tcW w:w="800" w:type="dxa"/>
            <w:vAlign w:val="bottom"/>
          </w:tcPr>
          <w:p>
            <w:pPr>
              <w:spacing w:after="0"/>
              <w:rPr>
                <w:sz w:val="19"/>
                <w:szCs w:val="19"/>
                <w:color w:val="auto"/>
              </w:rPr>
            </w:pPr>
          </w:p>
        </w:tc>
        <w:tc>
          <w:tcPr>
            <w:tcW w:w="4540" w:type="dxa"/>
            <w:vAlign w:val="bottom"/>
          </w:tcPr>
          <w:p>
            <w:pPr>
              <w:ind w:left="80"/>
              <w:spacing w:after="0"/>
              <w:rPr>
                <w:sz w:val="20"/>
                <w:szCs w:val="20"/>
                <w:color w:val="auto"/>
              </w:rPr>
            </w:pPr>
            <w:r>
              <w:rPr>
                <w:rFonts w:ascii="Arial" w:cs="Arial" w:eastAsia="Arial" w:hAnsi="Arial"/>
                <w:sz w:val="18"/>
                <w:szCs w:val="18"/>
                <w:color w:val="auto"/>
              </w:rPr>
              <w:t>Title: Managing Director</w:t>
            </w:r>
          </w:p>
        </w:tc>
      </w:tr>
    </w:tbl>
    <w:p>
      <w:pPr>
        <w:sectPr>
          <w:pgSz w:w="12240" w:h="15895" w:orient="portrait"/>
          <w:cols w:equalWidth="0" w:num="1">
            <w:col w:w="11160"/>
          </w:cols>
          <w:pgMar w:left="520" w:top="334" w:right="560" w:bottom="0" w:gutter="0" w:footer="0" w:header="0"/>
        </w:sectPr>
      </w:pPr>
    </w:p>
    <w:bookmarkStart w:id="13" w:name="page14"/>
    <w:bookmarkEnd w:id="13"/>
    <w:p>
      <w:pPr>
        <w:spacing w:after="0" w:line="1" w:lineRule="exact"/>
        <w:rPr>
          <w:sz w:val="20"/>
          <w:szCs w:val="20"/>
          <w:color w:val="auto"/>
        </w:rPr>
      </w:pPr>
    </w:p>
    <w:sectPr>
      <w:pgSz w:w="12240" w:h="1584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lowerRoman"/>
      <w:start w:val="10"/>
    </w:lvl>
  </w:abstractNum>
  <w:abstractNum w:abstractNumId="1">
    <w:nsid w:val="189A769B"/>
    <w:multiLevelType w:val="hybridMultilevel"/>
    <w:lvl w:ilvl="0">
      <w:lvlJc w:val="left"/>
      <w:lvlText w:val="%1."/>
      <w:numFmt w:val="decimal"/>
      <w:start w:val="1"/>
    </w:lvl>
  </w:abstractNum>
  <w:abstractNum w:abstractNumId="2">
    <w:nsid w:val="54E49EB4"/>
    <w:multiLevelType w:val="hybridMultilevel"/>
    <w:lvl w:ilvl="0">
      <w:lvlJc w:val="left"/>
      <w:lvlText w:val="%1."/>
      <w:numFmt w:val="decimal"/>
      <w:start w:val="2"/>
    </w:lvl>
  </w:abstractNum>
  <w:abstractNum w:abstractNumId="3">
    <w:nsid w:val="71F32454"/>
    <w:multiLevelType w:val="hybridMultilevel"/>
    <w:lvl w:ilvl="0">
      <w:lvlJc w:val="left"/>
      <w:lvlText w:val="%1."/>
      <w:numFmt w:val="decimal"/>
      <w:start w:val="5"/>
    </w:lvl>
  </w:abstractNum>
  <w:abstractNum w:abstractNumId="4">
    <w:nsid w:val="2CA88611"/>
    <w:multiLevelType w:val="hybridMultilevel"/>
    <w:lvl w:ilvl="0">
      <w:lvlJc w:val="left"/>
      <w:lvlText w:val="(%1)"/>
      <w:numFmt w:val="lowerLetter"/>
      <w:start w:val="1"/>
    </w:lvl>
  </w:abstractNum>
  <w:abstractNum w:abstractNumId="5">
    <w:nsid w:val="836C40E"/>
    <w:multiLevelType w:val="hybridMultilevel"/>
    <w:lvl w:ilvl="0">
      <w:lvlJc w:val="left"/>
      <w:lvlText w:val="%1."/>
      <w:numFmt w:val="decimal"/>
      <w:start w:val="9"/>
    </w:lvl>
  </w:abstractNum>
  <w:abstractNum w:abstractNumId="6">
    <w:nsid w:val="2901D82"/>
    <w:multiLevelType w:val="hybridMultilevel"/>
    <w:lvl w:ilvl="0">
      <w:lvlJc w:val="left"/>
      <w:lvlText w:val="%1."/>
      <w:numFmt w:val="decimal"/>
      <w:start w:val="10"/>
    </w:lvl>
  </w:abstractNum>
  <w:abstractNum w:abstractNumId="7">
    <w:nsid w:val="3A95F874"/>
    <w:multiLevelType w:val="hybridMultilevel"/>
    <w:lvl w:ilvl="0">
      <w:lvlJc w:val="left"/>
      <w:lvlText w:val="%1."/>
      <w:numFmt w:val="decimal"/>
      <w:start w:val="11"/>
    </w:lvl>
  </w:abstractNum>
  <w:abstractNum w:abstractNumId="8">
    <w:nsid w:val="8138641"/>
    <w:multiLevelType w:val="hybridMultilevel"/>
    <w:lvl w:ilvl="0">
      <w:lvlJc w:val="left"/>
      <w:lvlText w:val="%1."/>
      <w:numFmt w:val="decimal"/>
      <w:start w:val="12"/>
    </w:lvl>
  </w:abstractNum>
  <w:abstractNum w:abstractNumId="9">
    <w:nsid w:val="1E7FF521"/>
    <w:multiLevelType w:val="hybridMultilevel"/>
    <w:lvl w:ilvl="0">
      <w:lvlJc w:val="left"/>
      <w:lvlText w:val="%1."/>
      <w:numFmt w:val="decimal"/>
      <w:start w:val="1"/>
    </w:lvl>
  </w:abstractNum>
  <w:abstractNum w:abstractNumId="10">
    <w:nsid w:val="7C3DBD3D"/>
    <w:multiLevelType w:val="hybridMultilevel"/>
    <w:lvl w:ilvl="0">
      <w:lvlJc w:val="left"/>
      <w:lvlText w:val="%1."/>
      <w:numFmt w:val="decimal"/>
      <w:start w:val="2"/>
    </w:lvl>
  </w:abstractNum>
  <w:abstractNum w:abstractNumId="11">
    <w:nsid w:val="737B8DDC"/>
    <w:multiLevelType w:val="hybridMultilevel"/>
    <w:lvl w:ilvl="0">
      <w:lvlJc w:val="left"/>
      <w:lvlText w:val="%1."/>
      <w:numFmt w:val="decimal"/>
      <w:start w:val="5"/>
    </w:lvl>
  </w:abstractNum>
  <w:abstractNum w:abstractNumId="12">
    <w:nsid w:val="6CEAF087"/>
    <w:multiLevelType w:val="hybridMultilevel"/>
    <w:lvl w:ilvl="0">
      <w:lvlJc w:val="left"/>
      <w:lvlText w:val="(%1)"/>
      <w:numFmt w:val="lowerLetter"/>
      <w:start w:val="1"/>
    </w:lvl>
  </w:abstractNum>
  <w:abstractNum w:abstractNumId="13">
    <w:nsid w:val="22221A70"/>
    <w:multiLevelType w:val="hybridMultilevel"/>
    <w:lvl w:ilvl="0">
      <w:lvlJc w:val="left"/>
      <w:lvlText w:val="%1."/>
      <w:numFmt w:val="decimal"/>
      <w:start w:val="9"/>
    </w:lvl>
  </w:abstractNum>
  <w:abstractNum w:abstractNumId="14">
    <w:nsid w:val="4516DDE9"/>
    <w:multiLevelType w:val="hybridMultilevel"/>
    <w:lvl w:ilvl="0">
      <w:lvlJc w:val="left"/>
      <w:lvlText w:val="%1."/>
      <w:numFmt w:val="decimal"/>
      <w:start w:val="10"/>
    </w:lvl>
  </w:abstractNum>
  <w:abstractNum w:abstractNumId="15">
    <w:nsid w:val="3006C83E"/>
    <w:multiLevelType w:val="hybridMultilevel"/>
    <w:lvl w:ilvl="0">
      <w:lvlJc w:val="left"/>
      <w:lvlText w:val="%1."/>
      <w:numFmt w:val="decimal"/>
      <w:start w:val="11"/>
    </w:lvl>
  </w:abstractNum>
  <w:abstractNum w:abstractNumId="16">
    <w:nsid w:val="614FD4A1"/>
    <w:multiLevelType w:val="hybridMultilevel"/>
    <w:lvl w:ilvl="0">
      <w:lvlJc w:val="left"/>
      <w:lvlText w:val="%1."/>
      <w:numFmt w:val="decimal"/>
      <w:start w:val="12"/>
    </w:lvl>
  </w:abstractNum>
  <w:abstractNum w:abstractNumId="17">
    <w:nsid w:val="419AC241"/>
    <w:multiLevelType w:val="hybridMultilevel"/>
    <w:lvl w:ilvl="0">
      <w:lvlJc w:val="left"/>
      <w:lvlText w:val="%1."/>
      <w:numFmt w:val="decimal"/>
      <w:start w:val="1"/>
    </w:lvl>
  </w:abstractNum>
  <w:abstractNum w:abstractNumId="18">
    <w:nsid w:val="5577F8E1"/>
    <w:multiLevelType w:val="hybridMultilevel"/>
    <w:lvl w:ilvl="0">
      <w:lvlJc w:val="left"/>
      <w:lvlText w:val="%1."/>
      <w:numFmt w:val="decimal"/>
      <w:start w:val="2"/>
    </w:lvl>
  </w:abstractNum>
  <w:abstractNum w:abstractNumId="19">
    <w:nsid w:val="440BADFC"/>
    <w:multiLevelType w:val="hybridMultilevel"/>
    <w:lvl w:ilvl="0">
      <w:lvlJc w:val="left"/>
      <w:lvlText w:val="%1."/>
      <w:numFmt w:val="decimal"/>
      <w:start w:val="5"/>
    </w:lvl>
  </w:abstractNum>
  <w:abstractNum w:abstractNumId="20">
    <w:nsid w:val="5072367"/>
    <w:multiLevelType w:val="hybridMultilevel"/>
    <w:lvl w:ilvl="0">
      <w:lvlJc w:val="left"/>
      <w:lvlText w:val="(%1)"/>
      <w:numFmt w:val="lowerLetter"/>
      <w:start w:val="1"/>
    </w:lvl>
  </w:abstractNum>
  <w:abstractNum w:abstractNumId="21">
    <w:nsid w:val="3804823E"/>
    <w:multiLevelType w:val="hybridMultilevel"/>
    <w:lvl w:ilvl="0">
      <w:lvlJc w:val="left"/>
      <w:lvlText w:val="%1."/>
      <w:numFmt w:val="decimal"/>
      <w:start w:val="9"/>
    </w:lvl>
  </w:abstractNum>
  <w:abstractNum w:abstractNumId="22">
    <w:nsid w:val="77465F01"/>
    <w:multiLevelType w:val="hybridMultilevel"/>
    <w:lvl w:ilvl="0">
      <w:lvlJc w:val="left"/>
      <w:lvlText w:val="%1."/>
      <w:numFmt w:val="decimal"/>
      <w:start w:val="10"/>
    </w:lvl>
  </w:abstractNum>
  <w:abstractNum w:abstractNumId="23">
    <w:nsid w:val="7724C67E"/>
    <w:multiLevelType w:val="hybridMultilevel"/>
    <w:lvl w:ilvl="0">
      <w:lvlJc w:val="left"/>
      <w:lvlText w:val="%1."/>
      <w:numFmt w:val="decimal"/>
      <w:start w:val="11"/>
    </w:lvl>
  </w:abstractNum>
  <w:abstractNum w:abstractNumId="24">
    <w:nsid w:val="5C482A97"/>
    <w:multiLevelType w:val="hybridMultilevel"/>
    <w:lvl w:ilvl="0">
      <w:lvlJc w:val="left"/>
      <w:lvlText w:val="%1."/>
      <w:numFmt w:val="decimal"/>
      <w:start w:val="12"/>
    </w:lvl>
  </w:abstractNum>
  <w:abstractNum w:abstractNumId="25">
    <w:nsid w:val="2463B9EA"/>
    <w:multiLevelType w:val="hybridMultilevel"/>
    <w:lvl w:ilvl="0">
      <w:lvlJc w:val="left"/>
      <w:lvlText w:val="%1."/>
      <w:numFmt w:val="decimal"/>
      <w:start w:val="1"/>
    </w:lvl>
  </w:abstractNum>
  <w:abstractNum w:abstractNumId="26">
    <w:nsid w:val="5E884ADC"/>
    <w:multiLevelType w:val="hybridMultilevel"/>
    <w:lvl w:ilvl="0">
      <w:lvlJc w:val="left"/>
      <w:lvlText w:val="%1."/>
      <w:numFmt w:val="decimal"/>
      <w:start w:val="2"/>
    </w:lvl>
  </w:abstractNum>
  <w:abstractNum w:abstractNumId="27">
    <w:nsid w:val="51EAD36B"/>
    <w:multiLevelType w:val="hybridMultilevel"/>
    <w:lvl w:ilvl="0">
      <w:lvlJc w:val="left"/>
      <w:lvlText w:val="%1."/>
      <w:numFmt w:val="decimal"/>
      <w:start w:val="5"/>
    </w:lvl>
  </w:abstractNum>
  <w:abstractNum w:abstractNumId="28">
    <w:nsid w:val="2D517796"/>
    <w:multiLevelType w:val="hybridMultilevel"/>
    <w:lvl w:ilvl="0">
      <w:lvlJc w:val="left"/>
      <w:lvlText w:val="(%1)"/>
      <w:numFmt w:val="lowerLetter"/>
      <w:start w:val="1"/>
    </w:lvl>
  </w:abstractNum>
  <w:abstractNum w:abstractNumId="29">
    <w:nsid w:val="580BD78F"/>
    <w:multiLevelType w:val="hybridMultilevel"/>
    <w:lvl w:ilvl="0">
      <w:lvlJc w:val="left"/>
      <w:lvlText w:val="%1."/>
      <w:numFmt w:val="decimal"/>
      <w:start w:val="9"/>
    </w:lvl>
  </w:abstractNum>
  <w:abstractNum w:abstractNumId="30">
    <w:nsid w:val="153EA438"/>
    <w:multiLevelType w:val="hybridMultilevel"/>
    <w:lvl w:ilvl="0">
      <w:lvlJc w:val="left"/>
      <w:lvlText w:val="%1."/>
      <w:numFmt w:val="decimal"/>
      <w:start w:val="10"/>
    </w:lvl>
  </w:abstractNum>
  <w:abstractNum w:abstractNumId="31">
    <w:nsid w:val="3855585C"/>
    <w:multiLevelType w:val="hybridMultilevel"/>
    <w:lvl w:ilvl="0">
      <w:lvlJc w:val="left"/>
      <w:lvlText w:val="%1."/>
      <w:numFmt w:val="decimal"/>
      <w:start w:val="11"/>
    </w:lvl>
  </w:abstractNum>
  <w:abstractNum w:abstractNumId="32">
    <w:nsid w:val="70A64E2A"/>
    <w:multiLevelType w:val="hybridMultilevel"/>
    <w:lvl w:ilvl="0">
      <w:lvlJc w:val="left"/>
      <w:lvlText w:val="%1."/>
      <w:numFmt w:val="decimal"/>
      <w:start w:val="12"/>
    </w:lvl>
  </w:abstractNum>
  <w:abstractNum w:abstractNumId="33">
    <w:nsid w:val="6A2342EC"/>
    <w:multiLevelType w:val="hybridMultilevel"/>
    <w:lvl w:ilvl="0">
      <w:lvlJc w:val="left"/>
      <w:lvlText w:val="%1."/>
      <w:numFmt w:val="decimal"/>
      <w:start w:val="1"/>
    </w:lvl>
  </w:abstractNum>
  <w:abstractNum w:abstractNumId="34">
    <w:nsid w:val="2A487CB0"/>
    <w:multiLevelType w:val="hybridMultilevel"/>
    <w:lvl w:ilvl="0">
      <w:lvlJc w:val="left"/>
      <w:lvlText w:val="%1."/>
      <w:numFmt w:val="decimal"/>
      <w:start w:val="2"/>
    </w:lvl>
  </w:abstractNum>
  <w:abstractNum w:abstractNumId="35">
    <w:nsid w:val="1D4ED43B"/>
    <w:multiLevelType w:val="hybridMultilevel"/>
    <w:lvl w:ilvl="0">
      <w:lvlJc w:val="left"/>
      <w:lvlText w:val="%1."/>
      <w:numFmt w:val="decimal"/>
      <w:start w:val="5"/>
    </w:lvl>
  </w:abstractNum>
  <w:abstractNum w:abstractNumId="36">
    <w:nsid w:val="725A06FB"/>
    <w:multiLevelType w:val="hybridMultilevel"/>
    <w:lvl w:ilvl="0">
      <w:lvlJc w:val="left"/>
      <w:lvlText w:val="(%1)"/>
      <w:numFmt w:val="lowerLetter"/>
      <w:start w:val="1"/>
    </w:lvl>
  </w:abstractNum>
  <w:abstractNum w:abstractNumId="37">
    <w:nsid w:val="2CD89A32"/>
    <w:multiLevelType w:val="hybridMultilevel"/>
    <w:lvl w:ilvl="0">
      <w:lvlJc w:val="left"/>
      <w:lvlText w:val="%1."/>
      <w:numFmt w:val="decimal"/>
      <w:start w:val="9"/>
    </w:lvl>
  </w:abstractNum>
  <w:abstractNum w:abstractNumId="38">
    <w:nsid w:val="57E4CCAF"/>
    <w:multiLevelType w:val="hybridMultilevel"/>
    <w:lvl w:ilvl="0">
      <w:lvlJc w:val="left"/>
      <w:lvlText w:val="%1."/>
      <w:numFmt w:val="decimal"/>
      <w:start w:val="10"/>
    </w:lvl>
  </w:abstractNum>
  <w:abstractNum w:abstractNumId="39">
    <w:nsid w:val="7A6D8D3C"/>
    <w:multiLevelType w:val="hybridMultilevel"/>
    <w:lvl w:ilvl="0">
      <w:lvlJc w:val="left"/>
      <w:lvlText w:val="%1."/>
      <w:numFmt w:val="decimal"/>
      <w:start w:val="11"/>
    </w:lvl>
  </w:abstractNum>
  <w:abstractNum w:abstractNumId="40">
    <w:nsid w:val="4B588F54"/>
    <w:multiLevelType w:val="hybridMultilevel"/>
    <w:lvl w:ilvl="0">
      <w:lvlJc w:val="left"/>
      <w:lvlText w:val="%1."/>
      <w:numFmt w:val="decimal"/>
      <w:start w:val="12"/>
    </w:lvl>
  </w:abstractNum>
  <w:abstractNum w:abstractNumId="41">
    <w:nsid w:val="542289EC"/>
    <w:multiLevelType w:val="hybridMultilevel"/>
    <w:lvl w:ilvl="0">
      <w:lvlJc w:val="left"/>
      <w:lvlText w:val="%1."/>
      <w:numFmt w:val="decimal"/>
      <w:start w:val="1"/>
    </w:lvl>
  </w:abstractNum>
  <w:abstractNum w:abstractNumId="42">
    <w:nsid w:val="6DE91B18"/>
    <w:multiLevelType w:val="hybridMultilevel"/>
    <w:lvl w:ilvl="0">
      <w:lvlJc w:val="left"/>
      <w:lvlText w:val="%1."/>
      <w:numFmt w:val="decimal"/>
      <w:start w:val="2"/>
    </w:lvl>
  </w:abstractNum>
  <w:abstractNum w:abstractNumId="43">
    <w:nsid w:val="38437FDB"/>
    <w:multiLevelType w:val="hybridMultilevel"/>
    <w:lvl w:ilvl="0">
      <w:lvlJc w:val="left"/>
      <w:lvlText w:val="%1."/>
      <w:numFmt w:val="decimal"/>
      <w:start w:val="5"/>
    </w:lvl>
  </w:abstractNum>
  <w:abstractNum w:abstractNumId="44">
    <w:nsid w:val="7644A45C"/>
    <w:multiLevelType w:val="hybridMultilevel"/>
    <w:lvl w:ilvl="0">
      <w:lvlJc w:val="left"/>
      <w:lvlText w:val="(%1)"/>
      <w:numFmt w:val="lowerLetter"/>
      <w:start w:val="1"/>
    </w:lvl>
  </w:abstractNum>
  <w:abstractNum w:abstractNumId="45">
    <w:nsid w:val="32FFF902"/>
    <w:multiLevelType w:val="hybridMultilevel"/>
    <w:lvl w:ilvl="0">
      <w:lvlJc w:val="left"/>
      <w:lvlText w:val="%1."/>
      <w:numFmt w:val="decimal"/>
      <w:start w:val="9"/>
    </w:lvl>
  </w:abstractNum>
  <w:abstractNum w:abstractNumId="46">
    <w:nsid w:val="684A481A"/>
    <w:multiLevelType w:val="hybridMultilevel"/>
    <w:lvl w:ilvl="0">
      <w:lvlJc w:val="left"/>
      <w:lvlText w:val="%1."/>
      <w:numFmt w:val="decimal"/>
      <w:start w:val="10"/>
    </w:lvl>
  </w:abstractNum>
  <w:abstractNum w:abstractNumId="47">
    <w:nsid w:val="579478FE"/>
    <w:multiLevelType w:val="hybridMultilevel"/>
    <w:lvl w:ilvl="0">
      <w:lvlJc w:val="left"/>
      <w:lvlText w:val="%1."/>
      <w:numFmt w:val="decimal"/>
      <w:start w:val="11"/>
    </w:lvl>
  </w:abstractNum>
  <w:abstractNum w:abstractNumId="48">
    <w:nsid w:val="749ABB43"/>
    <w:multiLevelType w:val="hybridMultilevel"/>
    <w:lvl w:ilvl="0">
      <w:lvlJc w:val="left"/>
      <w:lvlText w:val="%1."/>
      <w:numFmt w:val="decimal"/>
      <w:start w:val="12"/>
    </w:lvl>
  </w:abstractNum>
  <w:abstractNum w:abstractNumId="49">
    <w:nsid w:val="3DC240FB"/>
    <w:multiLevelType w:val="hybridMultilevel"/>
    <w:lvl w:ilvl="0">
      <w:lvlJc w:val="left"/>
      <w:lvlText w:val="(%1)"/>
      <w:numFmt w:val="lowerLetter"/>
      <w:start w:val="1"/>
    </w:lvl>
  </w:abstractNum>
  <w:abstractNum w:abstractNumId="50">
    <w:nsid w:val="1BA026FA"/>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2019-12-15T16:12:56Z</dcterms:created>
  <dcterms:modified xsi:type="dcterms:W3CDTF">2019-12-15T16:12:56Z</dcterms:modified>
</cp:coreProperties>
</file>