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890"/>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5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August 10, 2023</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900" w:type="dxa"/>
        <w:tblCellMar>
          <w:top w:w="0" w:type="dxa"/>
          <w:left w:w="0" w:type="dxa"/>
          <w:bottom w:w="0" w:type="dxa"/>
          <w:right w:w="0" w:type="dxa"/>
        </w:tblCellMar>
      </w:tblPr>
      <w:tr>
        <w:trPr>
          <w:trHeight w:val="210"/>
        </w:trPr>
        <w:tc>
          <w:tcPr>
            <w:tcW w:w="5500" w:type="dxa"/>
            <w:vAlign w:val="bottom"/>
          </w:tcPr>
          <w:p>
            <w:pPr>
              <w:jc w:val="center"/>
              <w:ind w:left="1859"/>
              <w:spacing w:after="0"/>
              <w:rPr>
                <w:sz w:val="20"/>
                <w:szCs w:val="20"/>
                <w:color w:val="auto"/>
              </w:rPr>
            </w:pPr>
            <w:r>
              <w:rPr>
                <w:rFonts w:ascii="Arial" w:cs="Arial" w:eastAsia="Arial" w:hAnsi="Arial"/>
                <w:sz w:val="16"/>
                <w:szCs w:val="16"/>
                <w:b w:val="1"/>
                <w:bCs w:val="1"/>
                <w:color w:val="auto"/>
                <w:w w:val="91"/>
              </w:rPr>
              <w:t>Commission file number 001-38257</w:t>
            </w:r>
          </w:p>
        </w:tc>
        <w:tc>
          <w:tcPr>
            <w:tcW w:w="1280" w:type="dxa"/>
            <w:vAlign w:val="bottom"/>
          </w:tcPr>
          <w:p>
            <w:pPr>
              <w:spacing w:after="0"/>
              <w:rPr>
                <w:sz w:val="18"/>
                <w:szCs w:val="18"/>
                <w:color w:val="auto"/>
              </w:rPr>
            </w:pPr>
          </w:p>
        </w:tc>
      </w:tr>
      <w:tr>
        <w:trPr>
          <w:trHeight w:val="324"/>
        </w:trPr>
        <w:tc>
          <w:tcPr>
            <w:tcW w:w="5500" w:type="dxa"/>
            <w:vAlign w:val="bottom"/>
          </w:tcPr>
          <w:p>
            <w:pPr>
              <w:jc w:val="center"/>
              <w:ind w:right="2859"/>
              <w:spacing w:after="0"/>
              <w:rPr>
                <w:sz w:val="20"/>
                <w:szCs w:val="20"/>
                <w:color w:val="auto"/>
              </w:rPr>
            </w:pPr>
            <w:r>
              <w:rPr>
                <w:rFonts w:ascii="Arial" w:cs="Arial" w:eastAsia="Arial" w:hAnsi="Arial"/>
                <w:sz w:val="16"/>
                <w:szCs w:val="16"/>
                <w:b w:val="1"/>
                <w:bCs w:val="1"/>
                <w:color w:val="auto"/>
                <w:w w:val="91"/>
              </w:rPr>
              <w:t>Delaware</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500" w:type="dxa"/>
            <w:vAlign w:val="bottom"/>
          </w:tcPr>
          <w:p>
            <w:pPr>
              <w:jc w:val="center"/>
              <w:ind w:right="2859"/>
              <w:spacing w:after="0"/>
              <w:rPr>
                <w:sz w:val="20"/>
                <w:szCs w:val="20"/>
                <w:color w:val="auto"/>
              </w:rPr>
            </w:pPr>
            <w:r>
              <w:rPr>
                <w:rFonts w:ascii="Arial" w:cs="Arial" w:eastAsia="Arial" w:hAnsi="Arial"/>
                <w:sz w:val="16"/>
                <w:szCs w:val="16"/>
                <w:color w:val="auto"/>
                <w:w w:val="93"/>
              </w:rPr>
              <w:t>(State or other jurisdiction of</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5500" w:type="dxa"/>
            <w:vAlign w:val="bottom"/>
          </w:tcPr>
          <w:p>
            <w:pPr>
              <w:jc w:val="center"/>
              <w:ind w:right="2859"/>
              <w:spacing w:after="0"/>
              <w:rPr>
                <w:sz w:val="20"/>
                <w:szCs w:val="20"/>
                <w:color w:val="auto"/>
              </w:rPr>
            </w:pPr>
            <w:r>
              <w:rPr>
                <w:rFonts w:ascii="Arial" w:cs="Arial" w:eastAsia="Arial" w:hAnsi="Arial"/>
                <w:sz w:val="16"/>
                <w:szCs w:val="16"/>
                <w:color w:val="auto"/>
                <w:w w:val="94"/>
              </w:rPr>
              <w:t>incorporation or organization)</w:t>
            </w: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270"/>
        </w:trPr>
        <w:tc>
          <w:tcPr>
            <w:tcW w:w="5500" w:type="dxa"/>
            <w:vAlign w:val="bottom"/>
          </w:tcPr>
          <w:p>
            <w:pPr>
              <w:jc w:val="center"/>
              <w:ind w:right="2859"/>
              <w:spacing w:after="0"/>
              <w:rPr>
                <w:sz w:val="20"/>
                <w:szCs w:val="20"/>
                <w:color w:val="auto"/>
              </w:rPr>
            </w:pPr>
            <w:r>
              <w:rPr>
                <w:rFonts w:ascii="Arial" w:cs="Arial" w:eastAsia="Arial" w:hAnsi="Arial"/>
                <w:sz w:val="16"/>
                <w:szCs w:val="16"/>
                <w:b w:val="1"/>
                <w:bCs w:val="1"/>
                <w:color w:val="auto"/>
                <w:w w:val="89"/>
              </w:rPr>
              <w:t>2435 Commerce Ave.</w:t>
            </w:r>
          </w:p>
        </w:tc>
        <w:tc>
          <w:tcPr>
            <w:tcW w:w="1280" w:type="dxa"/>
            <w:vAlign w:val="bottom"/>
          </w:tcPr>
          <w:p>
            <w:pPr>
              <w:spacing w:after="0"/>
              <w:rPr>
                <w:sz w:val="23"/>
                <w:szCs w:val="23"/>
                <w:color w:val="auto"/>
              </w:rPr>
            </w:pPr>
          </w:p>
        </w:tc>
      </w:tr>
      <w:tr>
        <w:trPr>
          <w:trHeight w:val="216"/>
        </w:trPr>
        <w:tc>
          <w:tcPr>
            <w:tcW w:w="5500" w:type="dxa"/>
            <w:vAlign w:val="bottom"/>
          </w:tcPr>
          <w:p>
            <w:pPr>
              <w:jc w:val="center"/>
              <w:ind w:right="2859"/>
              <w:spacing w:after="0"/>
              <w:rPr>
                <w:sz w:val="20"/>
                <w:szCs w:val="20"/>
                <w:color w:val="auto"/>
              </w:rPr>
            </w:pPr>
            <w:r>
              <w:rPr>
                <w:rFonts w:ascii="Arial" w:cs="Arial" w:eastAsia="Arial" w:hAnsi="Arial"/>
                <w:sz w:val="16"/>
                <w:szCs w:val="16"/>
                <w:b w:val="1"/>
                <w:bCs w:val="1"/>
                <w:color w:val="auto"/>
                <w:w w:val="92"/>
              </w:rPr>
              <w:t>Building 2200</w:t>
            </w:r>
          </w:p>
        </w:tc>
        <w:tc>
          <w:tcPr>
            <w:tcW w:w="128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500" w:type="dxa"/>
            <w:vAlign w:val="bottom"/>
          </w:tcPr>
          <w:p>
            <w:pPr>
              <w:jc w:val="center"/>
              <w:ind w:right="2859"/>
              <w:spacing w:after="0"/>
              <w:rPr>
                <w:sz w:val="20"/>
                <w:szCs w:val="20"/>
                <w:color w:val="auto"/>
              </w:rPr>
            </w:pPr>
            <w:r>
              <w:rPr>
                <w:rFonts w:ascii="Arial" w:cs="Arial" w:eastAsia="Arial" w:hAnsi="Arial"/>
                <w:sz w:val="16"/>
                <w:szCs w:val="16"/>
                <w:b w:val="1"/>
                <w:bCs w:val="1"/>
                <w:color w:val="auto"/>
                <w:w w:val="93"/>
              </w:rPr>
              <w:t>Duluth, Georgia</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(Zip Code)</w:t>
            </w:r>
          </w:p>
        </w:tc>
      </w:tr>
      <w:tr>
        <w:trPr>
          <w:trHeight w:val="216"/>
        </w:trPr>
        <w:tc>
          <w:tcPr>
            <w:tcW w:w="5500" w:type="dxa"/>
            <w:vAlign w:val="bottom"/>
          </w:tcPr>
          <w:p>
            <w:pPr>
              <w:jc w:val="center"/>
              <w:ind w:right="2859"/>
              <w:spacing w:after="0"/>
              <w:rPr>
                <w:sz w:val="20"/>
                <w:szCs w:val="20"/>
                <w:color w:val="auto"/>
              </w:rPr>
            </w:pPr>
            <w:r>
              <w:rPr>
                <w:rFonts w:ascii="Arial" w:cs="Arial" w:eastAsia="Arial" w:hAnsi="Arial"/>
                <w:sz w:val="16"/>
                <w:szCs w:val="16"/>
                <w:color w:val="auto"/>
                <w:w w:val="93"/>
              </w:rPr>
              <w:t>(Address of principal executive offices)</w:t>
            </w:r>
          </w:p>
        </w:tc>
        <w:tc>
          <w:tcPr>
            <w:tcW w:w="1280" w:type="dxa"/>
            <w:vAlign w:val="bottom"/>
          </w:tcPr>
          <w:p>
            <w:pPr>
              <w:spacing w:after="0"/>
              <w:rPr>
                <w:sz w:val="18"/>
                <w:szCs w:val="18"/>
                <w:color w:val="auto"/>
              </w:rPr>
            </w:pPr>
          </w:p>
        </w:tc>
      </w:tr>
      <w:tr>
        <w:trPr>
          <w:trHeight w:val="280"/>
        </w:trPr>
        <w:tc>
          <w:tcPr>
            <w:tcW w:w="5500" w:type="dxa"/>
            <w:vAlign w:val="bottom"/>
          </w:tcPr>
          <w:p>
            <w:pPr>
              <w:jc w:val="center"/>
              <w:ind w:left="187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80" w:type="dxa"/>
            <w:vAlign w:val="bottom"/>
          </w:tcPr>
          <w:p>
            <w:pPr>
              <w:spacing w:after="0"/>
              <w:rPr>
                <w:sz w:val="24"/>
                <w:szCs w:val="24"/>
                <w:color w:val="auto"/>
              </w:rPr>
            </w:pPr>
          </w:p>
        </w:tc>
      </w:tr>
      <w:tr>
        <w:trPr>
          <w:trHeight w:val="206"/>
        </w:trPr>
        <w:tc>
          <w:tcPr>
            <w:tcW w:w="5500" w:type="dxa"/>
            <w:vAlign w:val="bottom"/>
          </w:tcPr>
          <w:p>
            <w:pPr>
              <w:jc w:val="center"/>
              <w:ind w:left="1859"/>
              <w:spacing w:after="0"/>
              <w:rPr>
                <w:sz w:val="20"/>
                <w:szCs w:val="20"/>
                <w:color w:val="auto"/>
              </w:rPr>
            </w:pPr>
            <w:r>
              <w:rPr>
                <w:rFonts w:ascii="Arial" w:cs="Arial" w:eastAsia="Arial" w:hAnsi="Arial"/>
                <w:sz w:val="16"/>
                <w:szCs w:val="16"/>
                <w:color w:val="auto"/>
                <w:w w:val="91"/>
              </w:rPr>
              <w:t>(Registrant’s telephone number, including area code)</w:t>
            </w:r>
          </w:p>
        </w:tc>
        <w:tc>
          <w:tcPr>
            <w:tcW w:w="128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4"/>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EYE</w:t>
            </w:r>
          </w:p>
        </w:tc>
        <w:tc>
          <w:tcPr>
            <w:tcW w:w="120" w:type="dxa"/>
            <w:vAlign w:val="bottom"/>
          </w:tcPr>
          <w:p>
            <w:pPr>
              <w:spacing w:after="0"/>
              <w:rPr>
                <w:sz w:val="19"/>
                <w:szCs w:val="19"/>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0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25400"/>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10, 2023, National Vision Holdings, Inc. (“</w:t>
      </w:r>
      <w:r>
        <w:rPr>
          <w:rFonts w:ascii="Arial" w:cs="Arial" w:eastAsia="Arial" w:hAnsi="Arial"/>
          <w:sz w:val="18"/>
          <w:szCs w:val="18"/>
          <w:u w:val="single" w:color="auto"/>
          <w:color w:val="auto"/>
        </w:rPr>
        <w:t>National Vision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financial results for the quarter ended July 1, 2023. A copy of the release is furnished herewith as Exhibit 99.1 and incorporated by reference herein.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Item 2.02 of this Current Report on Form 8-K, including Exhibit 99.1, is being furnished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pursuant to Item 2.02 of Form 8-K and shall not be deemed to be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ind w:left="214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60" w:type="dxa"/>
            <w:vAlign w:val="bottom"/>
          </w:tcPr>
          <w:p>
            <w:pPr>
              <w:spacing w:after="0"/>
              <w:rPr>
                <w:sz w:val="24"/>
                <w:szCs w:val="24"/>
                <w:color w:val="auto"/>
              </w:rPr>
            </w:pPr>
          </w:p>
        </w:tc>
      </w:tr>
      <w:tr>
        <w:trPr>
          <w:trHeight w:val="209"/>
        </w:trPr>
        <w:tc>
          <w:tcPr>
            <w:tcW w:w="340" w:type="dxa"/>
            <w:vAlign w:val="bottom"/>
            <w:gridSpan w:val="2"/>
          </w:tcPr>
          <w:p>
            <w:pPr>
              <w:ind w:left="40"/>
              <w:spacing w:after="0"/>
              <w:rPr>
                <w:sz w:val="20"/>
                <w:szCs w:val="20"/>
                <w:color w:val="auto"/>
              </w:rPr>
            </w:pPr>
            <w:r>
              <w:rPr>
                <w:rFonts w:ascii="Arial" w:cs="Arial" w:eastAsia="Arial" w:hAnsi="Arial"/>
                <w:sz w:val="18"/>
                <w:szCs w:val="18"/>
                <w:color w:val="0000FF"/>
                <w:w w:val="79"/>
              </w:rPr>
              <w:t>99.</w:t>
            </w:r>
            <w:r>
              <w:rPr>
                <w:rFonts w:ascii="Arial" w:cs="Arial" w:eastAsia="Arial" w:hAnsi="Arial"/>
                <w:sz w:val="18"/>
                <w:szCs w:val="18"/>
                <w:u w:val="single" w:color="auto"/>
                <w:color w:val="0000FF"/>
                <w:w w:val="79"/>
              </w:rPr>
              <w:t>1</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August 10, 2023.</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00" w:type="dxa"/>
            <w:vAlign w:val="bottom"/>
            <w:gridSpan w:val="2"/>
          </w:tcPr>
          <w:p>
            <w:pPr>
              <w:spacing w:after="0" w:line="20" w:lineRule="exact"/>
              <w:rPr>
                <w:sz w:val="1"/>
                <w:szCs w:val="1"/>
                <w:color w:val="auto"/>
              </w:rPr>
            </w:pPr>
          </w:p>
        </w:tc>
      </w:tr>
      <w:tr>
        <w:trPr>
          <w:trHeight w:val="250"/>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104</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880" w:type="dxa"/>
            <w:vAlign w:val="bottom"/>
          </w:tcPr>
          <w:p>
            <w:pPr>
              <w:spacing w:after="0"/>
              <w:rPr>
                <w:sz w:val="20"/>
                <w:szCs w:val="20"/>
                <w:color w:val="auto"/>
              </w:rPr>
            </w:pPr>
            <w:r>
              <w:rPr>
                <w:rFonts w:ascii="Arial" w:cs="Arial" w:eastAsia="Arial" w:hAnsi="Arial"/>
                <w:sz w:val="18"/>
                <w:szCs w:val="18"/>
                <w:color w:val="auto"/>
              </w:rPr>
              <w:t>Date: August 10, 2023</w:t>
            </w:r>
          </w:p>
        </w:tc>
        <w:tc>
          <w:tcPr>
            <w:tcW w:w="2600" w:type="dxa"/>
            <w:vAlign w:val="bottom"/>
          </w:tcPr>
          <w:p>
            <w:pPr>
              <w:ind w:left="12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4"/>
        </w:trPr>
        <w:tc>
          <w:tcPr>
            <w:tcW w:w="2880" w:type="dxa"/>
            <w:vAlign w:val="bottom"/>
          </w:tcPr>
          <w:p>
            <w:pPr>
              <w:spacing w:after="0"/>
              <w:rPr>
                <w:sz w:val="19"/>
                <w:szCs w:val="19"/>
                <w:color w:val="auto"/>
              </w:rPr>
            </w:pPr>
          </w:p>
        </w:tc>
        <w:tc>
          <w:tcPr>
            <w:tcW w:w="2600" w:type="dxa"/>
            <w:vAlign w:val="bottom"/>
          </w:tcPr>
          <w:p>
            <w:pPr>
              <w:ind w:left="126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42"/>
        </w:trPr>
        <w:tc>
          <w:tcPr>
            <w:tcW w:w="2880" w:type="dxa"/>
            <w:vAlign w:val="bottom"/>
          </w:tcPr>
          <w:p>
            <w:pPr>
              <w:spacing w:after="0"/>
              <w:rPr>
                <w:sz w:val="21"/>
                <w:szCs w:val="21"/>
                <w:color w:val="auto"/>
              </w:rPr>
            </w:pPr>
          </w:p>
        </w:tc>
        <w:tc>
          <w:tcPr>
            <w:tcW w:w="2600" w:type="dxa"/>
            <w:vAlign w:val="bottom"/>
          </w:tcPr>
          <w:p>
            <w:pPr>
              <w:ind w:left="126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00"/>
          </w:cols>
          <w:pgMar w:left="320" w:top="891" w:right="37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10553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Reports Second Quarter 2023 Financial Results</w:t>
      </w:r>
    </w:p>
    <w:p>
      <w:pPr>
        <w:spacing w:after="0" w:line="274" w:lineRule="exact"/>
        <w:rPr>
          <w:sz w:val="20"/>
          <w:szCs w:val="20"/>
          <w:color w:val="auto"/>
        </w:rPr>
      </w:pPr>
    </w:p>
    <w:p>
      <w:pPr>
        <w:ind w:left="340" w:hanging="170"/>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of $525.3 million, an increase of 3.1% from Q2 2022</w:t>
      </w:r>
    </w:p>
    <w:p>
      <w:pPr>
        <w:spacing w:after="0" w:line="49" w:lineRule="exact"/>
        <w:rPr>
          <w:rFonts w:ascii="Arial" w:cs="Arial" w:eastAsia="Arial" w:hAnsi="Arial"/>
          <w:sz w:val="18"/>
          <w:szCs w:val="18"/>
          <w:i w:val="1"/>
          <w:iCs w:val="1"/>
          <w:color w:val="auto"/>
        </w:rPr>
      </w:pPr>
    </w:p>
    <w:p>
      <w:pPr>
        <w:ind w:left="340" w:hanging="170"/>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(0.1%) and Adjusted Comparable Store Sales Growth of 1.0% from Q2 2022</w:t>
      </w:r>
    </w:p>
    <w:p>
      <w:pPr>
        <w:spacing w:after="0" w:line="49" w:lineRule="exact"/>
        <w:rPr>
          <w:rFonts w:ascii="Arial" w:cs="Arial" w:eastAsia="Arial" w:hAnsi="Arial"/>
          <w:sz w:val="18"/>
          <w:szCs w:val="18"/>
          <w:i w:val="1"/>
          <w:iCs w:val="1"/>
          <w:color w:val="auto"/>
        </w:rPr>
      </w:pPr>
    </w:p>
    <w:p>
      <w:pPr>
        <w:ind w:left="340" w:hanging="170"/>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$5.6 million and Diluted EPS of $0.07 compared with $9.7 million and $0.12, respectively in Q2 2022</w:t>
      </w:r>
    </w:p>
    <w:p>
      <w:pPr>
        <w:spacing w:after="0" w:line="36" w:lineRule="exact"/>
        <w:rPr>
          <w:rFonts w:ascii="Arial" w:cs="Arial" w:eastAsia="Arial" w:hAnsi="Arial"/>
          <w:sz w:val="18"/>
          <w:szCs w:val="18"/>
          <w:i w:val="1"/>
          <w:iCs w:val="1"/>
          <w:color w:val="auto"/>
        </w:rPr>
      </w:pPr>
    </w:p>
    <w:p>
      <w:pPr>
        <w:ind w:left="340" w:hanging="170"/>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of $16.4 million compared with $27.8 million in Q2 2022</w:t>
      </w:r>
    </w:p>
    <w:p>
      <w:pPr>
        <w:spacing w:after="0" w:line="49" w:lineRule="exact"/>
        <w:rPr>
          <w:rFonts w:ascii="Arial" w:cs="Arial" w:eastAsia="Arial" w:hAnsi="Arial"/>
          <w:sz w:val="18"/>
          <w:szCs w:val="18"/>
          <w:i w:val="1"/>
          <w:iCs w:val="1"/>
          <w:color w:val="auto"/>
        </w:rPr>
      </w:pPr>
    </w:p>
    <w:p>
      <w:pPr>
        <w:ind w:left="340" w:hanging="170"/>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of $0.17 compared with $0.21 in Q2 2022</w:t>
      </w:r>
    </w:p>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10, 2023 </w:t>
      </w:r>
      <w:r>
        <w:rPr>
          <w:rFonts w:ascii="Arial" w:cs="Arial" w:eastAsia="Arial" w:hAnsi="Arial"/>
          <w:sz w:val="18"/>
          <w:szCs w:val="18"/>
          <w:color w:val="auto"/>
        </w:rPr>
        <w:t>--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second quarter ended July 1, 2023.</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delivered second quarter 2023 results generally in line with our expectations, reflecting continued strength in our managed care business and progress on our strategic initiatives, including expanding exam capacity through enhanced optometrist retention and recruitment efforts,” said Reade Fahs, National Vision's CEO. “As we look ahead, we remain focused on better serving our customers, enhancing our market position and driving long-term growth of our America’s Best and Eyeglass World brands. While we continue to navigate near-term headwinds, we believe National Vision remains well positioned to achieve our full-year 2023 guidance and deliver sustainable profitable growth over the long term.”</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Summary</w:t>
      </w:r>
    </w:p>
    <w:p>
      <w:pPr>
        <w:spacing w:after="0" w:line="108" w:lineRule="exact"/>
        <w:rPr>
          <w:sz w:val="20"/>
          <w:szCs w:val="20"/>
          <w:color w:val="auto"/>
        </w:rPr>
      </w:pPr>
    </w:p>
    <w:p>
      <w:pPr>
        <w:jc w:val="both"/>
        <w:ind w:left="260" w:hanging="252"/>
        <w:spacing w:after="0" w:line="238"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3.1% to $525.3 million compared with the second quarter of 2022 primarily due to growth from new store sales and an increase in Adjusted Comparable Store Sales Growth, partially offset by the effect of unearned revenue in the second quarter of 2023 compared with the prior-year quarter. Net revenue includes a (0.9%) impact from the timing of unearned revenue in the current-year quarter compared with the prior-year quarter.</w:t>
      </w:r>
    </w:p>
    <w:p>
      <w:pPr>
        <w:spacing w:after="0" w:line="15" w:lineRule="exact"/>
        <w:rPr>
          <w:rFonts w:ascii="Arial" w:cs="Arial" w:eastAsia="Arial" w:hAnsi="Arial"/>
          <w:sz w:val="18"/>
          <w:szCs w:val="18"/>
          <w:color w:val="auto"/>
        </w:rPr>
      </w:pPr>
    </w:p>
    <w:p>
      <w:pPr>
        <w:jc w:val="both"/>
        <w:ind w:left="260" w:hanging="252"/>
        <w:spacing w:after="0" w:line="248"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(0.1%) and Adjusted Comparable Store Sales Growth was 1.0%, both reflecting higher average ticket and an increase in customer transactions. Comparable store sales growth was negatively impacted by the effects of unearned and deferred revenue in the current-year quarter compared with the prior-year quarter.</w:t>
      </w:r>
    </w:p>
    <w:p>
      <w:pPr>
        <w:spacing w:after="0" w:line="6" w:lineRule="exact"/>
        <w:rPr>
          <w:rFonts w:ascii="Arial" w:cs="Arial" w:eastAsia="Arial" w:hAnsi="Arial"/>
          <w:sz w:val="18"/>
          <w:szCs w:val="18"/>
          <w:color w:val="auto"/>
        </w:rPr>
      </w:pPr>
    </w:p>
    <w:p>
      <w:pPr>
        <w:ind w:left="260" w:hanging="252"/>
        <w:spacing w:after="0" w:line="261"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24 new stores, closed one store, and ended the quarter with 1,381 stores. Overall, store count grew 5.1% from July 2, 2022 to July 1, 2023.</w:t>
      </w:r>
    </w:p>
    <w:p>
      <w:pPr>
        <w:spacing w:after="0" w:line="8" w:lineRule="exact"/>
        <w:rPr>
          <w:rFonts w:ascii="Arial" w:cs="Arial" w:eastAsia="Arial" w:hAnsi="Arial"/>
          <w:sz w:val="18"/>
          <w:szCs w:val="18"/>
          <w:color w:val="auto"/>
        </w:rPr>
      </w:pPr>
    </w:p>
    <w:p>
      <w:pPr>
        <w:jc w:val="both"/>
        <w:ind w:left="260" w:hanging="252"/>
        <w:spacing w:after="0" w:line="231"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applicable to revenue increased 5.7% to $247.8 million compared with the second quarter of 2022. As a percentage of net revenue, costs applicable to revenue increased 120 basis points to 47.2% compared with the second quarter of 2022 and were primarily driven by an increase in optometrist-related costs partially offset by increased exam revenue. In addition, costs applicable to revenue as a percentage of net revenue increased due to lower product protection plan revenue as well as other product mix and margin effects.</w:t>
      </w:r>
    </w:p>
    <w:p>
      <w:pPr>
        <w:spacing w:after="0" w:line="26" w:lineRule="exact"/>
        <w:rPr>
          <w:rFonts w:ascii="Arial" w:cs="Arial" w:eastAsia="Arial" w:hAnsi="Arial"/>
          <w:sz w:val="18"/>
          <w:szCs w:val="18"/>
          <w:color w:val="auto"/>
        </w:rPr>
      </w:pPr>
    </w:p>
    <w:p>
      <w:pPr>
        <w:jc w:val="both"/>
        <w:ind w:left="260" w:hanging="252"/>
        <w:spacing w:after="0" w:line="234"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increased 7.1% to $244.0 million compared with the second quarter of 2022. Adjusted SG&amp;A increased 6.3% to $238.0 million compared with the second quarter of 2022. As a percentage of net revenue, SG&amp;A increased 170 basis points to 46.4% compared with the second quarter of 2022 mainly due to increases in performance-based incentive and stock-based compensation, payroll, and occupancy expense offset primarily by a decrease in other expenses. As a percentage of net revenue, adjusted SG&amp;A increased 140 basis points to 45.3% compared with the second quarter of 2022, driven by increases in payroll, performance-based incentive compensation, and occupancy expense, partially offset by a decrease in other expenses.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5" w:name="page6"/>
    <w:bookmarkEnd w:id="5"/>
    <w:p>
      <w:pPr>
        <w:jc w:val="both"/>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and amortization expense of $24.9 million decreased 1.3% from the prior-year period primarily due to a shift to cloud-based software investments that are amortized in SG&amp;A, partially offset by the Company's ongoing investments in remote medicine technology and new store openings.</w:t>
      </w:r>
    </w:p>
    <w:p>
      <w:pPr>
        <w:spacing w:after="0" w:line="27" w:lineRule="exact"/>
        <w:rPr>
          <w:rFonts w:ascii="Arial" w:cs="Arial" w:eastAsia="Arial" w:hAnsi="Arial"/>
          <w:sz w:val="18"/>
          <w:szCs w:val="18"/>
          <w:color w:val="auto"/>
        </w:rPr>
      </w:pPr>
    </w:p>
    <w:p>
      <w:pPr>
        <w:ind w:left="260" w:right="740" w:hanging="252"/>
        <w:spacing w:after="0" w:line="258"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decreased 42.3% to $5.6 million compared with the second quarter of 2022. Net income margin decreased 80 basis points to 1.1% compared with the second quarter of 2022.</w:t>
      </w:r>
    </w:p>
    <w:p>
      <w:pPr>
        <w:jc w:val="both"/>
        <w:ind w:left="260" w:hanging="252"/>
        <w:spacing w:after="0" w:line="248"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(EPS) decreased 40.8% to $0.07 compared with the second quarter of 2022. Adjusted Diluted EPS decreased 19.1% to $0.17 compared with the second quarter of 2022. The change in margin on unearned revenue negatively impacted Diluted EPS by $0.03 and Adjusted Diluted EPS by $0.03.</w:t>
      </w:r>
    </w:p>
    <w:p>
      <w:pPr>
        <w:spacing w:after="0" w:line="6" w:lineRule="exact"/>
        <w:rPr>
          <w:rFonts w:ascii="Arial" w:cs="Arial" w:eastAsia="Arial" w:hAnsi="Arial"/>
          <w:sz w:val="18"/>
          <w:szCs w:val="18"/>
          <w:color w:val="auto"/>
        </w:rPr>
      </w:pPr>
    </w:p>
    <w:p>
      <w:pPr>
        <w:jc w:val="both"/>
        <w:ind w:left="260" w:hanging="252"/>
        <w:spacing w:after="0" w:line="248"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Income decreased 40.8% to $16.4 million compared with the second quarter of 2022. Adjusted Operating Margin decreased 240 basis points to 3.1% compared with the second quarter of 2022. The change in margin on unearned revenue negatively impacted net income by $2.6 million and Adjusted Operating Income by $3.5 million.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Year-to-Date Summary</w:t>
      </w:r>
    </w:p>
    <w:p>
      <w:pPr>
        <w:spacing w:after="0" w:line="54" w:lineRule="exact"/>
        <w:rPr>
          <w:sz w:val="20"/>
          <w:szCs w:val="20"/>
          <w:color w:val="auto"/>
        </w:rPr>
      </w:pPr>
    </w:p>
    <w:p>
      <w:pPr>
        <w:jc w:val="both"/>
        <w:ind w:left="260" w:hanging="252"/>
        <w:spacing w:after="0" w:line="238"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increased 4.9% to $1,087.7 million compared with the same period of 2022 and was primarily driven by growth from new store sales, an increase in Adjusted Comparable Store Sales Growth, higher revenue from the Company's AC Lens business and the effect of unearned revenue in the current period compared with the prior-year period. Net revenue includes a 0.6% impact from the timing of unearned revenue in the current-year period compared with the prior-year period.</w:t>
      </w:r>
    </w:p>
    <w:p>
      <w:pPr>
        <w:spacing w:after="0" w:line="29" w:lineRule="exact"/>
        <w:rPr>
          <w:rFonts w:ascii="Arial" w:cs="Arial" w:eastAsia="Arial" w:hAnsi="Arial"/>
          <w:sz w:val="18"/>
          <w:szCs w:val="18"/>
          <w:color w:val="auto"/>
        </w:rPr>
      </w:pPr>
    </w:p>
    <w:p>
      <w:pPr>
        <w:ind w:left="260" w:hanging="252"/>
        <w:spacing w:after="0" w:line="246"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was 1.5% and Adjusted Comparable Store Sales Growth was 0.9%, both reflecting higher average ticket and an increase in customer transactions.</w:t>
      </w:r>
    </w:p>
    <w:p>
      <w:pPr>
        <w:spacing w:after="0" w:line="2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32 new stores, closed six stores, and ended the period with 1,381 stores.</w:t>
      </w:r>
    </w:p>
    <w:p>
      <w:pPr>
        <w:spacing w:after="0" w:line="36"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applicable to revenue increased 6.6% to $501.9 million compared with the same period in 2022. As a percentage of net revenue, compared with the prior-year period, costs applicable to revenue increased 70 basis points to 46.1%, mainly due to an increase in optometrist-related costs partially offset by increased exam revenue and the effects from increased eyeglass mix and higher eyeglass margin. In addition, costs applicable to revenue as a percentage of net revenue increased due to lower product protection plan revenue.</w:t>
      </w:r>
    </w:p>
    <w:p>
      <w:pPr>
        <w:spacing w:after="0" w:line="29"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increased 8.2% to $493.9 million compared with the same period in 2022. Adjusted SG&amp;A increased 8.2% to $483.6 million compared with the same period of 2022. As a percentage of net revenue, SG&amp;A increased 140 basis points to 45.4% compared with the same period in 2022 mainly due to increases in performance-based incentive and stock-based compensation and payroll, partially offset by lower advertising expense. As a percentage of net revenue, adjusted SG&amp;A increased 140 basis points driven by increases in performance-based incentive compensation and payroll, partially offset by lower advertising expense.</w:t>
      </w:r>
    </w:p>
    <w:p>
      <w:pPr>
        <w:spacing w:after="0" w:line="13" w:lineRule="exact"/>
        <w:rPr>
          <w:rFonts w:ascii="Arial" w:cs="Arial" w:eastAsia="Arial" w:hAnsi="Arial"/>
          <w:sz w:val="18"/>
          <w:szCs w:val="18"/>
          <w:color w:val="auto"/>
        </w:rPr>
      </w:pPr>
    </w:p>
    <w:p>
      <w:pPr>
        <w:jc w:val="both"/>
        <w:ind w:left="260" w:hanging="252"/>
        <w:spacing w:after="0" w:line="248"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expense of $49.7 million decreased 1.3% from the prior-year period primarily due to a shift to cloud-based software investments that are amortized in SG&amp;A, partially offset by the Company's ongoing investments in remote medicine technology and new store openings.</w:t>
      </w:r>
    </w:p>
    <w:p>
      <w:pPr>
        <w:spacing w:after="0" w:line="6" w:lineRule="exact"/>
        <w:rPr>
          <w:rFonts w:ascii="Arial" w:cs="Arial" w:eastAsia="Arial" w:hAnsi="Arial"/>
          <w:sz w:val="18"/>
          <w:szCs w:val="18"/>
          <w:color w:val="auto"/>
        </w:rPr>
      </w:pPr>
    </w:p>
    <w:p>
      <w:pPr>
        <w:ind w:left="260" w:hanging="252"/>
        <w:spacing w:after="0" w:line="261"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decreased 40.1% to $23.9 million compared with the same period in 2022. Net income margin decreased 160 basis points to 2.2% compared with the same period in 2022.</w:t>
      </w:r>
    </w:p>
    <w:p>
      <w:pPr>
        <w:spacing w:after="0" w:line="8" w:lineRule="exact"/>
        <w:rPr>
          <w:rFonts w:ascii="Arial" w:cs="Arial" w:eastAsia="Arial" w:hAnsi="Arial"/>
          <w:sz w:val="18"/>
          <w:szCs w:val="18"/>
          <w:color w:val="auto"/>
        </w:rPr>
      </w:pPr>
    </w:p>
    <w:p>
      <w:pPr>
        <w:ind w:left="260" w:hanging="252"/>
        <w:spacing w:after="0" w:line="273"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Diluted EPS decreased 36.0% to $0.30 compared to the same period in 2022. Adjusted Diluted EPS decreased 4.4% to $0.51 compared to the same period in 2022. The net change in margin on unearned revenue benefited Diluted EPS by $0.04 and Adjusted Diluted EPS by $0.04.</w:t>
      </w:r>
    </w:p>
    <w:p>
      <w:pPr>
        <w:jc w:val="both"/>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Income decreased 22.9% to $56.3 million compared with the same period of 2022. Adjusted Operating Margin decreased 180 basis points to 5.2% compared with the same period in 2022. The net change in margin on unearned revenue benefited net income by $3.5 million and Adjusted Operating Income by $4.7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July 1, 2023</w:t>
      </w:r>
    </w:p>
    <w:p>
      <w:pPr>
        <w:spacing w:after="0" w:line="108" w:lineRule="exact"/>
        <w:rPr>
          <w:sz w:val="20"/>
          <w:szCs w:val="20"/>
          <w:color w:val="auto"/>
        </w:rPr>
      </w:pPr>
    </w:p>
    <w:p>
      <w:pPr>
        <w:ind w:left="260" w:hanging="252"/>
        <w:spacing w:after="0" w:line="246"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Vision's cash balance was $254.6 million as of July 1, 2023. The Company had no borrowings under its $300.0 million first-lien revolving-credit facility (“Revolving Loans”), exclusive of letters of credit of $6.4 million.</w:t>
      </w:r>
    </w:p>
    <w:p>
      <w:pPr>
        <w:spacing w:after="0" w:line="21" w:lineRule="exact"/>
        <w:rPr>
          <w:rFonts w:ascii="Arial" w:cs="Arial" w:eastAsia="Arial" w:hAnsi="Arial"/>
          <w:sz w:val="18"/>
          <w:szCs w:val="18"/>
          <w:color w:val="auto"/>
        </w:rPr>
      </w:pPr>
    </w:p>
    <w:p>
      <w:pPr>
        <w:ind w:left="260" w:hanging="252"/>
        <w:spacing w:after="0" w:line="258"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debt was $565.7 million as of July 1, 2023, consisting of outstanding first-lien term loans, convertible senior notes (“2025 Notes”) and finance lease obligations, net of unamortized discounts.</w:t>
      </w:r>
    </w:p>
    <w:p>
      <w:pPr>
        <w:ind w:left="260" w:hanging="252"/>
        <w:spacing w:after="0" w:line="261"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flows from operating activities for the first six months of 2023 were $112.2 million compared to $88.0 million for the second quarter of 2022. The year-over-year increase was primarily due to timing of incentive compensation-related payments.</w:t>
      </w:r>
    </w:p>
    <w:p>
      <w:pPr>
        <w:spacing w:after="0" w:line="8"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for the first six months of 2023 totaled $54.1 million compared to $55.7 million for the second quarter of 2022.</w:t>
      </w:r>
    </w:p>
    <w:p>
      <w:pPr>
        <w:spacing w:after="0" w:line="36" w:lineRule="exact"/>
        <w:rPr>
          <w:rFonts w:ascii="Arial" w:cs="Arial" w:eastAsia="Arial" w:hAnsi="Arial"/>
          <w:sz w:val="18"/>
          <w:szCs w:val="18"/>
          <w:color w:val="auto"/>
        </w:rPr>
      </w:pPr>
    </w:p>
    <w:p>
      <w:pPr>
        <w:ind w:left="260" w:hanging="252"/>
        <w:spacing w:after="0" w:line="261"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previously announced in June 2023, National Vision entered into an amended credit agreement, extending its access to $300.0 million in liquidity through Revolving Loans for an additional five years through June 13, 2028.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3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Share Repurchase Program</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second quarter of 2023, the Company did not repurchase any shares of its common stock. Year to date through July 1, 2023, National Vision repurchased approximately 1.1 million shares for $25.0 million. The Company has $25.0 million remaining under its current share repurchase authorization.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previously announced on July 26, 2023, the Company’s partnership with Walmart Inc. (“Walmart”) will be ending in 2024. This includes supplying and operating Vision Centers in select Walmart stores, providing contact lens distribution and related services to Walmart and its affiliate, and arranging for the provision of optometric services at certain Walmart locations in California. In connection with the termination of these agreements, National Vision expects to record noncash goodwill and intangible asset impairment charges of approximately $60 million and $10 million, respectively, in the third quarter of 2023.</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Outlook</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National Vision's fiscal 2023 outlook reflects current expected or estimated impacts related to macro-economic factors, including inflation, geopolitical instability and risks of recession, as well as constraints on exam capacity; however, the ultimate impact of these factors on the Company’s financial outlook remains uncertain with dynamic market conditions and the outlook shown below assumes no material deterioration to the Company’s current business operations as a result of such factors or as a result of the termination of the Walmart partnership.</w:t>
      </w:r>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Based on its financial results for the six months ended July 1, 2023, and outlook for the remainder of this fiscal year, National Vision is reaffirming its fiscal-2023 guidance as provided on May 11, 2023 for all metrics except for depreciation and amortization, which the Company now expects to be in a range of $99 million to $101 million from the previous range of $104 million to $106 million. National Vision also noted that based on its year-to-date performance, it expects Adjusted Operating Income and Adjusted Diluted EPS to be at or above the midpoint of its fiscal 2023 guidance range.</w:t>
      </w:r>
    </w:p>
    <w:p>
      <w:pPr>
        <w:spacing w:after="0" w:line="200" w:lineRule="exact"/>
        <w:rPr>
          <w:sz w:val="20"/>
          <w:szCs w:val="20"/>
          <w:color w:val="auto"/>
        </w:rPr>
      </w:pPr>
    </w:p>
    <w:p>
      <w:pPr>
        <w:spacing w:after="0" w:line="282" w:lineRule="exact"/>
        <w:rPr>
          <w:sz w:val="20"/>
          <w:szCs w:val="20"/>
          <w:color w:val="auto"/>
        </w:rPr>
      </w:pPr>
    </w:p>
    <w:tbl>
      <w:tblPr>
        <w:tblLayout w:type="fixed"/>
        <w:tblInd w:w="840" w:type="dxa"/>
        <w:tblCellMar>
          <w:top w:w="0" w:type="dxa"/>
          <w:left w:w="0" w:type="dxa"/>
          <w:bottom w:w="0" w:type="dxa"/>
          <w:right w:w="0" w:type="dxa"/>
        </w:tblCellMar>
      </w:tblPr>
      <w:tr>
        <w:trPr>
          <w:trHeight w:val="241"/>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Guidance Metric</w:t>
            </w:r>
          </w:p>
        </w:tc>
        <w:tc>
          <w:tcPr>
            <w:tcW w:w="552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 xml:space="preserve">Fiscal-2023 Guidance Range </w:t>
            </w:r>
            <w:r>
              <w:rPr>
                <w:rFonts w:ascii="Arial" w:cs="Arial" w:eastAsia="Arial" w:hAnsi="Arial"/>
                <w:sz w:val="16"/>
                <w:szCs w:val="16"/>
                <w:color w:val="auto"/>
                <w:w w:val="90"/>
              </w:rPr>
              <w:t>(as of August 10, 2023)</w:t>
            </w: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552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89"/>
              </w:rPr>
              <w:t>65 to 70</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Adjusted Comparable Store Sales Growth</w:t>
            </w:r>
          </w:p>
        </w:tc>
        <w:tc>
          <w:tcPr>
            <w:tcW w:w="5520" w:type="dxa"/>
            <w:vAlign w:val="bottom"/>
          </w:tcPr>
          <w:p>
            <w:pPr>
              <w:jc w:val="center"/>
              <w:ind w:left="890"/>
              <w:spacing w:after="0"/>
              <w:rPr>
                <w:sz w:val="20"/>
                <w:szCs w:val="20"/>
                <w:color w:val="auto"/>
              </w:rPr>
            </w:pPr>
            <w:r>
              <w:rPr>
                <w:rFonts w:ascii="Arial" w:cs="Arial" w:eastAsia="Arial" w:hAnsi="Arial"/>
                <w:sz w:val="18"/>
                <w:szCs w:val="18"/>
                <w:color w:val="auto"/>
                <w:w w:val="90"/>
              </w:rPr>
              <w:t>0% to 3%</w:t>
            </w: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52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5"/>
              </w:rPr>
              <w:t>$2.075 billion to $2.135 billion</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5520" w:type="dxa"/>
            <w:vAlign w:val="bottom"/>
          </w:tcPr>
          <w:p>
            <w:pPr>
              <w:jc w:val="center"/>
              <w:ind w:left="890"/>
              <w:spacing w:after="0"/>
              <w:rPr>
                <w:sz w:val="20"/>
                <w:szCs w:val="20"/>
                <w:color w:val="auto"/>
              </w:rPr>
            </w:pPr>
            <w:r>
              <w:rPr>
                <w:rFonts w:ascii="Arial" w:cs="Arial" w:eastAsia="Arial" w:hAnsi="Arial"/>
                <w:sz w:val="18"/>
                <w:szCs w:val="18"/>
                <w:color w:val="auto"/>
                <w:w w:val="96"/>
              </w:rPr>
              <w:t>$48 million to $66 million</w:t>
            </w: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1</w:t>
            </w:r>
          </w:p>
        </w:tc>
        <w:tc>
          <w:tcPr>
            <w:tcW w:w="552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90"/>
              </w:rPr>
              <w:t>$0.42 to $0.60</w:t>
            </w:r>
          </w:p>
        </w:tc>
      </w:tr>
      <w:tr>
        <w:trPr>
          <w:trHeight w:val="297"/>
        </w:trPr>
        <w:tc>
          <w:tcPr>
            <w:tcW w:w="4040" w:type="dxa"/>
            <w:vAlign w:val="bottom"/>
          </w:tcPr>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2</w:t>
            </w:r>
          </w:p>
        </w:tc>
        <w:tc>
          <w:tcPr>
            <w:tcW w:w="5520" w:type="dxa"/>
            <w:vAlign w:val="bottom"/>
          </w:tcPr>
          <w:p>
            <w:pPr>
              <w:jc w:val="center"/>
              <w:ind w:left="890"/>
              <w:spacing w:after="0"/>
              <w:rPr>
                <w:sz w:val="20"/>
                <w:szCs w:val="20"/>
                <w:color w:val="auto"/>
              </w:rPr>
            </w:pPr>
            <w:r>
              <w:rPr>
                <w:rFonts w:ascii="Arial" w:cs="Arial" w:eastAsia="Arial" w:hAnsi="Arial"/>
                <w:sz w:val="18"/>
                <w:szCs w:val="18"/>
                <w:color w:val="auto"/>
                <w:w w:val="96"/>
              </w:rPr>
              <w:t xml:space="preserve">$99 million to $101 million </w:t>
            </w:r>
            <w:r>
              <w:rPr>
                <w:rFonts w:ascii="Arial" w:cs="Arial" w:eastAsia="Arial" w:hAnsi="Arial"/>
                <w:sz w:val="14"/>
                <w:szCs w:val="14"/>
                <w:color w:val="auto"/>
                <w:w w:val="96"/>
              </w:rPr>
              <w:t>(previously: $104 million to $106 million)</w:t>
            </w: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3</w:t>
            </w:r>
          </w:p>
        </w:tc>
        <w:tc>
          <w:tcPr>
            <w:tcW w:w="552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97"/>
              </w:rPr>
              <w:t>~$3 million</w:t>
            </w:r>
          </w:p>
        </w:tc>
      </w:tr>
      <w:tr>
        <w:trPr>
          <w:trHeight w:val="243"/>
        </w:trPr>
        <w:tc>
          <w:tcPr>
            <w:tcW w:w="4040" w:type="dxa"/>
            <w:vAlign w:val="bottom"/>
          </w:tcPr>
          <w:p>
            <w:pPr>
              <w:ind w:left="20"/>
              <w:spacing w:after="0" w:line="243"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4</w:t>
            </w:r>
          </w:p>
        </w:tc>
        <w:tc>
          <w:tcPr>
            <w:tcW w:w="5520" w:type="dxa"/>
            <w:vAlign w:val="bottom"/>
          </w:tcPr>
          <w:p>
            <w:pPr>
              <w:jc w:val="center"/>
              <w:ind w:left="890"/>
              <w:spacing w:after="0"/>
              <w:rPr>
                <w:sz w:val="20"/>
                <w:szCs w:val="20"/>
                <w:color w:val="auto"/>
              </w:rPr>
            </w:pPr>
            <w:r>
              <w:rPr>
                <w:rFonts w:ascii="Arial" w:cs="Arial" w:eastAsia="Arial" w:hAnsi="Arial"/>
                <w:sz w:val="18"/>
                <w:szCs w:val="18"/>
                <w:color w:val="auto"/>
                <w:w w:val="92"/>
              </w:rPr>
              <w:t>26% to 28%</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552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4"/>
              </w:rPr>
              <w:t>$115 million to $120 million</w:t>
            </w:r>
          </w:p>
        </w:tc>
      </w:tr>
    </w:tbl>
    <w:p>
      <w:pPr>
        <w:spacing w:after="0" w:line="260" w:lineRule="exact"/>
        <w:rPr>
          <w:sz w:val="20"/>
          <w:szCs w:val="20"/>
          <w:color w:val="auto"/>
        </w:rPr>
      </w:pPr>
    </w:p>
    <w:p>
      <w:pPr>
        <w:ind w:left="1020" w:right="860" w:hanging="162"/>
        <w:spacing w:after="0" w:line="203" w:lineRule="auto"/>
        <w:tabs>
          <w:tab w:leader="none" w:pos="948" w:val="left"/>
        </w:tabs>
        <w:numPr>
          <w:ilvl w:val="0"/>
          <w:numId w:val="8"/>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Assumes approximately 79 million shares and does not include 12.9 million shares attributable to the 2025 Notes and shares from stock-based compensation awards as the company anticipates them to be anti-dilutive to earnings per share for fiscal year 2023.</w:t>
      </w:r>
    </w:p>
    <w:p>
      <w:pPr>
        <w:spacing w:after="0" w:line="5" w:lineRule="exact"/>
        <w:rPr>
          <w:sz w:val="20"/>
          <w:szCs w:val="20"/>
          <w:color w:val="auto"/>
        </w:rPr>
      </w:pPr>
    </w:p>
    <w:p>
      <w:pPr>
        <w:ind w:left="1020" w:right="860" w:hanging="162"/>
        <w:spacing w:after="0" w:line="191" w:lineRule="auto"/>
        <w:tabs>
          <w:tab w:leader="none" w:pos="955" w:val="left"/>
        </w:tabs>
        <w:numPr>
          <w:ilvl w:val="0"/>
          <w:numId w:val="9"/>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Includes amortization of acquisition intangibles of approximately $4.5 million, which is excluded in the definition of Adjusted Operating Income and reflects the anticipated impact of the intangible asset impairment in connection with the termination of the Walmart agreements.</w:t>
      </w:r>
    </w:p>
    <w:p>
      <w:pPr>
        <w:spacing w:after="0" w:line="4" w:lineRule="exact"/>
        <w:rPr>
          <w:sz w:val="20"/>
          <w:szCs w:val="20"/>
          <w:color w:val="auto"/>
        </w:rPr>
      </w:pPr>
    </w:p>
    <w:p>
      <w:pPr>
        <w:ind w:left="1020" w:right="860" w:hanging="162"/>
        <w:spacing w:after="0" w:line="181" w:lineRule="auto"/>
        <w:tabs>
          <w:tab w:leader="none" w:pos="950"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Before the impact of gains or losses on change in fair value of derivatives and charges related to amortization of debt discounts and deferred financing costs.</w:t>
      </w:r>
    </w:p>
    <w:p>
      <w:pPr>
        <w:ind w:left="960" w:hanging="102"/>
        <w:spacing w:after="0" w:line="208" w:lineRule="auto"/>
        <w:tabs>
          <w:tab w:leader="none" w:pos="960"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Excluding the impact of vesting of restricted stock units and stock option exercises.</w:t>
      </w:r>
    </w:p>
    <w:p>
      <w:pPr>
        <w:spacing w:after="0" w:line="200" w:lineRule="exact"/>
        <w:rPr>
          <w:rFonts w:ascii="Arial" w:cs="Arial" w:eastAsia="Arial" w:hAnsi="Arial"/>
          <w:sz w:val="21"/>
          <w:szCs w:val="21"/>
          <w:i w:val="1"/>
          <w:iCs w:val="1"/>
          <w:color w:val="auto"/>
          <w:vertAlign w:val="superscript"/>
        </w:rPr>
      </w:pPr>
    </w:p>
    <w:p>
      <w:pPr>
        <w:spacing w:after="0" w:line="200" w:lineRule="exact"/>
        <w:rPr>
          <w:rFonts w:ascii="Arial" w:cs="Arial" w:eastAsia="Arial" w:hAnsi="Arial"/>
          <w:sz w:val="21"/>
          <w:szCs w:val="21"/>
          <w:i w:val="1"/>
          <w:iCs w:val="1"/>
          <w:color w:val="auto"/>
          <w:vertAlign w:val="superscript"/>
        </w:rPr>
      </w:pPr>
    </w:p>
    <w:p>
      <w:pPr>
        <w:spacing w:after="0" w:line="334" w:lineRule="exact"/>
        <w:rPr>
          <w:rFonts w:ascii="Arial" w:cs="Arial" w:eastAsia="Arial" w:hAnsi="Arial"/>
          <w:sz w:val="21"/>
          <w:szCs w:val="21"/>
          <w:i w:val="1"/>
          <w:iCs w:val="1"/>
          <w:color w:val="auto"/>
          <w:vertAlign w:val="superscript"/>
        </w:rPr>
      </w:pPr>
    </w:p>
    <w:p>
      <w:pPr>
        <w:ind w:left="5580"/>
        <w:spacing w:after="0"/>
        <w:rPr>
          <w:rFonts w:ascii="Arial" w:cs="Arial" w:eastAsia="Arial" w:hAnsi="Arial"/>
          <w:sz w:val="21"/>
          <w:szCs w:val="21"/>
          <w:i w:val="1"/>
          <w:iCs w:val="1"/>
          <w:color w:val="auto"/>
          <w:vertAlign w:val="superscript"/>
        </w:rPr>
      </w:pPr>
      <w:r>
        <w:rPr>
          <w:rFonts w:ascii="Arial" w:cs="Arial" w:eastAsia="Arial" w:hAnsi="Arial"/>
          <w:sz w:val="18"/>
          <w:szCs w:val="18"/>
          <w:color w:val="auto"/>
        </w:rPr>
        <w:t>3</w:t>
      </w:r>
    </w:p>
    <w:p>
      <w:pPr>
        <w:sectPr>
          <w:pgSz w:w="11900" w:h="16838" w:orient="portrait"/>
          <w:cols w:equalWidth="0" w:num="1">
            <w:col w:w="11240"/>
          </w:cols>
          <w:pgMar w:left="320" w:top="1228" w:right="339" w:bottom="1440" w:gutter="0" w:footer="0" w:header="0"/>
        </w:sectPr>
      </w:pPr>
    </w:p>
    <w:bookmarkStart w:id="7" w:name="page8"/>
    <w:bookmarkEnd w:id="7"/>
    <w:p>
      <w:pPr>
        <w:jc w:val="both"/>
        <w:spacing w:after="0" w:line="238" w:lineRule="auto"/>
        <w:rPr>
          <w:sz w:val="20"/>
          <w:szCs w:val="20"/>
          <w:color w:val="auto"/>
        </w:rPr>
      </w:pPr>
      <w:r>
        <w:rPr>
          <w:rFonts w:ascii="Arial" w:cs="Arial" w:eastAsia="Arial" w:hAnsi="Arial"/>
          <w:sz w:val="18"/>
          <w:szCs w:val="18"/>
          <w:i w:val="1"/>
          <w:iCs w:val="1"/>
          <w:color w:val="auto"/>
        </w:rPr>
        <w:t>The fiscal 2023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6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The fiscal 2023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2023 outlook. The Company uses these forward-looking measures internally to assess and benchmark its results and strategic plans. See “Forward-Looking Statements”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Company will host a conference call to discuss its second quarter 2023 financial results and fiscal-year 2023 guidance today, August 10, 2023, at 8:30 a.m. Eastern Time. To pre-register for the conference call and obtain a dial-in number and passcode please refer to the “Investors” section of the Company’s website at </w:t>
      </w:r>
      <w:r>
        <w:rPr>
          <w:rFonts w:ascii="Arial" w:cs="Arial" w:eastAsia="Arial" w:hAnsi="Arial"/>
          <w:sz w:val="18"/>
          <w:szCs w:val="18"/>
          <w:u w:val="single" w:color="auto"/>
          <w:color w:val="0E32E1"/>
        </w:rPr>
        <w:t>www.nationalvision.com/investors</w:t>
      </w:r>
      <w:r>
        <w:rPr>
          <w:rFonts w:ascii="Arial" w:cs="Arial" w:eastAsia="Arial" w:hAnsi="Arial"/>
          <w:sz w:val="18"/>
          <w:szCs w:val="18"/>
          <w:color w:val="auto"/>
        </w:rPr>
        <w:t xml:space="preserve">. A live audio webcast of the conference call will be available on the “Investors” section of the Company’s website at </w:t>
      </w:r>
      <w:r>
        <w:rPr>
          <w:rFonts w:ascii="Arial" w:cs="Arial" w:eastAsia="Arial" w:hAnsi="Arial"/>
          <w:sz w:val="18"/>
          <w:szCs w:val="18"/>
          <w:u w:val="single" w:color="auto"/>
          <w:color w:val="0E32E1"/>
        </w:rPr>
        <w:t>www.nationalvision.com/investors</w:t>
      </w:r>
      <w:r>
        <w:rPr>
          <w:rFonts w:ascii="Arial" w:cs="Arial" w:eastAsia="Arial" w:hAnsi="Arial"/>
          <w:sz w:val="18"/>
          <w:szCs w:val="18"/>
          <w:color w:val="auto"/>
        </w:rPr>
        <w:t xml:space="preserve"> , where presentation materials will be posted prior to the conference call. A replay of the audio webcast will also be archived on the “Investors” section of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-384810</wp:posOffset>
            </wp:positionV>
            <wp:extent cx="504063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40630" cy="2489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National Vision Holdings, Inc. is the second largest optical retail company in the United States (by sales) with more than 1,300 retail stores in 44 states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“Recent Development” and “Fiscal 2023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future resurgences, and related impacts including federal, state, and local governmental actions in response thereto; customer behavior in response to the pandemic, including the impact of such behavior on in-store traffic and sales; market volatility and an overall decline in the health of the economy and other factors impacting consumer spending, including inflation and uncertainty in financial markets (including as a result of recent bank failures and events affecting financial institutions); our ability to recruit and retain vision care professionals for our stores and remote medicine offerings in general and in light of the pandemic; our ability to compete successfully; our ability to successfully open new stores and enter new markets; our ability to expand our remote medicine offerings and electronic health records capabilities; our ability to maintain the performance of our Host and Legacy brands and our current operating relationships with our Host and Legacy partners; our ability to successfully navigate the termination of our Walmart partnership, including the transition period; our ability to maintain sufficient levels of cash flow from our operations to execute or sustain our growth strategy or obtain additional financing at satisfactory terms or at all; the impact of wage rate increases, inflation, cost increases and increases in raw material prices and energy prices; our growth strategy straining our existing resources and causing the performance of our existing stores to suffer; our ability to successfully and efficiently implement our marketing, advertising and promotional efforts; risks associated with leasing substantial amounts of space, including future increases in occupancy costs; the impact of certain technological advances,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1" w:right="339" w:bottom="1440" w:gutter="0" w:footer="0" w:header="0"/>
        </w:sectPr>
      </w:pPr>
    </w:p>
    <w:bookmarkStart w:id="8" w:name="page9"/>
    <w:bookmarkEnd w:id="8"/>
    <w:p>
      <w:pPr>
        <w:jc w:val="both"/>
        <w:spacing w:after="0" w:line="265" w:lineRule="auto"/>
        <w:rPr>
          <w:sz w:val="20"/>
          <w:szCs w:val="20"/>
          <w:color w:val="auto"/>
        </w:rPr>
      </w:pPr>
      <w:r>
        <w:rPr>
          <w:rFonts w:ascii="Arial" w:cs="Arial" w:eastAsia="Arial" w:hAnsi="Arial"/>
          <w:sz w:val="16"/>
          <w:szCs w:val="16"/>
          <w:color w:val="auto"/>
        </w:rPr>
        <w:t>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risks associated with our e-commerce and omni-channel business; the loss of, or disruption in the operations of, one or more of our distribution centers and/or optical laboratories, resulting in the inability to fulfill customer orders and deliver our products in a timely manner; risk of losses arising from our investments in technological innovators in the optical retail industry; risks associated with environmental, social and governance issues, including climate change; risks associated with vendors from whom our products are sourced, including our dependence on a limited number of suppliers; our ability to develop, maintain and extend relationships with managed vision care companies, vision insurance providers and other third-party payors; our ability to effectively operate our information technology systems and prevent interruption or security breach; our reliance on third-party coverage and reimbursement, including government programs, for an increasing portion of our revenues; our ability to adhere to extensive state, local and federal vision care and healthcare laws and regulations; our compliance with managed vision care laws and regulations; our ability to adhere to changing state, local and federal privacy, data security and data protection laws and regulations;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the timing, manner and volume of repurchases of common stock pursuant to our share repurchase program),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EBITDA: </w:t>
      </w:r>
      <w:r>
        <w:rPr>
          <w:rFonts w:ascii="Arial" w:cs="Arial" w:eastAsia="Arial" w:hAnsi="Arial"/>
          <w:sz w:val="17"/>
          <w:szCs w:val="17"/>
          <w:color w:val="auto"/>
        </w:rPr>
        <w:t>We define EBITDA as net income, plus interest expense (income), net, income tax provision (benefit), and depreciation and amortization.</w:t>
      </w:r>
    </w:p>
    <w:p>
      <w:pPr>
        <w:spacing w:after="0" w:line="10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Adjusted Operating Income: </w:t>
      </w:r>
      <w:r>
        <w:rPr>
          <w:rFonts w:ascii="Arial" w:cs="Arial" w:eastAsia="Arial" w:hAnsi="Arial"/>
          <w:sz w:val="16"/>
          <w:szCs w:val="16"/>
          <w:color w:val="auto"/>
        </w:rPr>
        <w:t>We define Adjusted Operating Income as net income, plus interest expense (income), net and income tax provision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adjusted to exclude stock-based compensation expense, loss on extinguishment of debt, asset impairment, litigation settlement, secondary offering expenses, management realignment expenses, long-term incentive plan expenses, amortization of acquisition intangibles, and certain other expenses.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Adjusted EBITDA: </w:t>
      </w:r>
      <w:r>
        <w:rPr>
          <w:rFonts w:ascii="Arial" w:cs="Arial" w:eastAsia="Arial" w:hAnsi="Arial"/>
          <w:sz w:val="17"/>
          <w:szCs w:val="17"/>
          <w:color w:val="auto"/>
        </w:rPr>
        <w:t>We define Adjusted EBITDA as net income, plus interest expense (income), net, income tax provision (benefit) and depreciation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further adjusted to exclude stock-based compensation expense, loss on extinguishment of debt, asset impairment, litigation settlement, secondary offering expenses, management realignment expenses, long-term incentive plan expenses, and certain other expenses.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Adjusted Diluted EPS: </w:t>
      </w:r>
      <w:r>
        <w:rPr>
          <w:rFonts w:ascii="Arial" w:cs="Arial" w:eastAsia="Arial" w:hAnsi="Arial"/>
          <w:sz w:val="18"/>
          <w:szCs w:val="18"/>
          <w:color w:val="auto"/>
        </w:rPr>
        <w:t>We define Adjusted Diluted EPS as diluted earnings per share, adjusted for the per share impact of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certain other expenses, and tax expense (benefit) from stock-based compensation, less the tax effect of these adjustments.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as SG&amp;A, adjusted to exclude stock-based compensation expense, litigation settlement, secondary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management realignment expenses, long-term incentive plan expense, and certain other expenses.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SG&amp;A Percent of Net Revenue: </w:t>
      </w:r>
      <w:r>
        <w:rPr>
          <w:rFonts w:ascii="Arial" w:cs="Arial" w:eastAsia="Arial" w:hAnsi="Arial"/>
          <w:sz w:val="17"/>
          <w:szCs w:val="17"/>
          <w:color w:val="auto"/>
        </w:rPr>
        <w:t>We define Adjusted SG&amp;A Percent of Net Revenue as Adjusted SG&amp;A as a percentage of net revenue.</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July 1, 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December 31, 2022</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229,425</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78,904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79,892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123,158</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41,361</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473,836</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367,333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359,775</w:t>
            </w: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Trademarks and trade names</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intangible assets, net</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398,469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382,825</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noncurrent assets</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1,839,641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1,817,410</w:t>
            </w:r>
          </w:p>
        </w:tc>
        <w:tc>
          <w:tcPr>
            <w:tcW w:w="0" w:type="dxa"/>
            <w:vAlign w:val="bottom"/>
          </w:tcPr>
          <w:p>
            <w:pPr>
              <w:spacing w:after="0"/>
              <w:rPr>
                <w:sz w:val="1"/>
                <w:szCs w:val="1"/>
                <w:color w:val="auto"/>
              </w:rPr>
            </w:pPr>
          </w:p>
        </w:tc>
      </w:tr>
      <w:tr>
        <w:trPr>
          <w:trHeight w:val="25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2,291,246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65,276</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Other payables and accrued expenses</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112,946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94,225</w:t>
            </w: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41,239</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62,201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operating lease obligations</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344,264</w:t>
            </w: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555,182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563,388</w:t>
            </w: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358,110</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21,946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93,870</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1,045,869</w:t>
            </w: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Arial" w:cs="Arial" w:eastAsia="Arial" w:hAnsi="Arial"/>
                <w:sz w:val="18"/>
                <w:szCs w:val="18"/>
                <w:color w:val="auto"/>
                <w:w w:val="89"/>
              </w:rPr>
              <w:t>Common stock, $0.01 par value; 200,000 shares authorized; 84,625 and 84,273 shares issued as of</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0"/>
              <w:spacing w:after="0" w:line="189" w:lineRule="exact"/>
              <w:rPr>
                <w:sz w:val="20"/>
                <w:szCs w:val="20"/>
                <w:color w:val="auto"/>
              </w:rPr>
            </w:pPr>
            <w:r>
              <w:rPr>
                <w:rFonts w:ascii="Arial" w:cs="Arial" w:eastAsia="Arial" w:hAnsi="Arial"/>
                <w:sz w:val="18"/>
                <w:szCs w:val="18"/>
                <w:color w:val="auto"/>
                <w:w w:val="93"/>
              </w:rPr>
              <w:t>July 1, 2023 and December 31, 2022, respectively; 78,154 and 78,992 shares outstanding as of</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July 1, 2023 and December 31, 2022, respectively</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767,112</w:t>
            </w:r>
          </w:p>
        </w:tc>
        <w:tc>
          <w:tcPr>
            <w:tcW w:w="0" w:type="dxa"/>
            <w:vAlign w:val="bottom"/>
          </w:tcPr>
          <w:p>
            <w:pPr>
              <w:spacing w:after="0"/>
              <w:rPr>
                <w:sz w:val="1"/>
                <w:szCs w:val="1"/>
                <w:color w:val="auto"/>
              </w:rPr>
            </w:pPr>
          </w:p>
        </w:tc>
      </w:tr>
      <w:tr>
        <w:trPr>
          <w:trHeight w:val="237"/>
        </w:trPr>
        <w:tc>
          <w:tcPr>
            <w:tcW w:w="71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320,517</w:t>
            </w: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5"/>
              </w:rPr>
              <w:t>Treasury stock, at cost; 6,471 and 5,281 shares as of July 1, 2023 and December 31, 2022,</w:t>
            </w:r>
          </w:p>
        </w:tc>
        <w:tc>
          <w:tcPr>
            <w:tcW w:w="32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(213,796)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(186,179)</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901,113</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2,333,928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2,291,246</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769"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Six Months Ended</w:t>
            </w:r>
          </w:p>
        </w:tc>
      </w:tr>
      <w:tr>
        <w:trPr>
          <w:trHeight w:val="223"/>
        </w:trPr>
        <w:tc>
          <w:tcPr>
            <w:tcW w:w="5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July 1, 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July 2, 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July 1, 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July 2, 2022</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432,925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421,600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897,686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854,853</w:t>
            </w:r>
          </w:p>
        </w:tc>
      </w:tr>
      <w:tr>
        <w:trPr>
          <w:trHeight w:val="243"/>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182,413</w:t>
            </w: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509,555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1,087,709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1,037,266</w:t>
            </w:r>
          </w:p>
        </w:tc>
      </w:tr>
      <w:tr>
        <w:trPr>
          <w:trHeight w:val="175"/>
        </w:trPr>
        <w:tc>
          <w:tcPr>
            <w:tcW w:w="5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Costs applicable to revenue (exclusive of depreciation and</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327,580</w:t>
            </w:r>
          </w:p>
        </w:tc>
      </w:tr>
      <w:tr>
        <w:trPr>
          <w:trHeight w:val="230"/>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143,024</w:t>
            </w: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247,839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234,567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501,891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470,604</w:t>
            </w:r>
          </w:p>
        </w:tc>
      </w:tr>
      <w:tr>
        <w:trPr>
          <w:trHeight w:val="23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243,971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493,893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456,383</w:t>
            </w:r>
          </w:p>
        </w:tc>
      </w:tr>
      <w:tr>
        <w:trPr>
          <w:trHeight w:val="243"/>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50,396</w:t>
            </w: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3,915</w:t>
            </w:r>
          </w:p>
        </w:tc>
      </w:tr>
      <w:tr>
        <w:trPr>
          <w:trHeight w:val="230"/>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6"/>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269,776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256,617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544,781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510,959</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55,703</w:t>
            </w: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3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55,884</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80,744</w:t>
            </w: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94,109</w:t>
            </w:r>
          </w:p>
        </w:tc>
      </w:tr>
      <w:tr>
        <w:trPr>
          <w:trHeight w:val="270"/>
        </w:trPr>
        <w:tc>
          <w:tcPr>
            <w:tcW w:w="5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w:t>
            </w: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Unrealized gain on hedge instruments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43"/>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provision of unrealized gain on hedge instruments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40,259</w:t>
            </w:r>
          </w:p>
        </w:tc>
      </w:tr>
      <w:tr>
        <w:trPr>
          <w:trHeight w:val="21"/>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4"/>
          <w:szCs w:val="14"/>
          <w:i w:val="1"/>
          <w:iCs w:val="1"/>
          <w:color w:val="auto"/>
        </w:rPr>
        <w:t>Note: Diluted EPS for the six months ended July 2, 2022 is calculated using the if-converted method for the 2025 Notes. The Company added back $4.7 million in interest expense (after tax) related to the 2025 Notes and assumed conversion of the 2025 Notes at the beginning of the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223"/>
        </w:trPr>
        <w:tc>
          <w:tcPr>
            <w:tcW w:w="8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July 1, 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July 2, 2022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23,884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39,881</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50,396</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deferred financing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37"/>
        </w:trPr>
        <w:tc>
          <w:tcPr>
            <w:tcW w:w="818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3,915</w:t>
            </w:r>
          </w:p>
        </w:tc>
      </w:tr>
      <w:tr>
        <w:trPr>
          <w:trHeight w:val="23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expense (benefit)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7,372</w:t>
            </w:r>
          </w:p>
        </w:tc>
      </w:tr>
      <w:tr>
        <w:trPr>
          <w:trHeight w:val="24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(gains) on change in fair value of derivatives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Inventory adjustments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(7,253)</w:t>
            </w:r>
          </w:p>
        </w:tc>
      </w:tr>
      <w:tr>
        <w:trPr>
          <w:trHeight w:val="24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 of use assets and lease liabilities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2,246</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r>
      <w:tr>
        <w:trPr>
          <w:trHeight w:val="237"/>
        </w:trPr>
        <w:tc>
          <w:tcPr>
            <w:tcW w:w="8180" w:type="dxa"/>
            <w:vAlign w:val="bottom"/>
          </w:tcPr>
          <w:p>
            <w:pPr>
              <w:ind w:left="220"/>
              <w:spacing w:after="0"/>
              <w:rPr>
                <w:sz w:val="20"/>
                <w:szCs w:val="20"/>
                <w:color w:val="auto"/>
              </w:rPr>
            </w:pPr>
            <w:r>
              <w:rPr>
                <w:rFonts w:ascii="Arial" w:cs="Arial" w:eastAsia="Arial" w:hAnsi="Arial"/>
                <w:sz w:val="18"/>
                <w:szCs w:val="18"/>
                <w:color w:val="auto"/>
              </w:rPr>
              <w:t>Deferred and unearned revenue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3,253</w:t>
            </w:r>
          </w:p>
        </w:tc>
      </w:tr>
      <w:tr>
        <w:trPr>
          <w:trHeight w:val="236"/>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112,216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18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(55,714)</w:t>
            </w:r>
          </w:p>
        </w:tc>
      </w:tr>
      <w:tr>
        <w:trPr>
          <w:trHeight w:val="23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(55,694)</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Repayments on long-term debt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(83,632)</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debt issuance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Payments on finance lease obligations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(83,608)</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(51,271)</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306,876</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255,605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 information:</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5,632</w:t>
            </w: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accrued at the end of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Reconciliation of Adjusted Operating Income to Net Income</w:t>
            </w:r>
          </w:p>
        </w:tc>
        <w:tc>
          <w:tcPr>
            <w:tcW w:w="180" w:type="dxa"/>
            <w:vAlign w:val="bottom"/>
          </w:tcPr>
          <w:p>
            <w:pPr>
              <w:spacing w:after="0"/>
              <w:rPr>
                <w:sz w:val="20"/>
                <w:szCs w:val="20"/>
                <w:color w:val="auto"/>
              </w:rPr>
            </w:pPr>
          </w:p>
        </w:tc>
        <w:tc>
          <w:tcPr>
            <w:tcW w:w="2820" w:type="dxa"/>
            <w:vAlign w:val="bottom"/>
            <w:gridSpan w:val="6"/>
            <w:vMerge w:val="restart"/>
          </w:tcPr>
          <w:p>
            <w:pPr>
              <w:ind w:left="56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vMerge w:val="restart"/>
          </w:tcPr>
          <w:p>
            <w:pPr>
              <w:jc w:val="right"/>
              <w:ind w:right="7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July 1, 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July 2, 2022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July 1, 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July 2, 2022</w:t>
            </w: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9,734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23,884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39,881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3,963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4,674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10,450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16,003</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3,638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3,509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37"/>
        </w:trPr>
        <w:tc>
          <w:tcPr>
            <w:tcW w:w="516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Adjusted 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16,448</w:t>
            </w:r>
          </w:p>
        </w:tc>
        <w:tc>
          <w:tcPr>
            <w:tcW w:w="28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27,780</w:t>
            </w:r>
          </w:p>
        </w:tc>
        <w:tc>
          <w:tcPr>
            <w:tcW w:w="2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56,321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73,084</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margin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Adjusted Operating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0"/>
        </w:trPr>
        <w:tc>
          <w:tcPr>
            <w:tcW w:w="6600" w:type="dxa"/>
            <w:vAlign w:val="bottom"/>
            <w:gridSpan w:val="4"/>
          </w:tcPr>
          <w:p>
            <w:pPr>
              <w:ind w:left="80"/>
              <w:spacing w:after="0"/>
              <w:rPr>
                <w:sz w:val="20"/>
                <w:szCs w:val="20"/>
                <w:color w:val="auto"/>
              </w:rPr>
            </w:pPr>
            <w:r>
              <w:rPr>
                <w:rFonts w:ascii="Arial" w:cs="Arial" w:eastAsia="Arial" w:hAnsi="Arial"/>
                <w:sz w:val="18"/>
                <w:szCs w:val="18"/>
                <w:i w:val="1"/>
                <w:iCs w:val="1"/>
                <w:color w:val="auto"/>
                <w:w w:val="91"/>
              </w:rPr>
              <w:t>Note: Percentages reflect line item as a percentage of net revenue, adjusted for rounding.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Reconciliation of EBITDA and Adjusted EBITDA to Net Income</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gridSpan w:val="6"/>
          </w:tcPr>
          <w:p>
            <w:pPr>
              <w:ind w:left="54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5"/>
          </w:tcPr>
          <w:p>
            <w:pPr>
              <w:jc w:val="right"/>
              <w:ind w:right="7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6"/>
              </w:rPr>
              <w:t>July 1, 2023</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July 2, 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July 1, 2023</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July 2, 2022</w:t>
            </w:r>
          </w:p>
        </w:tc>
        <w:tc>
          <w:tcPr>
            <w:tcW w:w="0" w:type="dxa"/>
            <w:vAlign w:val="bottom"/>
          </w:tcPr>
          <w:p>
            <w:pPr>
              <w:spacing w:after="0"/>
              <w:rPr>
                <w:sz w:val="1"/>
                <w:szCs w:val="1"/>
                <w:color w:val="auto"/>
              </w:rPr>
            </w:pPr>
          </w:p>
        </w:tc>
      </w:tr>
      <w:tr>
        <w:trPr>
          <w:trHeight w:val="237"/>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5,614</w:t>
            </w:r>
          </w:p>
        </w:tc>
        <w:tc>
          <w:tcPr>
            <w:tcW w:w="2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9,734</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23,884</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39,881</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3,963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16,003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24,929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25,245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49,742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50,396</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32,654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43,616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90,779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106,099</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3,509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23"/>
        </w:trPr>
        <w:tc>
          <w:tcPr>
            <w:tcW w:w="516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39,505</w:t>
            </w:r>
          </w:p>
        </w:tc>
        <w:tc>
          <w:tcPr>
            <w:tcW w:w="1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51,153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102,319</w:t>
            </w:r>
          </w:p>
        </w:tc>
        <w:tc>
          <w:tcPr>
            <w:tcW w:w="10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119,736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51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margin</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Adjusted EBITDA Margin</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8"/>
          <w:szCs w:val="18"/>
          <w:i w:val="1"/>
          <w:iCs w:val="1"/>
          <w:color w:val="auto"/>
        </w:rPr>
        <w:t>Note: Percentages reflect line item as a percentage of net revenue, adjusted for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180" w:type="dxa"/>
            <w:vAlign w:val="bottom"/>
          </w:tcPr>
          <w:p>
            <w:pPr>
              <w:spacing w:after="0"/>
              <w:rPr>
                <w:sz w:val="20"/>
                <w:szCs w:val="20"/>
                <w:color w:val="auto"/>
              </w:rPr>
            </w:pPr>
          </w:p>
        </w:tc>
        <w:tc>
          <w:tcPr>
            <w:tcW w:w="2660" w:type="dxa"/>
            <w:vAlign w:val="bottom"/>
            <w:gridSpan w:val="4"/>
            <w:vMerge w:val="restart"/>
          </w:tcPr>
          <w:p>
            <w:pPr>
              <w:jc w:val="right"/>
              <w:ind w:right="57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4"/>
            <w:vMerge w:val="restart"/>
          </w:tcPr>
          <w:p>
            <w:pPr>
              <w:jc w:val="right"/>
              <w:ind w:right="6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Shares in thousands, except per share amounts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July 1, 2023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July 2, 2022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July 1, 2023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July 2, 2022</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(d)</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Tax expense (benefit) from stock-based compensation </w:t>
            </w:r>
            <w:r>
              <w:rPr>
                <w:rFonts w:ascii="Arial" w:cs="Arial" w:eastAsia="Arial" w:hAnsi="Arial"/>
                <w:sz w:val="23"/>
                <w:szCs w:val="23"/>
                <w:color w:val="auto"/>
                <w:vertAlign w:val="superscript"/>
              </w:rPr>
              <w:t>(g)</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(h)</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78,343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80,403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78,784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94,109</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3"/>
          </w:tcPr>
          <w:p>
            <w:pPr>
              <w:ind w:left="40"/>
              <w:spacing w:after="0"/>
              <w:rPr>
                <w:sz w:val="20"/>
                <w:szCs w:val="20"/>
                <w:color w:val="auto"/>
              </w:rPr>
            </w:pPr>
            <w:r>
              <w:rPr>
                <w:rFonts w:ascii="Arial" w:cs="Arial" w:eastAsia="Arial" w:hAnsi="Arial"/>
                <w:sz w:val="18"/>
                <w:szCs w:val="18"/>
                <w:i w:val="1"/>
                <w:iCs w:val="1"/>
                <w:color w:val="auto"/>
                <w:w w:val="98"/>
              </w:rPr>
              <w:t>Note: Some of the totals in the table above do not foot due to rounding differences.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93"/>
        </w:trPr>
        <w:tc>
          <w:tcPr>
            <w:tcW w:w="688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Reconciliation of Adjusted SG&amp;A and Adjusted SG&amp;A Percent of Net Revenue to SG&amp;A</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5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23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July 1, 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July 2, 2022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July 1, 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July 2, 2022</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SG&amp;A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243,971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227,829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493,893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456,383</w:t>
            </w: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3,638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7,372</w:t>
            </w:r>
          </w:p>
        </w:tc>
      </w:tr>
      <w:tr>
        <w:trPr>
          <w:trHeight w:val="243"/>
        </w:trPr>
        <w:tc>
          <w:tcPr>
            <w:tcW w:w="50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(j)</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2,095</w:t>
            </w:r>
          </w:p>
        </w:tc>
      </w:tr>
      <w:tr>
        <w:trPr>
          <w:trHeight w:val="223"/>
        </w:trPr>
        <w:tc>
          <w:tcPr>
            <w:tcW w:w="5060" w:type="dxa"/>
            <w:vAlign w:val="bottom"/>
          </w:tcPr>
          <w:p>
            <w:pPr>
              <w:ind w:left="140"/>
              <w:spacing w:after="0"/>
              <w:rPr>
                <w:sz w:val="20"/>
                <w:szCs w:val="20"/>
                <w:color w:val="auto"/>
              </w:rPr>
            </w:pPr>
            <w:r>
              <w:rPr>
                <w:rFonts w:ascii="Arial" w:cs="Arial" w:eastAsia="Arial" w:hAnsi="Arial"/>
                <w:sz w:val="18"/>
                <w:szCs w:val="18"/>
                <w:b w:val="1"/>
                <w:bCs w:val="1"/>
                <w:color w:val="auto"/>
              </w:rPr>
              <w:t>Adjusted SG&amp;A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238,009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223,801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483,629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446,916</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5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ind w:left="140"/>
              <w:spacing w:after="0"/>
              <w:rPr>
                <w:sz w:val="20"/>
                <w:szCs w:val="20"/>
                <w:color w:val="auto"/>
              </w:rPr>
            </w:pPr>
            <w:r>
              <w:rPr>
                <w:rFonts w:ascii="Arial" w:cs="Arial" w:eastAsia="Arial" w:hAnsi="Arial"/>
                <w:sz w:val="18"/>
                <w:szCs w:val="18"/>
                <w:b w:val="1"/>
                <w:bCs w:val="1"/>
                <w:color w:val="auto"/>
              </w:rPr>
              <w:t>SG&amp;A Percent of Net Revenue</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46.4 %</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44.7 %</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45.4 %</w:t>
            </w:r>
          </w:p>
        </w:tc>
        <w:tc>
          <w:tcPr>
            <w:tcW w:w="1060" w:type="dxa"/>
            <w:vAlign w:val="bottom"/>
          </w:tcPr>
          <w:p>
            <w:pPr>
              <w:jc w:val="right"/>
              <w:spacing w:after="0"/>
              <w:rPr>
                <w:sz w:val="20"/>
                <w:szCs w:val="20"/>
                <w:color w:val="auto"/>
              </w:rPr>
            </w:pPr>
            <w:r>
              <w:rPr>
                <w:rFonts w:ascii="Arial" w:cs="Arial" w:eastAsia="Arial" w:hAnsi="Arial"/>
                <w:sz w:val="18"/>
                <w:szCs w:val="18"/>
                <w:color w:val="auto"/>
              </w:rPr>
              <w:t>44.0 %</w:t>
            </w:r>
          </w:p>
        </w:tc>
      </w:tr>
      <w:tr>
        <w:trPr>
          <w:trHeight w:val="243"/>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Adjusted SG&amp;A Percent of Net Revenue</w:t>
            </w:r>
          </w:p>
        </w:tc>
        <w:tc>
          <w:tcPr>
            <w:tcW w:w="24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45.3 %</w:t>
            </w: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43.9 %</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44.5 %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43.1 %</w:t>
            </w:r>
          </w:p>
        </w:tc>
      </w:tr>
    </w:tbl>
    <w:p>
      <w:pPr>
        <w:ind w:left="40"/>
        <w:spacing w:after="0"/>
        <w:rPr>
          <w:sz w:val="20"/>
          <w:szCs w:val="20"/>
          <w:color w:val="auto"/>
        </w:rPr>
      </w:pPr>
      <w:r>
        <w:rPr>
          <w:rFonts w:ascii="Arial" w:cs="Arial" w:eastAsia="Arial" w:hAnsi="Arial"/>
          <w:sz w:val="18"/>
          <w:szCs w:val="18"/>
          <w:i w:val="1"/>
          <w:iCs w:val="1"/>
          <w:color w:val="auto"/>
        </w:rPr>
        <w:t>Note: Percentages reflect line item as a percentage of net revenue.</w:t>
      </w:r>
    </w:p>
    <w:p>
      <w:pPr>
        <w:spacing w:after="0" w:line="34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write-off of primarily property, equipment and lease-related assets on closed or underperforming stores.</w:t>
      </w:r>
    </w:p>
    <w:p>
      <w:pPr>
        <w:spacing w:after="0" w:line="9" w:lineRule="exact"/>
        <w:rPr>
          <w:rFonts w:ascii="Arial" w:cs="Arial" w:eastAsia="Arial" w:hAnsi="Arial"/>
          <w:sz w:val="14"/>
          <w:szCs w:val="14"/>
          <w:color w:val="auto"/>
        </w:rPr>
      </w:pPr>
    </w:p>
    <w:p>
      <w:pPr>
        <w:ind w:left="660" w:right="640" w:hanging="328"/>
        <w:spacing w:after="0" w:line="26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4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(income), net on change in fair value of de-designated hedges.</w:t>
      </w:r>
    </w:p>
    <w:p>
      <w:pPr>
        <w:spacing w:after="0" w:line="9" w:lineRule="exact"/>
        <w:rPr>
          <w:rFonts w:ascii="Arial" w:cs="Arial" w:eastAsia="Arial" w:hAnsi="Arial"/>
          <w:sz w:val="14"/>
          <w:szCs w:val="14"/>
          <w:color w:val="auto"/>
        </w:rPr>
      </w:pPr>
    </w:p>
    <w:p>
      <w:pPr>
        <w:jc w:val="both"/>
        <w:ind w:left="660" w:right="640" w:hanging="328"/>
        <w:spacing w:after="0" w:line="256"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vesting of restricted stock units and exercises of stock options, executive severance and relocation and other expenses and adjustments, including losses on other investments of $0.3 million for the six months ended July 2, 2022.</w:t>
      </w:r>
    </w:p>
    <w:p>
      <w:pPr>
        <w:spacing w:after="0" w:line="1" w:lineRule="exact"/>
        <w:rPr>
          <w:rFonts w:ascii="Arial" w:cs="Arial" w:eastAsia="Arial" w:hAnsi="Arial"/>
          <w:sz w:val="14"/>
          <w:szCs w:val="14"/>
          <w:color w:val="auto"/>
        </w:rPr>
      </w:pPr>
    </w:p>
    <w:p>
      <w:pPr>
        <w:ind w:left="660" w:right="640" w:hanging="328"/>
        <w:spacing w:after="0" w:line="26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Tax expense (benefit) associated with accounting guidance requiring excess tax expense (benefit) related to vesting of restricted stock units and exercises of stock options to be recorded in earnings as discrete items in the reporting period in which they occur.</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other expenses in (f) above, including debt issuance costs of $0.2 million for the three and six months ended July 1, 2023.</w:t>
      </w:r>
    </w:p>
    <w:p>
      <w:pPr>
        <w:spacing w:after="0" w:line="6" w:lineRule="exact"/>
        <w:rPr>
          <w:rFonts w:ascii="Arial" w:cs="Arial" w:eastAsia="Arial" w:hAnsi="Arial"/>
          <w:sz w:val="14"/>
          <w:szCs w:val="14"/>
          <w:color w:val="auto"/>
        </w:rPr>
      </w:pPr>
    </w:p>
    <w:p>
      <w:pPr>
        <w:ind w:left="660" w:right="640" w:hanging="328"/>
        <w:spacing w:after="0" w:line="27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other expenses in (f) above, except for immaterial amounts for the three and six months ended July 1, 2023 and losses on other investments of $0.3 million for the six months ended July 2, 2022.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1" w:right="339" w:bottom="1440" w:gutter="0" w:footer="0" w:header="0"/>
        </w:sectPr>
      </w:pPr>
    </w:p>
    <w:bookmarkStart w:id="15" w:name="page16"/>
    <w:bookmarkEnd w:id="15"/>
    <w:tbl>
      <w:tblPr>
        <w:tblLayout w:type="fixed"/>
        <w:tblInd w:w="160" w:type="dxa"/>
        <w:tblCellMar>
          <w:top w:w="0" w:type="dxa"/>
          <w:left w:w="0" w:type="dxa"/>
          <w:bottom w:w="0" w:type="dxa"/>
          <w:right w:w="0" w:type="dxa"/>
        </w:tblCellMar>
      </w:tblPr>
      <w:tr>
        <w:trPr>
          <w:trHeight w:val="228"/>
        </w:trPr>
        <w:tc>
          <w:tcPr>
            <w:tcW w:w="7760" w:type="dxa"/>
            <w:vAlign w:val="bottom"/>
            <w:gridSpan w:val="6"/>
          </w:tcPr>
          <w:p>
            <w:pPr>
              <w:ind w:left="40"/>
              <w:spacing w:after="0"/>
              <w:rPr>
                <w:sz w:val="20"/>
                <w:szCs w:val="20"/>
                <w:color w:val="auto"/>
              </w:rPr>
            </w:pPr>
            <w:r>
              <w:rPr>
                <w:rFonts w:ascii="Arial" w:cs="Arial" w:eastAsia="Arial" w:hAnsi="Arial"/>
                <w:sz w:val="18"/>
                <w:szCs w:val="18"/>
                <w:b w:val="1"/>
                <w:bCs w:val="1"/>
                <w:color w:val="auto"/>
                <w:w w:val="89"/>
              </w:rPr>
              <w:t>Reconciliation of Adjusted Comparable Store Sales Growth to Total Comparable Store Sales Growth</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5"/>
          </w:tcPr>
          <w:p>
            <w:pPr>
              <w:jc w:val="right"/>
              <w:ind w:right="970"/>
              <w:spacing w:after="0" w:line="235" w:lineRule="exact"/>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3"/>
                <w:szCs w:val="23"/>
                <w:color w:val="auto"/>
                <w:vertAlign w:val="superscript"/>
              </w:rPr>
              <w:t>(a)</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1420" w:type="dxa"/>
            <w:vAlign w:val="bottom"/>
          </w:tcPr>
          <w:p>
            <w:pPr>
              <w:jc w:val="center"/>
              <w:spacing w:after="0" w:line="182" w:lineRule="exact"/>
              <w:rPr>
                <w:sz w:val="20"/>
                <w:szCs w:val="20"/>
                <w:color w:val="auto"/>
              </w:rPr>
            </w:pPr>
            <w:r>
              <w:rPr>
                <w:rFonts w:ascii="Arial" w:cs="Arial" w:eastAsia="Arial" w:hAnsi="Arial"/>
                <w:sz w:val="18"/>
                <w:szCs w:val="18"/>
                <w:color w:val="auto"/>
                <w:w w:val="90"/>
              </w:rPr>
              <w:t>Three Months</w:t>
            </w:r>
          </w:p>
        </w:tc>
        <w:tc>
          <w:tcPr>
            <w:tcW w:w="100" w:type="dxa"/>
            <w:vAlign w:val="bottom"/>
          </w:tcPr>
          <w:p>
            <w:pPr>
              <w:spacing w:after="0"/>
              <w:rPr>
                <w:sz w:val="15"/>
                <w:szCs w:val="15"/>
                <w:color w:val="auto"/>
              </w:rPr>
            </w:pP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0"/>
              </w:rPr>
              <w:t>Three Months</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1"/>
              </w:rPr>
              <w:t>Ended July 1,</w:t>
            </w: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9"/>
              </w:rPr>
              <w:t>Ended July 2,</w:t>
            </w:r>
          </w:p>
        </w:tc>
        <w:tc>
          <w:tcPr>
            <w:tcW w:w="8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w w:val="95"/>
              </w:rPr>
              <w:t>Six Months Ended</w:t>
            </w:r>
          </w:p>
        </w:tc>
        <w:tc>
          <w:tcPr>
            <w:tcW w:w="1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w w:val="94"/>
              </w:rPr>
              <w:t>Six Months Ended</w:t>
            </w:r>
          </w:p>
        </w:tc>
        <w:tc>
          <w:tcPr>
            <w:tcW w:w="10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0"/>
              </w:rPr>
              <w:t xml:space="preserve">2023 Outlook </w:t>
            </w:r>
            <w:r>
              <w:rPr>
                <w:rFonts w:ascii="Arial" w:cs="Arial" w:eastAsia="Arial" w:hAnsi="Arial"/>
                <w:sz w:val="23"/>
                <w:szCs w:val="23"/>
                <w:color w:val="auto"/>
                <w:w w:val="90"/>
                <w:vertAlign w:val="superscript"/>
              </w:rPr>
              <w:t>(b)</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9"/>
                <w:szCs w:val="19"/>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July 1, 2023</w:t>
            </w:r>
          </w:p>
        </w:tc>
        <w:tc>
          <w:tcPr>
            <w:tcW w:w="100" w:type="dxa"/>
            <w:vAlign w:val="bottom"/>
          </w:tcPr>
          <w:p>
            <w:pPr>
              <w:spacing w:after="0"/>
              <w:rPr>
                <w:sz w:val="19"/>
                <w:szCs w:val="19"/>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July 2, 2022</w:t>
            </w: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rPr>
              <w:t>America’s Best</w:t>
            </w:r>
          </w:p>
        </w:tc>
        <w:tc>
          <w:tcPr>
            <w:tcW w:w="1420" w:type="dxa"/>
            <w:vAlign w:val="bottom"/>
          </w:tcPr>
          <w:p>
            <w:pPr>
              <w:jc w:val="right"/>
              <w:spacing w:after="0"/>
              <w:rPr>
                <w:sz w:val="20"/>
                <w:szCs w:val="20"/>
                <w:color w:val="auto"/>
              </w:rPr>
            </w:pPr>
            <w:r>
              <w:rPr>
                <w:rFonts w:ascii="Arial" w:cs="Arial" w:eastAsia="Arial" w:hAnsi="Arial"/>
                <w:sz w:val="18"/>
                <w:szCs w:val="18"/>
                <w:color w:val="auto"/>
              </w:rPr>
              <w:t>1.8 %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rPr>
              <w:t>Military</w:t>
            </w: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Legacy segment</w:t>
            </w:r>
          </w:p>
        </w:tc>
        <w:tc>
          <w:tcPr>
            <w:tcW w:w="1420" w:type="dxa"/>
            <w:vAlign w:val="bottom"/>
          </w:tcPr>
          <w:p>
            <w:pPr>
              <w:jc w:val="right"/>
              <w:spacing w:after="0"/>
              <w:rPr>
                <w:sz w:val="20"/>
                <w:szCs w:val="20"/>
                <w:color w:val="auto"/>
              </w:rPr>
            </w:pPr>
            <w:r>
              <w:rPr>
                <w:rFonts w:ascii="Arial" w:cs="Arial" w:eastAsia="Arial" w:hAnsi="Arial"/>
                <w:sz w:val="18"/>
                <w:szCs w:val="18"/>
                <w:color w:val="auto"/>
              </w:rPr>
              <w:t>0.5 %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Total comparable store sales growth</w:t>
            </w: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 - 3%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w w:val="88"/>
              </w:rPr>
              <w:t xml:space="preserve">Adjusted Comparable Store Sales Growth </w:t>
            </w:r>
            <w:r>
              <w:rPr>
                <w:rFonts w:ascii="Arial" w:cs="Arial" w:eastAsia="Arial" w:hAnsi="Arial"/>
                <w:sz w:val="23"/>
                <w:szCs w:val="23"/>
                <w:color w:val="auto"/>
                <w:w w:val="88"/>
                <w:vertAlign w:val="superscript"/>
              </w:rPr>
              <w:t>(b)</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0% - 3%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260" w:hanging="9"/>
        <w:spacing w:after="0" w:line="289" w:lineRule="auto"/>
        <w:tabs>
          <w:tab w:leader="none" w:pos="455" w:val="left"/>
        </w:tabs>
        <w:numPr>
          <w:ilvl w:val="0"/>
          <w:numId w:val="13"/>
        </w:numPr>
        <w:rPr>
          <w:rFonts w:ascii="Arial" w:cs="Arial" w:eastAsia="Arial" w:hAnsi="Arial"/>
          <w:sz w:val="13"/>
          <w:szCs w:val="13"/>
          <w:color w:val="auto"/>
        </w:rPr>
      </w:pPr>
      <w:r>
        <w:rPr>
          <w:rFonts w:ascii="Arial" w:cs="Arial" w:eastAsia="Arial" w:hAnsi="Arial"/>
          <w:sz w:val="13"/>
          <w:szCs w:val="13"/>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in our Quarterly Report on Form 10-Q for the period ended July 1, 2023, with the exception of the Legacy segment, which is adjusted as noted in (b) (ii) below.</w:t>
      </w:r>
    </w:p>
    <w:p>
      <w:pPr>
        <w:spacing w:after="0" w:line="71" w:lineRule="exact"/>
        <w:rPr>
          <w:rFonts w:ascii="Arial" w:cs="Arial" w:eastAsia="Arial" w:hAnsi="Arial"/>
          <w:sz w:val="13"/>
          <w:szCs w:val="13"/>
          <w:color w:val="auto"/>
        </w:rPr>
      </w:pPr>
    </w:p>
    <w:p>
      <w:pPr>
        <w:jc w:val="both"/>
        <w:ind w:left="260" w:hanging="9"/>
        <w:spacing w:after="0" w:line="282" w:lineRule="auto"/>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an increase of 1.2% and a decrease of 1.2% for the three months ended July 1, 2023 and July 2, 2022, respectively, and a decrease of 0.4% and a decrease of 1.4% for the six months ended July 1, 2023 and July 2, 2022, respectively;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 decrease of 0.1% and a decrease of 0.2% for the three months ended July 1, 2023 and July 2, 2022, respectively, and a decrease of 0.2% and a decrease of 0.2% for the six months ended July 1, 2023 and July 2, 2022, respectively; (iii) with respect to the Company’s 2023 Outlook, Adjusted Comparable Store Sales Growth includes an estimated 0.2% decrease for the effect of deferred and unearned revenue as if such revenues were earned at the point of sale and retail sales to the Legacy partner’s customers (rather than the revenues recognized consistent with the management &amp; services agreement).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Angie McCabe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investor.relations@nationalvision.com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Racheal Peters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media@nationalvision.com</w:t>
      </w: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sectPr>
      <w:pgSz w:w="11900" w:h="16838" w:orient="portrait"/>
      <w:cols w:equalWidth="0" w:num="1">
        <w:col w:w="11080"/>
      </w:cols>
      <w:pgMar w:left="320" w:top="102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3"/>
      <w:numFmt w:val="bullet"/>
      <w:start w:val="1"/>
    </w:lvl>
  </w:abstractNum>
  <w:abstractNum w:abstractNumId="10">
    <w:nsid w:val="66EF438D"/>
    <w:multiLevelType w:val="hybridMultilevel"/>
    <w:lvl w:ilvl="0">
      <w:lvlJc w:val="left"/>
      <w:lvlText w:val="4"/>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2023-08-10T05:15:28Z</dcterms:created>
  <dcterms:modified xsi:type="dcterms:W3CDTF">2023-08-10T05:15:28Z</dcterms:modified>
</cp:coreProperties>
</file>