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37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37413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Acharya Ravi</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520"/>
        <w:spacing w:after="0" w:line="383" w:lineRule="auto"/>
        <w:rPr>
          <w:sz w:val="20"/>
          <w:szCs w:val="20"/>
          <w:color w:val="auto"/>
        </w:rPr>
      </w:pPr>
      <w:r>
        <w:rPr>
          <w:rFonts w:ascii="Times New Roman" w:cs="Times New Roman" w:eastAsia="Times New Roman" w:hAnsi="Times New Roman"/>
          <w:sz w:val="16"/>
          <w:szCs w:val="16"/>
          <w:color w:val="0000FF"/>
        </w:rPr>
        <w:t>C/O NATIONAL VISION HOLDINGS, INC. 2435 COMMERCE AVENUE, BLDG. 2200</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DULUTH</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30096</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National Vision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EYE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420" w:type="dxa"/>
            <w:vAlign w:val="bottom"/>
            <w:tcBorders>
              <w:top w:val="single" w:sz="8" w:color="0000EE"/>
            </w:tcBorders>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22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SVP, Chief Technology Officer</w:t>
            </w:r>
          </w:p>
        </w:tc>
        <w:tc>
          <w:tcPr>
            <w:tcW w:w="0" w:type="dxa"/>
            <w:vAlign w:val="bottom"/>
          </w:tcPr>
          <w:p>
            <w:pPr>
              <w:spacing w:after="0"/>
              <w:rPr>
                <w:sz w:val="1"/>
                <w:szCs w:val="1"/>
                <w:color w:val="auto"/>
              </w:rPr>
            </w:pPr>
          </w:p>
        </w:tc>
      </w:tr>
      <w:tr>
        <w:trPr>
          <w:trHeight w:val="218"/>
        </w:trPr>
        <w:tc>
          <w:tcPr>
            <w:tcW w:w="2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01/04/2023</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9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jc w:val="center"/>
              <w:ind w:left="57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4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01/04/2023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107"/>
              <w:spacing w:after="0"/>
              <w:rPr>
                <w:sz w:val="20"/>
                <w:szCs w:val="20"/>
                <w:color w:val="auto"/>
              </w:rPr>
            </w:pPr>
            <w:r>
              <w:rPr>
                <w:rFonts w:ascii="Times New Roman" w:cs="Times New Roman" w:eastAsia="Times New Roman" w:hAnsi="Times New Roman"/>
                <w:sz w:val="17"/>
                <w:szCs w:val="17"/>
                <w:color w:val="0000FF"/>
                <w:w w:val="93"/>
              </w:rPr>
              <w:t>832</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40</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397"/>
              <w:spacing w:after="0"/>
              <w:rPr>
                <w:sz w:val="20"/>
                <w:szCs w:val="20"/>
                <w:color w:val="auto"/>
              </w:rPr>
            </w:pPr>
            <w:r>
              <w:rPr>
                <w:rFonts w:ascii="Times New Roman" w:cs="Times New Roman" w:eastAsia="Times New Roman" w:hAnsi="Times New Roman"/>
                <w:sz w:val="17"/>
                <w:szCs w:val="17"/>
                <w:color w:val="0000FF"/>
              </w:rPr>
              <w:t>832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01/04/2023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127"/>
              <w:spacing w:after="0"/>
              <w:rPr>
                <w:sz w:val="20"/>
                <w:szCs w:val="20"/>
                <w:color w:val="auto"/>
              </w:rPr>
            </w:pPr>
            <w:r>
              <w:rPr>
                <w:rFonts w:ascii="Times New Roman" w:cs="Times New Roman" w:eastAsia="Times New Roman" w:hAnsi="Times New Roman"/>
                <w:sz w:val="17"/>
                <w:szCs w:val="17"/>
                <w:color w:val="0000FF"/>
                <w:w w:val="99"/>
              </w:rPr>
              <w:t>3,613</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23.25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4,445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01/04/2023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4"/>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(1)</w:t>
            </w:r>
          </w:p>
        </w:tc>
        <w:tc>
          <w:tcPr>
            <w:tcW w:w="1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7"/>
              <w:spacing w:after="0"/>
              <w:rPr>
                <w:sz w:val="20"/>
                <w:szCs w:val="20"/>
                <w:color w:val="auto"/>
              </w:rPr>
            </w:pPr>
            <w:r>
              <w:rPr>
                <w:rFonts w:ascii="Times New Roman" w:cs="Times New Roman" w:eastAsia="Times New Roman" w:hAnsi="Times New Roman"/>
                <w:sz w:val="17"/>
                <w:szCs w:val="17"/>
                <w:color w:val="0000FF"/>
                <w:w w:val="95"/>
              </w:rPr>
              <w:t>3,051</w:t>
            </w:r>
            <w:r>
              <w:rPr>
                <w:rFonts w:ascii="Times New Roman" w:cs="Times New Roman" w:eastAsia="Times New Roman" w:hAnsi="Times New Roman"/>
                <w:sz w:val="21"/>
                <w:szCs w:val="21"/>
                <w:color w:val="008000"/>
                <w:w w:val="95"/>
                <w:vertAlign w:val="superscript"/>
              </w:rPr>
              <w:t>(2)</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40</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1,394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01/04/2023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107"/>
              <w:spacing w:after="0"/>
              <w:rPr>
                <w:sz w:val="20"/>
                <w:szCs w:val="20"/>
                <w:color w:val="auto"/>
              </w:rPr>
            </w:pPr>
            <w:r>
              <w:rPr>
                <w:rFonts w:ascii="Times New Roman" w:cs="Times New Roman" w:eastAsia="Times New Roman" w:hAnsi="Times New Roman"/>
                <w:sz w:val="17"/>
                <w:szCs w:val="17"/>
                <w:color w:val="0000FF"/>
                <w:w w:val="93"/>
              </w:rPr>
              <w:t>562</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40</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397"/>
              <w:spacing w:after="0"/>
              <w:rPr>
                <w:sz w:val="20"/>
                <w:szCs w:val="20"/>
                <w:color w:val="auto"/>
              </w:rPr>
            </w:pPr>
            <w:r>
              <w:rPr>
                <w:rFonts w:ascii="Times New Roman" w:cs="Times New Roman" w:eastAsia="Times New Roman" w:hAnsi="Times New Roman"/>
                <w:sz w:val="17"/>
                <w:szCs w:val="17"/>
                <w:color w:val="0000FF"/>
              </w:rPr>
              <w:t>832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01/05/2023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left="107"/>
              <w:spacing w:after="0"/>
              <w:rPr>
                <w:sz w:val="20"/>
                <w:szCs w:val="20"/>
                <w:color w:val="auto"/>
              </w:rPr>
            </w:pPr>
            <w:r>
              <w:rPr>
                <w:rFonts w:ascii="Times New Roman" w:cs="Times New Roman" w:eastAsia="Times New Roman" w:hAnsi="Times New Roman"/>
                <w:sz w:val="17"/>
                <w:szCs w:val="17"/>
                <w:color w:val="0000FF"/>
                <w:w w:val="93"/>
              </w:rPr>
              <w:t>562</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23.25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1,394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6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w w:val="94"/>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440" w:type="dxa"/>
            <w:vAlign w:val="bottom"/>
          </w:tcPr>
          <w:p>
            <w:pPr>
              <w:spacing w:after="0"/>
              <w:rPr>
                <w:sz w:val="11"/>
                <w:szCs w:val="11"/>
                <w:color w:val="auto"/>
              </w:rPr>
            </w:pP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440" w:type="dxa"/>
            <w:vAlign w:val="bottom"/>
          </w:tcPr>
          <w:p>
            <w:pPr>
              <w:spacing w:after="0"/>
              <w:rPr>
                <w:sz w:val="11"/>
                <w:szCs w:val="11"/>
                <w:color w:val="auto"/>
              </w:rPr>
            </w:pP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23.25</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01/04/2023</w:t>
            </w:r>
          </w:p>
        </w:tc>
        <w:tc>
          <w:tcPr>
            <w:tcW w:w="1100" w:type="dxa"/>
            <w:vAlign w:val="bottom"/>
          </w:tcPr>
          <w:p>
            <w:pPr>
              <w:spacing w:after="0"/>
              <w:rPr>
                <w:sz w:val="16"/>
                <w:szCs w:val="16"/>
                <w:color w:val="auto"/>
              </w:rPr>
            </w:pPr>
          </w:p>
        </w:tc>
        <w:tc>
          <w:tcPr>
            <w:tcW w:w="62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80" w:type="dxa"/>
            <w:vAlign w:val="bottom"/>
          </w:tcPr>
          <w:p>
            <w:pPr>
              <w:spacing w:after="0"/>
              <w:rPr>
                <w:sz w:val="16"/>
                <w:szCs w:val="16"/>
                <w:color w:val="auto"/>
              </w:rPr>
            </w:pP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3"/>
                <w:szCs w:val="13"/>
                <w:color w:val="0000FF"/>
              </w:rPr>
              <w:t>3,613</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03/16/2030</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7"/>
                <w:szCs w:val="17"/>
                <w:color w:val="0000FF"/>
              </w:rPr>
              <w:t>3,613</w:t>
            </w:r>
          </w:p>
        </w:tc>
        <w:tc>
          <w:tcPr>
            <w:tcW w:w="180" w:type="dxa"/>
            <w:vAlign w:val="bottom"/>
          </w:tcPr>
          <w:p>
            <w:pPr>
              <w:spacing w:after="0"/>
              <w:rPr>
                <w:sz w:val="16"/>
                <w:szCs w:val="16"/>
                <w:color w:val="auto"/>
              </w:rPr>
            </w:pPr>
          </w:p>
        </w:tc>
        <w:tc>
          <w:tcPr>
            <w:tcW w:w="44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2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2,650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ind w:left="2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23.25</w:t>
            </w: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color w:val="0000FF"/>
              </w:rPr>
              <w:t>01/05/2023</w:t>
            </w:r>
          </w:p>
        </w:tc>
        <w:tc>
          <w:tcPr>
            <w:tcW w:w="1100" w:type="dxa"/>
            <w:vAlign w:val="bottom"/>
          </w:tcPr>
          <w:p>
            <w:pPr>
              <w:spacing w:after="0"/>
              <w:rPr>
                <w:sz w:val="12"/>
                <w:szCs w:val="12"/>
                <w:color w:val="auto"/>
              </w:rPr>
            </w:pPr>
          </w:p>
        </w:tc>
        <w:tc>
          <w:tcPr>
            <w:tcW w:w="620" w:type="dxa"/>
            <w:vAlign w:val="bottom"/>
            <w:vMerge w:val="restart"/>
          </w:tcPr>
          <w:p>
            <w:pPr>
              <w:ind w:left="10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180" w:type="dxa"/>
            <w:vAlign w:val="bottom"/>
          </w:tcPr>
          <w:p>
            <w:pPr>
              <w:spacing w:after="0"/>
              <w:rPr>
                <w:sz w:val="12"/>
                <w:szCs w:val="12"/>
                <w:color w:val="auto"/>
              </w:rPr>
            </w:pPr>
          </w:p>
        </w:tc>
        <w:tc>
          <w:tcPr>
            <w:tcW w:w="780" w:type="dxa"/>
            <w:vAlign w:val="bottom"/>
            <w:vMerge w:val="restart"/>
          </w:tcPr>
          <w:p>
            <w:pPr>
              <w:jc w:val="right"/>
              <w:ind w:right="101"/>
              <w:spacing w:after="0"/>
              <w:rPr>
                <w:sz w:val="20"/>
                <w:szCs w:val="20"/>
                <w:color w:val="auto"/>
              </w:rPr>
            </w:pPr>
            <w:r>
              <w:rPr>
                <w:rFonts w:ascii="Times New Roman" w:cs="Times New Roman" w:eastAsia="Times New Roman" w:hAnsi="Times New Roman"/>
                <w:sz w:val="13"/>
                <w:szCs w:val="13"/>
                <w:color w:val="0000FF"/>
              </w:rPr>
              <w:t>562</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03/16/2030</w:t>
            </w:r>
          </w:p>
        </w:tc>
        <w:tc>
          <w:tcPr>
            <w:tcW w:w="64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08"/>
              <w:spacing w:after="0"/>
              <w:rPr>
                <w:sz w:val="20"/>
                <w:szCs w:val="20"/>
                <w:color w:val="auto"/>
              </w:rPr>
            </w:pPr>
            <w:r>
              <w:rPr>
                <w:rFonts w:ascii="Times New Roman" w:cs="Times New Roman" w:eastAsia="Times New Roman" w:hAnsi="Times New Roman"/>
                <w:sz w:val="17"/>
                <w:szCs w:val="17"/>
                <w:color w:val="0000FF"/>
              </w:rPr>
              <w:t>562</w:t>
            </w:r>
          </w:p>
        </w:tc>
        <w:tc>
          <w:tcPr>
            <w:tcW w:w="180" w:type="dxa"/>
            <w:vAlign w:val="bottom"/>
          </w:tcPr>
          <w:p>
            <w:pPr>
              <w:spacing w:after="0"/>
              <w:rPr>
                <w:sz w:val="12"/>
                <w:szCs w:val="12"/>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2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2,088</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the transactions reported in this Form 4 were effected pursuant to a Rule 10b5-1 trading plan established by the reporting person on December 2, 2022.</w:t>
      </w:r>
    </w:p>
    <w:p>
      <w:pPr>
        <w:spacing w:after="0" w:line="45" w:lineRule="exact"/>
        <w:rPr>
          <w:rFonts w:ascii="Times New Roman" w:cs="Times New Roman" w:eastAsia="Times New Roman" w:hAnsi="Times New Roman"/>
          <w:sz w:val="13"/>
          <w:szCs w:val="13"/>
          <w:color w:val="008000"/>
        </w:rPr>
      </w:pPr>
    </w:p>
    <w:p>
      <w:pPr>
        <w:ind w:left="40" w:right="5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to cover the exercise price and tax for 4,175 options exercised via a cashless hold. Of that total exercise, 3,613 options were exercised on January 4, 2023 and the remaining 562 options were exercised on January 5, 2023 and are reflected on this form.</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3,613 stock options are all fully vested from a grant of 6,263 time based stock options, which vest in three equal installments on March 16, 2021, March 16, 2022 and on March 16, 2023.</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562 stock options are all fully vested from a grant of 6,263 time based stock options, which vest in three equal installments on March 16, 2021, March 16, 2022 and on March 16, 2023.</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Jared Brandman, as</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01/06/2023</w:t>
            </w:r>
          </w:p>
        </w:tc>
        <w:tc>
          <w:tcPr>
            <w:tcW w:w="0" w:type="dxa"/>
            <w:vAlign w:val="bottom"/>
          </w:tcPr>
          <w:p>
            <w:pPr>
              <w:spacing w:after="0"/>
              <w:rPr>
                <w:sz w:val="1"/>
                <w:szCs w:val="1"/>
                <w:color w:val="auto"/>
              </w:rPr>
            </w:pPr>
          </w:p>
        </w:tc>
      </w:tr>
      <w:tr>
        <w:trPr>
          <w:trHeight w:val="84"/>
        </w:trPr>
        <w:tc>
          <w:tcPr>
            <w:tcW w:w="114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38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04913"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2023-01-06T15:41:25Z</dcterms:created>
  <dcterms:modified xsi:type="dcterms:W3CDTF">2023-01-06T15:41:25Z</dcterms:modified>
</cp:coreProperties>
</file>