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Hepner Virginia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 pursuant to NVHI's non-employee director compensation policy. The RSUs vest in full on the one year anniversary of the date of grant, subject to the Reporting Person's continuous service through such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NVHI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7236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2022-06-17T15:42:22Z</dcterms:created>
  <dcterms:modified xsi:type="dcterms:W3CDTF">2022-06-17T15:42:22Z</dcterms:modified>
</cp:coreProperties>
</file>