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August 7, 2024</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incorporation)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8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8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8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063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2024,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financial results for the quarter ended June 29,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Item 2.02 of Form 8-K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May 7, 2024.</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840" w:type="dxa"/>
            <w:vAlign w:val="bottom"/>
          </w:tcPr>
          <w:p>
            <w:pPr>
              <w:spacing w:after="0"/>
              <w:rPr>
                <w:sz w:val="18"/>
                <w:szCs w:val="18"/>
                <w:color w:val="auto"/>
              </w:rPr>
            </w:pP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840" w:type="dxa"/>
            <w:vAlign w:val="bottom"/>
          </w:tcPr>
          <w:p>
            <w:pPr>
              <w:spacing w:after="0"/>
              <w:rPr>
                <w:sz w:val="20"/>
                <w:szCs w:val="20"/>
                <w:color w:val="auto"/>
              </w:rPr>
            </w:pPr>
          </w:p>
        </w:tc>
        <w:tc>
          <w:tcPr>
            <w:tcW w:w="2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110553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Second Quarter 2024 Financial Results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Announces New Actions to Accelerate Transformation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highlights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compared to Q2 2023:</w:t>
      </w:r>
    </w:p>
    <w:p>
      <w:pPr>
        <w:spacing w:after="0" w:line="4"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from continuing operations of $451.7 million, an increase of 4.6%</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2.2% and Adjusted Comparable Store Sales Growth of 2.4%</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loss from continuing operations of $(1.0) million, Diluted EPS from continuing operations of $(0.01)</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from continuing operations of $14.1 million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from continuing operations of $0.15</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line="246" w:lineRule="auto"/>
        <w:tabs>
          <w:tab w:leader="none" w:pos="655"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Discontinued Operations resulted in net revenue of $53.5 million, Net loss, net of tax, of $(2.1) million, Diluted EPS of $(0.03) and Adjusted Diluted EPS of $0.00</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0" w:lineRule="auto"/>
        <w:tabs>
          <w:tab w:leader="none" w:pos="66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Revises fiscal 2024 outlook</w:t>
      </w:r>
    </w:p>
    <w:p>
      <w:pPr>
        <w:spacing w:after="0" w:line="205" w:lineRule="exact"/>
        <w:rPr>
          <w:rFonts w:ascii="Arial" w:cs="Arial" w:eastAsia="Arial" w:hAnsi="Arial"/>
          <w:sz w:val="22"/>
          <w:szCs w:val="22"/>
          <w:color w:val="auto"/>
        </w:rPr>
      </w:pPr>
    </w:p>
    <w:p>
      <w:pPr>
        <w:ind w:right="20" w:firstLine="8"/>
        <w:spacing w:after="0" w:line="305" w:lineRule="auto"/>
        <w:tabs>
          <w:tab w:leader="none" w:pos="146" w:val="left"/>
        </w:tabs>
        <w:numPr>
          <w:ilvl w:val="0"/>
          <w:numId w:val="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During the first quarter of 2024, the Company completed the termination of its Walmart partnership and discontinued the prior Legacy segment. During the second quarter of 2024, the Company completed the wind down of AC Lens operations and discontinued operations in that business.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August 7, 2024 </w:t>
      </w:r>
      <w:r>
        <w:rPr>
          <w:rFonts w:ascii="Times New Roman" w:cs="Times New Roman" w:eastAsia="Times New Roman" w:hAnsi="Times New Roman"/>
          <w:sz w:val="18"/>
          <w:szCs w:val="18"/>
          <w:color w:val="auto"/>
        </w:rPr>
        <w:t>--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second quarter ended June 29, 2024.</w:t>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“Comparable store sales growth in the second quarter improved sequentially from the first quarter largely due to increased traffic,” said Reade Fahs, National Vision’s CEO. “We delivered an overall 2.4% increase in adjusted comparable store sales, and a 2.9% increase at America’s Best, reflecting ongoing strength in managed care and a notable improvement in comparable store sales from cash pay customers. Although this progress is positive, we needed a greater inflection in sales to deliver on the results we originally expected and are revising our guidance accordingly.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transforming our business over the past two years to adapt to new market realities and made valuable changes to the way we operate, however we need to do more to accelerate both the pace and rigor of our transformation. As such, we are taking new actions to drive profitable growth, including recently announced additions to our leadership team that will bring new talent and fresh perspectives to our business as we seek to expand exam capacity, implement new sales drivers and improve efficiencies to strengthen our foundation. In addition, we are actively reviewing all stores to optimize our fleet to drive growth and ensure we continue to be disciplined stewards of capital. While our transformation will take time, I remain excited about the opportunity ahead for National Vision as we invest in the resources and talent to deliver long-term success.”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2024, the Company ceased its Walmart and AC Lens operations which met the accounting requirements for reporting each of the Legacy segment and AC Lens operations as discontinued operations. Accordingly, the condensed consolidated financial statements reflect the results of the Legacy segment and the substantial majority of AC Lens operations as discontinued operations for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amounts and disclosures below relate to the Company’s continuing operations.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Second Quarter 2024 Summary</w:t>
      </w:r>
    </w:p>
    <w:p>
      <w:pPr>
        <w:spacing w:after="0" w:line="108" w:lineRule="exact"/>
        <w:rPr>
          <w:sz w:val="20"/>
          <w:szCs w:val="20"/>
          <w:color w:val="auto"/>
        </w:rPr>
      </w:pPr>
    </w:p>
    <w:p>
      <w:pPr>
        <w:ind w:left="260" w:right="20" w:hanging="252"/>
        <w:spacing w:after="0" w:line="258"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4.6% to $451.7 million compared to the second quarter of 2023 and was primarily driven by growth from new store sales and Adjusted Comparable Store Sales Growth, partially offset by the effect of converted and closed stores.</w:t>
      </w:r>
    </w:p>
    <w:p>
      <w:pPr>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2.2% and Adjusted Comparable Store Sales Growth was 2.4%, both reflecting an increase in customer transactions and higher average ticket.</w:t>
      </w: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17 new stores and ended the quarter with 1,216 stores. Overall, store count grew 5.6% from July 1, 2023 to June 29, 2024.</w:t>
      </w:r>
    </w:p>
    <w:p>
      <w:pPr>
        <w:spacing w:after="0" w:line="36" w:lineRule="exact"/>
        <w:rPr>
          <w:rFonts w:ascii="Times New Roman" w:cs="Times New Roman" w:eastAsia="Times New Roman" w:hAnsi="Times New Roman"/>
          <w:sz w:val="18"/>
          <w:szCs w:val="18"/>
          <w:color w:val="auto"/>
        </w:rPr>
      </w:pPr>
    </w:p>
    <w:p>
      <w:pPr>
        <w:jc w:val="both"/>
        <w:ind w:left="260" w:hanging="252"/>
        <w:spacing w:after="0"/>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7.4% to $193.6 million compared to the second quarter of 2023. As a percentage of net revenue, costs applicable to revenue increased 110 basis points to 42.9% compared with the second quarter of 2023 and were primarily driven by lower eyeglass mix, and an increase in optometrist-related costs as well as other mix and margin effects. As a percentage of net revenue, these increased costs were partially offset by higher exam revenue.</w:t>
      </w:r>
    </w:p>
    <w:p>
      <w:pPr>
        <w:spacing w:after="0" w:line="22" w:lineRule="exact"/>
        <w:rPr>
          <w:rFonts w:ascii="Times New Roman" w:cs="Times New Roman" w:eastAsia="Times New Roman" w:hAnsi="Times New Roman"/>
          <w:sz w:val="18"/>
          <w:szCs w:val="18"/>
          <w:color w:val="auto"/>
        </w:rPr>
      </w:pPr>
    </w:p>
    <w:p>
      <w:pPr>
        <w:jc w:val="both"/>
        <w:ind w:left="260" w:hanging="252"/>
        <w:spacing w:after="0" w:line="235"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Selling, general and administrative expenses (SG&amp;A) increased 3.8% to $231.4 million compared with the second quarter of 2023. Adjusted SG&amp;A increased 2.0% to $221.8 million compared with the second quarter of 2023. As a percentage of net revenue, SG&amp;A decreased 40 basis points to 51.2% compared with the second quarter of 2023 mainly due to lower performance-based incentive compensation and lower advertising expense, partially offset by higher legal and professional expenses, higher occupancy expense and other operating expenses. As a percentage of net revenue, Adjusted SG&amp;A decreased 120 basis points to 49.1% compared with the second quarter of 2023, driven by lower performance-based incentive compensation and lower advertising expense, partially offset by higher other operating expenses, including occupancy expense.</w:t>
      </w:r>
    </w:p>
    <w:p>
      <w:pPr>
        <w:spacing w:after="0" w:line="25" w:lineRule="exact"/>
        <w:rPr>
          <w:rFonts w:ascii="Times New Roman" w:cs="Times New Roman" w:eastAsia="Times New Roman" w:hAnsi="Times New Roman"/>
          <w:sz w:val="18"/>
          <w:szCs w:val="18"/>
          <w:i w:val="1"/>
          <w:iCs w:val="1"/>
          <w:color w:val="auto"/>
        </w:rPr>
      </w:pPr>
    </w:p>
    <w:p>
      <w:pPr>
        <w:ind w:left="260" w:right="20" w:hanging="252"/>
        <w:spacing w:after="0" w:line="257"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$22.7 million increased 2.7% from the prior-year period, primarily driven by new store openings and investments in remote medicine technology.</w:t>
      </w:r>
    </w:p>
    <w:p>
      <w:pPr>
        <w:spacing w:after="0" w:line="2" w:lineRule="exact"/>
        <w:rPr>
          <w:rFonts w:ascii="Times New Roman" w:cs="Times New Roman" w:eastAsia="Times New Roman" w:hAnsi="Times New Roman"/>
          <w:sz w:val="18"/>
          <w:szCs w:val="18"/>
          <w:color w:val="auto"/>
        </w:rPr>
      </w:pPr>
    </w:p>
    <w:p>
      <w:pPr>
        <w:ind w:left="260" w:hanging="252"/>
        <w:spacing w:after="0" w:line="257"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(loss) from continuing operations, net of tax, decreased to $(1.0) million, compared to $3.6 million in the second quarter of 2023. Income (loss) from continuing operations, net of tax, margin decreased to (0.2)% compared to 0.8% in the second quarter of 2023.</w:t>
      </w:r>
    </w:p>
    <w:p>
      <w:pPr>
        <w:spacing w:after="0" w:line="2" w:lineRule="exact"/>
        <w:rPr>
          <w:rFonts w:ascii="Times New Roman" w:cs="Times New Roman" w:eastAsia="Times New Roman" w:hAnsi="Times New Roman"/>
          <w:sz w:val="18"/>
          <w:szCs w:val="18"/>
          <w:i w:val="1"/>
          <w:iCs w:val="1"/>
          <w:color w:val="auto"/>
        </w:rPr>
      </w:pPr>
    </w:p>
    <w:p>
      <w:pPr>
        <w:ind w:left="260" w:hanging="252"/>
        <w:spacing w:after="0" w:line="266"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(loss) per share (EPS) from continuing operations decreased to $(0.01), compared to $0.05 in the second quarter of 2023. Adjusted Diluted EPS was $0.15 compared with $0.12 in the second quarter of 2023.</w:t>
      </w:r>
    </w:p>
    <w:p>
      <w:pPr>
        <w:jc w:val="both"/>
        <w:ind w:left="260" w:hanging="252"/>
        <w:spacing w:after="0" w:line="24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13.8% to $14.1 million compared with the second quarter of 2023. Adjusted Operating Margin was 3.1% for the second quarter of 2024 compared to 2.9% for the second quarter of 2023. The net change in margin on unearned revenue negatively impacted net income (loss) by $0.1 million and Adjusted Operating Income by $0.2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 Summary</w:t>
      </w:r>
    </w:p>
    <w:p>
      <w:pPr>
        <w:spacing w:after="0" w:line="40" w:lineRule="exact"/>
        <w:rPr>
          <w:sz w:val="20"/>
          <w:szCs w:val="20"/>
          <w:color w:val="auto"/>
        </w:rPr>
      </w:pPr>
    </w:p>
    <w:p>
      <w:pPr>
        <w:jc w:val="both"/>
        <w:ind w:left="260" w:hanging="252"/>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4.2% to $934.5 million compared to the prior-year period and was primarily driven by growth from new store sales, Adjusted Comparable Store Sales Growth and the effect of unearned revenue, partially offset by the effect of converted and closed stores. Net revenue includes a 0.3% impact from the timing of unearned revenue in the current-year period compared with the prior-year period.</w:t>
      </w:r>
    </w:p>
    <w:p>
      <w:pPr>
        <w:spacing w:after="0" w:line="1" w:lineRule="exact"/>
        <w:rPr>
          <w:rFonts w:ascii="Times New Roman" w:cs="Times New Roman" w:eastAsia="Times New Roman" w:hAnsi="Times New Roman"/>
          <w:sz w:val="18"/>
          <w:szCs w:val="18"/>
          <w:color w:val="auto"/>
        </w:rPr>
      </w:pPr>
    </w:p>
    <w:p>
      <w:pPr>
        <w:ind w:left="260" w:hanging="252"/>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1.8% and Adjusted Comparable Store Sales Growth was 1.3%, primarily due to higher average ticket and an increase in customer transactions.</w:t>
      </w:r>
    </w:p>
    <w:p>
      <w:pPr>
        <w:ind w:left="260" w:hanging="252"/>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31 new stores, and converted 20 Eyeglass World stores to America's Best stores, and ended the period with 1,216 stores. Overall, store count grew 5.6% from July 1, 2023 to June 29, 2024.</w:t>
      </w:r>
    </w:p>
    <w:p>
      <w:pPr>
        <w:spacing w:after="0" w:line="54" w:lineRule="exact"/>
        <w:rPr>
          <w:rFonts w:ascii="Times New Roman" w:cs="Times New Roman" w:eastAsia="Times New Roman" w:hAnsi="Times New Roman"/>
          <w:sz w:val="18"/>
          <w:szCs w:val="18"/>
          <w:color w:val="auto"/>
        </w:rPr>
      </w:pPr>
    </w:p>
    <w:p>
      <w:pPr>
        <w:jc w:val="both"/>
        <w:ind w:left="260" w:hanging="252"/>
        <w:spacing w:after="0" w:line="225" w:lineRule="auto"/>
        <w:tabs>
          <w:tab w:leader="none" w:pos="2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applicable to revenue increased 6.2% to $389.1 million compared to the prior-year period. As a percentage of net revenue, compared with the prior-year period, costs applicable to revenue increased 70 basis points to 41.6%, mainly due to lower eyeglass mix and an increase in optometrist-related costs as well as other mix and margin effects. As a percentage of revenue, these increased costs were partially offset by higher exam revenue.</w:t>
      </w:r>
    </w:p>
    <w:p>
      <w:pPr>
        <w:spacing w:after="0" w:line="90" w:lineRule="exact"/>
        <w:rPr>
          <w:rFonts w:ascii="Times New Roman" w:cs="Times New Roman" w:eastAsia="Times New Roman" w:hAnsi="Times New Roman"/>
          <w:sz w:val="22"/>
          <w:szCs w:val="22"/>
          <w:color w:val="auto"/>
        </w:rPr>
      </w:pPr>
    </w:p>
    <w:p>
      <w:pPr>
        <w:jc w:val="both"/>
        <w:ind w:left="260" w:hanging="252"/>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4.4% to $471.5 million compared with the same period in 2023. Adjusted SG&amp;A increased 2.3% to $452.3 million compared with the same period in 2023. As a percentage of net revenue, SG&amp;A increased 10 basis points to 50.5% compared with the same period of 2023, mainly due to litigation settlement and legal and professional expenses as well as other operating expenses, partially offset by decreases in performance-based incentive compensation. As a percentage of net revenue, Adjusted SG&amp;A decreased 90 basis points driven by a decrease in performance-based incentive compensation, partially offset by other operating expenses.</w:t>
      </w:r>
    </w:p>
    <w:p>
      <w:pPr>
        <w:spacing w:after="0" w:line="7" w:lineRule="exact"/>
        <w:rPr>
          <w:rFonts w:ascii="Times New Roman" w:cs="Times New Roman" w:eastAsia="Times New Roman" w:hAnsi="Times New Roman"/>
          <w:sz w:val="18"/>
          <w:szCs w:val="18"/>
          <w:color w:val="auto"/>
        </w:rPr>
      </w:pPr>
    </w:p>
    <w:p>
      <w:pPr>
        <w:ind w:left="260" w:hanging="252"/>
        <w:spacing w:after="0" w:line="257"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$45.9 million increased 4.2% from the prior-year period, primarily due to new store openings and investments in remote medicine technology.</w:t>
      </w:r>
    </w:p>
    <w:p>
      <w:pPr>
        <w:spacing w:after="0" w:line="2" w:lineRule="exact"/>
        <w:rPr>
          <w:rFonts w:ascii="Times New Roman" w:cs="Times New Roman" w:eastAsia="Times New Roman" w:hAnsi="Times New Roman"/>
          <w:sz w:val="18"/>
          <w:szCs w:val="18"/>
          <w:color w:val="auto"/>
        </w:rPr>
      </w:pPr>
    </w:p>
    <w:p>
      <w:pPr>
        <w:ind w:left="260" w:hanging="252"/>
        <w:spacing w:after="0" w:line="266"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from continuing operations, net of tax, decreased to $10.7 million compared to $18.7 million in the same period in 2023. Income from continuing operations, net of tax, margin decreased to 1.1% compared to 2.1% in the same period in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jc w:val="both"/>
        <w:ind w:left="260" w:hanging="252"/>
        <w:spacing w:after="0" w:line="242" w:lineRule="auto"/>
        <w:tabs>
          <w:tab w:leader="none" w:pos="2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from continuing operations decreased to $0.14 compared to $0.24 in the same period in 2023. Adjusted Diluted EPS increased to $0.44 compared to $0.41 in the same period in 2023. The net change in margin on unearned revenue benefited both Diluted EPS and Adjusted Diluted EPS by $0.02.</w:t>
      </w:r>
    </w:p>
    <w:p>
      <w:pPr>
        <w:spacing w:after="0" w:line="21" w:lineRule="exact"/>
        <w:rPr>
          <w:rFonts w:ascii="Times New Roman" w:cs="Times New Roman" w:eastAsia="Times New Roman" w:hAnsi="Times New Roman"/>
          <w:sz w:val="18"/>
          <w:szCs w:val="18"/>
          <w:i w:val="1"/>
          <w:iCs w:val="1"/>
          <w:color w:val="auto"/>
        </w:rPr>
      </w:pPr>
    </w:p>
    <w:p>
      <w:pPr>
        <w:jc w:val="both"/>
        <w:ind w:left="260" w:hanging="252"/>
        <w:spacing w:after="0" w:line="24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6.7% to $48.0 million compared with the same period of 2023. Adjusted Operating Margin was 5.1% compared with 5.0% for the same period in 2023. The net change in margin on unearned revenue benefited net income by $1.7 million and Adjusted Operating Income by $2.3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June 29, 2024</w:t>
      </w:r>
    </w:p>
    <w:p>
      <w:pPr>
        <w:spacing w:after="0" w:line="108" w:lineRule="exact"/>
        <w:rPr>
          <w:sz w:val="20"/>
          <w:szCs w:val="20"/>
          <w:color w:val="auto"/>
        </w:rPr>
      </w:pPr>
    </w:p>
    <w:p>
      <w:pPr>
        <w:ind w:left="260" w:hanging="252"/>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Vision’s cash balance was $179.5 million as of June 29, 2024. The Company had no borrowings under its $300.0 million first lien revolving credit facility (“Revolving Loans”), exclusive of letters of credit of $6.4 million.</w:t>
      </w:r>
    </w:p>
    <w:p>
      <w:pPr>
        <w:spacing w:after="0" w:line="14" w:lineRule="exact"/>
        <w:rPr>
          <w:rFonts w:ascii="Times New Roman" w:cs="Times New Roman" w:eastAsia="Times New Roman" w:hAnsi="Times New Roman"/>
          <w:sz w:val="18"/>
          <w:szCs w:val="18"/>
          <w:color w:val="auto"/>
        </w:rPr>
      </w:pPr>
    </w:p>
    <w:p>
      <w:pPr>
        <w:ind w:left="260" w:hanging="252"/>
        <w:spacing w:after="0" w:line="258"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$456.8 million as of June 29, 2024, consisting of outstanding first lien term loans, 2.50% convertible senior notes due on May 15, 2025 (“2025 Notes”) and finance lease obligations, net of unamortized discounts.</w:t>
      </w: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six months of 2024 were $75.4 million compared to $112.2 million for the same period in 2023.</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six months of 2024 totaled $39.6 million compared to $54.1 million for the same period in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AC Lens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announced on July 26, 2023, the Company’s Management and Services Agreement with Walmart Inc. (“Walmart MSA”) terminated as of February 23, 2024. This included supplying and operating Vision Centers in 225 Walmart stores, providing contact lens distribution and related services to Walmart and its affiliate, Sam's Club, and arranging for the provision of optometric services at certain Walmart locations in California. During the second quarter of 2024, the Company wound down its remaining AC Lens operations, including the closure of its Ohio distribution center, which largely supported the wholesale distribution and e-commerce contact lens services that the Company provided to Walmart and Sam’s Club, such that AC Lens operations are included in discontinued operations for all periods presented.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Actions to Accelerate Transformation</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announced a new phase of its transformation which includes new additions to its executive leadership team, continued expansion of exam capacity, new traffic-driving initiatives and initiatives to strengthen the foundation of the business for profitable growth. As part of this transformation, the Company has initiated a review of all stores to optimize the fleet and is evaluating its deployment of capital as it considers new store opening plans in 2025.</w:t>
      </w:r>
    </w:p>
    <w:p>
      <w:pPr>
        <w:spacing w:after="0" w:line="3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Separately, today the Company issued a press release announcing leadership changes, including the appointment of Alex Wilkes as National Vision’s President, effective August 19, 2024, and that Patrick Moore, the Company’s Chief Operating Officer, has shared his plans to retire at the end of the year. The press release is available on the Company’s website.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Outlook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Vision’s fiscal 2024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 or as a result of the termination of the Walmart partnership. Unless otherwise noted, the outlook below is on a continuing operations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Company is providing the following updated outlook for the 52 weeks ending December 28, 2024:</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60" w:type="dxa"/>
            <w:vAlign w:val="bottom"/>
            <w:tcBorders>
              <w:top w:val="single" w:sz="8" w:color="BFBFBF"/>
              <w:left w:val="single" w:sz="8" w:color="BFBFBF"/>
              <w:right w:val="single" w:sz="8" w:color="BFBFBF"/>
            </w:tcBorders>
          </w:tcPr>
          <w:p>
            <w:pPr>
              <w:spacing w:after="0"/>
              <w:rPr>
                <w:sz w:val="18"/>
                <w:szCs w:val="18"/>
                <w:color w:val="auto"/>
              </w:rPr>
            </w:pPr>
          </w:p>
        </w:tc>
        <w:tc>
          <w:tcPr>
            <w:tcW w:w="2420" w:type="dxa"/>
            <w:vAlign w:val="bottom"/>
            <w:tcBorders>
              <w:top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Total Company Fiscal</w:t>
            </w:r>
          </w:p>
        </w:tc>
        <w:tc>
          <w:tcPr>
            <w:tcW w:w="240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Continuing Operations</w:t>
            </w:r>
          </w:p>
        </w:tc>
        <w:tc>
          <w:tcPr>
            <w:tcW w:w="2440" w:type="dxa"/>
            <w:vAlign w:val="bottom"/>
            <w:tcBorders>
              <w:top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Updated Continuing</w:t>
            </w:r>
          </w:p>
        </w:tc>
      </w:tr>
      <w:tr>
        <w:trPr>
          <w:trHeight w:val="203"/>
        </w:trPr>
        <w:tc>
          <w:tcPr>
            <w:tcW w:w="3460" w:type="dxa"/>
            <w:vAlign w:val="bottom"/>
            <w:tcBorders>
              <w:left w:val="single" w:sz="8" w:color="BFBFBF"/>
              <w:right w:val="single" w:sz="8" w:color="BFBFBF"/>
            </w:tcBorders>
          </w:tcPr>
          <w:p>
            <w:pPr>
              <w:spacing w:after="0"/>
              <w:rPr>
                <w:sz w:val="17"/>
                <w:szCs w:val="17"/>
                <w:color w:val="auto"/>
              </w:rPr>
            </w:pPr>
          </w:p>
        </w:tc>
        <w:tc>
          <w:tcPr>
            <w:tcW w:w="2420" w:type="dxa"/>
            <w:vAlign w:val="bottom"/>
            <w:tcBorders>
              <w:right w:val="single" w:sz="8" w:color="BFBFBF"/>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2024 Outlook</w:t>
            </w:r>
          </w:p>
        </w:tc>
        <w:tc>
          <w:tcPr>
            <w:tcW w:w="2400" w:type="dxa"/>
            <w:vAlign w:val="bottom"/>
            <w:tcBorders>
              <w:right w:val="single" w:sz="8" w:color="BFBFBF"/>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Fiscal 2024 Outlook*</w:t>
            </w:r>
          </w:p>
        </w:tc>
        <w:tc>
          <w:tcPr>
            <w:tcW w:w="2440" w:type="dxa"/>
            <w:vAlign w:val="bottom"/>
            <w:tcBorders>
              <w:right w:val="single" w:sz="8" w:color="BFBFBF"/>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07"/>
        </w:trPr>
        <w:tc>
          <w:tcPr>
            <w:tcW w:w="3460" w:type="dxa"/>
            <w:vAlign w:val="bottom"/>
            <w:tcBorders>
              <w:left w:val="single" w:sz="8" w:color="BFBFBF"/>
              <w:right w:val="single" w:sz="8" w:color="BFBFBF"/>
            </w:tcBorders>
          </w:tcPr>
          <w:p>
            <w:pPr>
              <w:spacing w:after="0"/>
              <w:rPr>
                <w:sz w:val="17"/>
                <w:szCs w:val="17"/>
                <w:color w:val="auto"/>
              </w:rPr>
            </w:pPr>
          </w:p>
        </w:tc>
        <w:tc>
          <w:tcPr>
            <w:tcW w:w="242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 of May 8, 2024)</w:t>
            </w:r>
          </w:p>
        </w:tc>
        <w:tc>
          <w:tcPr>
            <w:tcW w:w="24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9"/>
              </w:rPr>
              <w:t>(as of May 8, 2024)</w:t>
            </w:r>
          </w:p>
        </w:tc>
        <w:tc>
          <w:tcPr>
            <w:tcW w:w="244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2024 Outlook**</w:t>
            </w:r>
          </w:p>
        </w:tc>
      </w:tr>
      <w:tr>
        <w:trPr>
          <w:trHeight w:val="234"/>
        </w:trPr>
        <w:tc>
          <w:tcPr>
            <w:tcW w:w="3460" w:type="dxa"/>
            <w:vAlign w:val="bottom"/>
            <w:tcBorders>
              <w:left w:val="single" w:sz="8" w:color="BFBFBF"/>
              <w:right w:val="single" w:sz="8" w:color="BFBFBF"/>
            </w:tcBorders>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Borders>
              <w:right w:val="single" w:sz="8" w:color="BFBFBF"/>
            </w:tcBorders>
          </w:tcPr>
          <w:p>
            <w:pPr>
              <w:spacing w:after="0"/>
              <w:rPr>
                <w:sz w:val="20"/>
                <w:szCs w:val="20"/>
                <w:color w:val="auto"/>
              </w:rPr>
            </w:pPr>
          </w:p>
        </w:tc>
        <w:tc>
          <w:tcPr>
            <w:tcW w:w="2400" w:type="dxa"/>
            <w:vAlign w:val="bottom"/>
            <w:tcBorders>
              <w:right w:val="single" w:sz="8" w:color="BFBFBF"/>
            </w:tcBorders>
          </w:tcPr>
          <w:p>
            <w:pPr>
              <w:spacing w:after="0"/>
              <w:rPr>
                <w:sz w:val="20"/>
                <w:szCs w:val="20"/>
                <w:color w:val="auto"/>
              </w:rPr>
            </w:pPr>
          </w:p>
        </w:tc>
        <w:tc>
          <w:tcPr>
            <w:tcW w:w="2440" w:type="dxa"/>
            <w:vAlign w:val="bottom"/>
            <w:tcBorders>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 of August 7, 2024)</w:t>
            </w:r>
          </w:p>
        </w:tc>
      </w:tr>
      <w:tr>
        <w:trPr>
          <w:trHeight w:val="27"/>
        </w:trPr>
        <w:tc>
          <w:tcPr>
            <w:tcW w:w="3460" w:type="dxa"/>
            <w:vAlign w:val="bottom"/>
            <w:tcBorders>
              <w:left w:val="single" w:sz="8" w:color="BFBFBF"/>
              <w:bottom w:val="single" w:sz="8" w:color="BFBFBF"/>
              <w:right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280" w:type="dxa"/>
            <w:vAlign w:val="bottom"/>
            <w:tcBorders>
              <w:bottom w:val="single" w:sz="8" w:color="BFBFBF"/>
              <w:right w:val="single" w:sz="8" w:color="BFBFBF"/>
            </w:tcBorders>
          </w:tcPr>
          <w:p>
            <w:pPr>
              <w:spacing w:after="0"/>
              <w:rPr>
                <w:sz w:val="2"/>
                <w:szCs w:val="2"/>
                <w:color w:val="auto"/>
              </w:rPr>
            </w:pPr>
          </w:p>
        </w:tc>
        <w:tc>
          <w:tcPr>
            <w:tcW w:w="2400" w:type="dxa"/>
            <w:vAlign w:val="bottom"/>
            <w:tcBorders>
              <w:bottom w:val="single" w:sz="8" w:color="BFBFBF"/>
              <w:right w:val="single" w:sz="8" w:color="BFBFBF"/>
            </w:tcBorders>
          </w:tcPr>
          <w:p>
            <w:pPr>
              <w:spacing w:after="0"/>
              <w:rPr>
                <w:sz w:val="2"/>
                <w:szCs w:val="2"/>
                <w:color w:val="auto"/>
              </w:rPr>
            </w:pPr>
          </w:p>
        </w:tc>
        <w:tc>
          <w:tcPr>
            <w:tcW w:w="2440" w:type="dxa"/>
            <w:vAlign w:val="bottom"/>
            <w:tcBorders>
              <w:bottom w:val="single" w:sz="8" w:color="BFBFBF"/>
              <w:right w:val="single" w:sz="8" w:color="BFBFBF"/>
            </w:tcBorders>
            <w:gridSpan w:val="2"/>
          </w:tcPr>
          <w:p>
            <w:pPr>
              <w:spacing w:after="0"/>
              <w:rPr>
                <w:sz w:val="2"/>
                <w:szCs w:val="2"/>
                <w:color w:val="auto"/>
              </w:rPr>
            </w:pPr>
          </w:p>
        </w:tc>
      </w:tr>
      <w:tr>
        <w:trPr>
          <w:trHeight w:val="255"/>
        </w:trPr>
        <w:tc>
          <w:tcPr>
            <w:tcW w:w="3460" w:type="dxa"/>
            <w:vAlign w:val="bottom"/>
            <w:tcBorders>
              <w:left w:val="single" w:sz="8" w:color="BFBFBF"/>
              <w:bottom w:val="single" w:sz="8" w:color="F2F2F2"/>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New Stores</w:t>
            </w:r>
          </w:p>
        </w:tc>
        <w:tc>
          <w:tcPr>
            <w:tcW w:w="114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tcBorders>
              <w:bottom w:val="single" w:sz="8" w:color="F2F2F2"/>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2400" w:type="dxa"/>
            <w:vAlign w:val="bottom"/>
            <w:tcBorders>
              <w:bottom w:val="single" w:sz="8" w:color="F2F2F2"/>
              <w:right w:val="single" w:sz="8" w:color="BFBFBF"/>
            </w:tcBorders>
            <w:shd w:val="clear" w:color="auto" w:fill="F2F2F2"/>
          </w:tcPr>
          <w:p>
            <w:pPr>
              <w:spacing w:after="0"/>
              <w:rPr>
                <w:sz w:val="21"/>
                <w:szCs w:val="21"/>
                <w:color w:val="auto"/>
              </w:rPr>
            </w:pPr>
          </w:p>
        </w:tc>
        <w:tc>
          <w:tcPr>
            <w:tcW w:w="2440" w:type="dxa"/>
            <w:vAlign w:val="bottom"/>
            <w:tcBorders>
              <w:bottom w:val="single" w:sz="8" w:color="F2F2F2"/>
              <w:right w:val="single" w:sz="8" w:color="BFBFBF"/>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65-70</w:t>
            </w:r>
          </w:p>
        </w:tc>
      </w:tr>
      <w:tr>
        <w:trPr>
          <w:trHeight w:val="250"/>
        </w:trPr>
        <w:tc>
          <w:tcPr>
            <w:tcW w:w="3460" w:type="dxa"/>
            <w:vAlign w:val="bottom"/>
            <w:tcBorders>
              <w:top w:val="single" w:sz="8" w:color="BFBFBF"/>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1140" w:type="dxa"/>
            <w:vAlign w:val="bottom"/>
            <w:tcBorders>
              <w:top w:val="single" w:sz="8" w:color="BFBFBF"/>
              <w:bottom w:val="single" w:sz="8" w:color="BFBFBF"/>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2400" w:type="dxa"/>
            <w:vAlign w:val="bottom"/>
            <w:tcBorders>
              <w:top w:val="single" w:sz="8" w:color="BFBFBF"/>
              <w:bottom w:val="single" w:sz="8" w:color="BFBFBF"/>
              <w:right w:val="single" w:sz="8" w:color="BFBFBF"/>
            </w:tcBorders>
          </w:tcPr>
          <w:p>
            <w:pPr>
              <w:spacing w:after="0"/>
              <w:rPr>
                <w:sz w:val="21"/>
                <w:szCs w:val="21"/>
                <w:color w:val="auto"/>
              </w:rPr>
            </w:pPr>
          </w:p>
        </w:tc>
        <w:tc>
          <w:tcPr>
            <w:tcW w:w="1160" w:type="dxa"/>
            <w:vAlign w:val="bottom"/>
            <w:tcBorders>
              <w:top w:val="single" w:sz="8" w:color="BFBFBF"/>
              <w:bottom w:val="single" w:sz="8" w:color="BFBFBF"/>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tcBorders>
              <w:top w:val="single" w:sz="8" w:color="BFBFBF"/>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color w:val="auto"/>
              </w:rPr>
              <w:t>- 1.5%</w:t>
            </w:r>
          </w:p>
        </w:tc>
      </w:tr>
      <w:tr>
        <w:trPr>
          <w:trHeight w:val="296"/>
        </w:trPr>
        <w:tc>
          <w:tcPr>
            <w:tcW w:w="3460" w:type="dxa"/>
            <w:vAlign w:val="bottom"/>
            <w:tcBorders>
              <w:left w:val="single" w:sz="8" w:color="BFBFBF"/>
              <w:bottom w:val="single" w:sz="8" w:color="F2F2F2"/>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Net Revenue (billions)</w:t>
            </w:r>
          </w:p>
        </w:tc>
        <w:tc>
          <w:tcPr>
            <w:tcW w:w="114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80" w:type="dxa"/>
            <w:vAlign w:val="bottom"/>
            <w:tcBorders>
              <w:bottom w:val="single" w:sz="8" w:color="F2F2F2"/>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$2.005</w:t>
            </w:r>
          </w:p>
        </w:tc>
        <w:tc>
          <w:tcPr>
            <w:tcW w:w="2400" w:type="dxa"/>
            <w:vAlign w:val="bottom"/>
            <w:tcBorders>
              <w:bottom w:val="single" w:sz="8" w:color="F2F2F2"/>
              <w:right w:val="single" w:sz="8" w:color="BFBFBF"/>
            </w:tcBorders>
            <w:shd w:val="clear" w:color="auto" w:fill="F2F2F2"/>
          </w:tcPr>
          <w:p>
            <w:pPr>
              <w:jc w:val="right"/>
              <w:ind w:right="550"/>
              <w:spacing w:after="0"/>
              <w:rPr>
                <w:sz w:val="20"/>
                <w:szCs w:val="20"/>
                <w:color w:val="auto"/>
              </w:rPr>
            </w:pPr>
            <w:r>
              <w:rPr>
                <w:rFonts w:ascii="Times New Roman" w:cs="Times New Roman" w:eastAsia="Times New Roman" w:hAnsi="Times New Roman"/>
                <w:sz w:val="18"/>
                <w:szCs w:val="18"/>
                <w:color w:val="auto"/>
              </w:rPr>
              <w:t>$1.825 - $1.865</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80" w:type="dxa"/>
            <w:vAlign w:val="bottom"/>
            <w:tcBorders>
              <w:bottom w:val="single" w:sz="8" w:color="F2F2F2"/>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$1.840</w:t>
            </w:r>
          </w:p>
        </w:tc>
      </w:tr>
      <w:tr>
        <w:trPr>
          <w:trHeight w:val="228"/>
        </w:trPr>
        <w:tc>
          <w:tcPr>
            <w:tcW w:w="3460" w:type="dxa"/>
            <w:vAlign w:val="bottom"/>
            <w:tcBorders>
              <w:top w:val="single" w:sz="8" w:color="BFBFBF"/>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Adjusted Operating Income (millions)</w:t>
            </w:r>
          </w:p>
        </w:tc>
        <w:tc>
          <w:tcPr>
            <w:tcW w:w="1140" w:type="dxa"/>
            <w:vAlign w:val="bottom"/>
            <w:tcBorders>
              <w:top w:val="single" w:sz="8" w:color="BFBFBF"/>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tcBorders>
              <w:top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color w:val="auto"/>
              </w:rPr>
              <w:t>- $76</w:t>
            </w:r>
          </w:p>
        </w:tc>
        <w:tc>
          <w:tcPr>
            <w:tcW w:w="2400" w:type="dxa"/>
            <w:vAlign w:val="bottom"/>
            <w:tcBorders>
              <w:top w:val="single" w:sz="8" w:color="BFBFBF"/>
              <w:right w:val="single" w:sz="8" w:color="BFBFBF"/>
            </w:tcBorders>
          </w:tcPr>
          <w:p>
            <w:pPr>
              <w:jc w:val="right"/>
              <w:ind w:right="770"/>
              <w:spacing w:after="0"/>
              <w:rPr>
                <w:sz w:val="20"/>
                <w:szCs w:val="20"/>
                <w:color w:val="auto"/>
              </w:rPr>
            </w:pPr>
            <w:r>
              <w:rPr>
                <w:rFonts w:ascii="Times New Roman" w:cs="Times New Roman" w:eastAsia="Times New Roman" w:hAnsi="Times New Roman"/>
                <w:sz w:val="18"/>
                <w:szCs w:val="18"/>
                <w:color w:val="auto"/>
              </w:rPr>
              <w:t>$60 - $75</w:t>
            </w:r>
          </w:p>
        </w:tc>
        <w:tc>
          <w:tcPr>
            <w:tcW w:w="1160" w:type="dxa"/>
            <w:vAlign w:val="bottom"/>
            <w:tcBorders>
              <w:top w:val="single" w:sz="8" w:color="BFBFBF"/>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80" w:type="dxa"/>
            <w:vAlign w:val="bottom"/>
            <w:tcBorders>
              <w:top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color w:val="auto"/>
              </w:rPr>
              <w:t>- $62</w:t>
            </w:r>
          </w:p>
        </w:tc>
      </w:tr>
      <w:tr>
        <w:trPr>
          <w:trHeight w:val="22"/>
        </w:trPr>
        <w:tc>
          <w:tcPr>
            <w:tcW w:w="3460" w:type="dxa"/>
            <w:vAlign w:val="bottom"/>
            <w:tcBorders>
              <w:left w:val="single" w:sz="8" w:color="BFBFBF"/>
              <w:bottom w:val="single" w:sz="8" w:color="BFBFBF"/>
              <w:right w:val="single" w:sz="8" w:color="BFBFBF"/>
            </w:tcBorders>
          </w:tcPr>
          <w:p>
            <w:pPr>
              <w:spacing w:after="0" w:line="20" w:lineRule="exact"/>
              <w:rPr>
                <w:sz w:val="1"/>
                <w:szCs w:val="1"/>
                <w:color w:val="auto"/>
              </w:rPr>
            </w:pPr>
          </w:p>
        </w:tc>
        <w:tc>
          <w:tcPr>
            <w:tcW w:w="1140" w:type="dxa"/>
            <w:vAlign w:val="bottom"/>
            <w:tcBorders>
              <w:bottom w:val="single" w:sz="8" w:color="BFBFBF"/>
            </w:tcBorders>
          </w:tcPr>
          <w:p>
            <w:pPr>
              <w:spacing w:after="0" w:line="20" w:lineRule="exact"/>
              <w:rPr>
                <w:sz w:val="1"/>
                <w:szCs w:val="1"/>
                <w:color w:val="auto"/>
              </w:rPr>
            </w:pPr>
          </w:p>
        </w:tc>
        <w:tc>
          <w:tcPr>
            <w:tcW w:w="1280" w:type="dxa"/>
            <w:vAlign w:val="bottom"/>
            <w:tcBorders>
              <w:bottom w:val="single" w:sz="8" w:color="BFBFBF"/>
              <w:right w:val="single" w:sz="8" w:color="BFBFBF"/>
            </w:tcBorders>
          </w:tcPr>
          <w:p>
            <w:pPr>
              <w:spacing w:after="0" w:line="20" w:lineRule="exact"/>
              <w:rPr>
                <w:sz w:val="1"/>
                <w:szCs w:val="1"/>
                <w:color w:val="auto"/>
              </w:rPr>
            </w:pPr>
          </w:p>
        </w:tc>
        <w:tc>
          <w:tcPr>
            <w:tcW w:w="2400" w:type="dxa"/>
            <w:vAlign w:val="bottom"/>
            <w:tcBorders>
              <w:bottom w:val="single" w:sz="8" w:color="BFBFBF"/>
              <w:right w:val="single" w:sz="8" w:color="BFBFBF"/>
            </w:tcBorders>
          </w:tcPr>
          <w:p>
            <w:pPr>
              <w:spacing w:after="0" w:line="20" w:lineRule="exact"/>
              <w:rPr>
                <w:sz w:val="1"/>
                <w:szCs w:val="1"/>
                <w:color w:val="auto"/>
              </w:rPr>
            </w:pPr>
          </w:p>
        </w:tc>
        <w:tc>
          <w:tcPr>
            <w:tcW w:w="1160" w:type="dxa"/>
            <w:vAlign w:val="bottom"/>
            <w:tcBorders>
              <w:bottom w:val="single" w:sz="8" w:color="BFBFBF"/>
            </w:tcBorders>
          </w:tcPr>
          <w:p>
            <w:pPr>
              <w:spacing w:after="0" w:line="20" w:lineRule="exact"/>
              <w:rPr>
                <w:sz w:val="1"/>
                <w:szCs w:val="1"/>
                <w:color w:val="auto"/>
              </w:rPr>
            </w:pPr>
          </w:p>
        </w:tc>
        <w:tc>
          <w:tcPr>
            <w:tcW w:w="1280" w:type="dxa"/>
            <w:vAlign w:val="bottom"/>
            <w:tcBorders>
              <w:bottom w:val="single" w:sz="8" w:color="BFBFBF"/>
              <w:right w:val="single" w:sz="8" w:color="BFBFBF"/>
            </w:tcBorders>
          </w:tcPr>
          <w:p>
            <w:pPr>
              <w:spacing w:after="0" w:line="20" w:lineRule="exact"/>
              <w:rPr>
                <w:sz w:val="1"/>
                <w:szCs w:val="1"/>
                <w:color w:val="auto"/>
              </w:rPr>
            </w:pPr>
          </w:p>
        </w:tc>
      </w:tr>
      <w:tr>
        <w:trPr>
          <w:trHeight w:val="250"/>
        </w:trPr>
        <w:tc>
          <w:tcPr>
            <w:tcW w:w="3460" w:type="dxa"/>
            <w:vAlign w:val="bottom"/>
            <w:tcBorders>
              <w:left w:val="single" w:sz="8" w:color="BFBFBF"/>
              <w:bottom w:val="single" w:sz="8" w:color="BFBFBF"/>
              <w:right w:val="single" w:sz="8" w:color="BFBFBF"/>
            </w:tcBorders>
            <w:shd w:val="clear" w:color="auto" w:fill="F2F2F2"/>
          </w:tcPr>
          <w:p>
            <w:pPr>
              <w:ind w:left="40"/>
              <w:spacing w:after="0" w:line="25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w:t>
            </w:r>
          </w:p>
        </w:tc>
        <w:tc>
          <w:tcPr>
            <w:tcW w:w="1140" w:type="dxa"/>
            <w:vAlign w:val="bottom"/>
            <w:tcBorders>
              <w:bottom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8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$0.65</w:t>
            </w:r>
          </w:p>
        </w:tc>
        <w:tc>
          <w:tcPr>
            <w:tcW w:w="2400" w:type="dxa"/>
            <w:vAlign w:val="bottom"/>
            <w:tcBorders>
              <w:bottom w:val="single" w:sz="8" w:color="BFBFBF"/>
              <w:right w:val="single" w:sz="8" w:color="BFBFBF"/>
            </w:tcBorders>
            <w:shd w:val="clear" w:color="auto" w:fill="F2F2F2"/>
          </w:tcPr>
          <w:p>
            <w:pPr>
              <w:spacing w:after="0"/>
              <w:rPr>
                <w:sz w:val="21"/>
                <w:szCs w:val="21"/>
                <w:color w:val="auto"/>
              </w:rPr>
            </w:pPr>
          </w:p>
        </w:tc>
        <w:tc>
          <w:tcPr>
            <w:tcW w:w="1160" w:type="dxa"/>
            <w:vAlign w:val="bottom"/>
            <w:tcBorders>
              <w:bottom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8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50"/>
        </w:trPr>
        <w:tc>
          <w:tcPr>
            <w:tcW w:w="346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(millions)</w:t>
            </w:r>
          </w:p>
        </w:tc>
        <w:tc>
          <w:tcPr>
            <w:tcW w:w="2420" w:type="dxa"/>
            <w:vAlign w:val="bottom"/>
            <w:tcBorders>
              <w:bottom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$95 - $100</w:t>
            </w:r>
          </w:p>
        </w:tc>
        <w:tc>
          <w:tcPr>
            <w:tcW w:w="2400" w:type="dxa"/>
            <w:vAlign w:val="bottom"/>
            <w:tcBorders>
              <w:bottom w:val="single" w:sz="8" w:color="BFBFBF"/>
              <w:right w:val="single" w:sz="8" w:color="BFBFBF"/>
            </w:tcBorders>
          </w:tcPr>
          <w:p>
            <w:pPr>
              <w:spacing w:after="0"/>
              <w:rPr>
                <w:sz w:val="21"/>
                <w:szCs w:val="21"/>
                <w:color w:val="auto"/>
              </w:rPr>
            </w:pPr>
          </w:p>
        </w:tc>
        <w:tc>
          <w:tcPr>
            <w:tcW w:w="1160" w:type="dxa"/>
            <w:vAlign w:val="bottom"/>
            <w:tcBorders>
              <w:bottom w:val="single" w:sz="8" w:color="BFBFBF"/>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80" w:type="dxa"/>
            <w:vAlign w:val="bottom"/>
            <w:tcBorders>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color w:val="auto"/>
              </w:rPr>
              <w:t>- $99</w:t>
            </w:r>
          </w:p>
        </w:tc>
      </w:tr>
      <w:tr>
        <w:trPr>
          <w:trHeight w:val="250"/>
        </w:trPr>
        <w:tc>
          <w:tcPr>
            <w:tcW w:w="3460" w:type="dxa"/>
            <w:vAlign w:val="bottom"/>
            <w:tcBorders>
              <w:left w:val="single" w:sz="8" w:color="BFBFBF"/>
              <w:bottom w:val="single" w:sz="8" w:color="BFBFBF"/>
              <w:right w:val="single" w:sz="8" w:color="BFBFBF"/>
            </w:tcBorders>
            <w:shd w:val="clear" w:color="auto" w:fill="F2F2F2"/>
          </w:tcPr>
          <w:p>
            <w:pPr>
              <w:ind w:left="40"/>
              <w:spacing w:after="0" w:line="25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(millions)</w:t>
            </w:r>
          </w:p>
        </w:tc>
        <w:tc>
          <w:tcPr>
            <w:tcW w:w="1140" w:type="dxa"/>
            <w:vAlign w:val="bottom"/>
            <w:tcBorders>
              <w:bottom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2400" w:type="dxa"/>
            <w:vAlign w:val="bottom"/>
            <w:tcBorders>
              <w:bottom w:val="single" w:sz="8" w:color="BFBFBF"/>
              <w:right w:val="single" w:sz="8" w:color="BFBFBF"/>
            </w:tcBorders>
            <w:shd w:val="clear" w:color="auto" w:fill="F2F2F2"/>
          </w:tcPr>
          <w:p>
            <w:pPr>
              <w:spacing w:after="0"/>
              <w:rPr>
                <w:sz w:val="21"/>
                <w:szCs w:val="21"/>
                <w:color w:val="auto"/>
              </w:rPr>
            </w:pPr>
          </w:p>
        </w:tc>
        <w:tc>
          <w:tcPr>
            <w:tcW w:w="1160" w:type="dxa"/>
            <w:vAlign w:val="bottom"/>
            <w:tcBorders>
              <w:bottom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bottom w:val="single" w:sz="8" w:color="BFBFBF"/>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$9</w:t>
            </w:r>
          </w:p>
        </w:tc>
      </w:tr>
      <w:tr>
        <w:trPr>
          <w:trHeight w:val="250"/>
        </w:trPr>
        <w:tc>
          <w:tcPr>
            <w:tcW w:w="346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5</w:t>
            </w:r>
          </w:p>
        </w:tc>
        <w:tc>
          <w:tcPr>
            <w:tcW w:w="2420" w:type="dxa"/>
            <w:vAlign w:val="bottom"/>
            <w:tcBorders>
              <w:bottom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26% to 28%</w:t>
            </w:r>
          </w:p>
        </w:tc>
        <w:tc>
          <w:tcPr>
            <w:tcW w:w="2400" w:type="dxa"/>
            <w:vAlign w:val="bottom"/>
            <w:tcBorders>
              <w:bottom w:val="single" w:sz="8" w:color="BFBFBF"/>
              <w:right w:val="single" w:sz="8" w:color="BFBFBF"/>
            </w:tcBorders>
          </w:tcPr>
          <w:p>
            <w:pPr>
              <w:spacing w:after="0"/>
              <w:rPr>
                <w:sz w:val="21"/>
                <w:szCs w:val="21"/>
                <w:color w:val="auto"/>
              </w:rPr>
            </w:pPr>
          </w:p>
        </w:tc>
        <w:tc>
          <w:tcPr>
            <w:tcW w:w="2440" w:type="dxa"/>
            <w:vAlign w:val="bottom"/>
            <w:tcBorders>
              <w:bottom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26% to 28%</w:t>
            </w:r>
          </w:p>
        </w:tc>
      </w:tr>
      <w:tr>
        <w:trPr>
          <w:trHeight w:val="230"/>
        </w:trPr>
        <w:tc>
          <w:tcPr>
            <w:tcW w:w="3460" w:type="dxa"/>
            <w:vAlign w:val="bottom"/>
            <w:tcBorders>
              <w:left w:val="single" w:sz="8" w:color="BFBFBF"/>
              <w:bottom w:val="single" w:sz="8" w:color="F2F2F2"/>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Capital Expenditures (millions)</w:t>
            </w:r>
          </w:p>
        </w:tc>
        <w:tc>
          <w:tcPr>
            <w:tcW w:w="114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80" w:type="dxa"/>
            <w:vAlign w:val="bottom"/>
            <w:tcBorders>
              <w:bottom w:val="single" w:sz="8" w:color="F2F2F2"/>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$115</w:t>
            </w:r>
          </w:p>
        </w:tc>
        <w:tc>
          <w:tcPr>
            <w:tcW w:w="2400" w:type="dxa"/>
            <w:vAlign w:val="bottom"/>
            <w:tcBorders>
              <w:bottom w:val="single" w:sz="8" w:color="F2F2F2"/>
              <w:right w:val="single" w:sz="8" w:color="BFBFBF"/>
            </w:tcBorders>
            <w:shd w:val="clear" w:color="auto" w:fill="F2F2F2"/>
          </w:tcPr>
          <w:p>
            <w:pPr>
              <w:spacing w:after="0"/>
              <w:rPr>
                <w:sz w:val="20"/>
                <w:szCs w:val="20"/>
                <w:color w:val="auto"/>
              </w:rPr>
            </w:pPr>
          </w:p>
        </w:tc>
        <w:tc>
          <w:tcPr>
            <w:tcW w:w="116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80" w:type="dxa"/>
            <w:vAlign w:val="bottom"/>
            <w:tcBorders>
              <w:bottom w:val="single" w:sz="8" w:color="F2F2F2"/>
              <w:right w:val="single" w:sz="8" w:color="BFBFBF"/>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 $115</w:t>
            </w:r>
          </w:p>
        </w:tc>
      </w:tr>
      <w:tr>
        <w:trPr>
          <w:trHeight w:val="20"/>
        </w:trPr>
        <w:tc>
          <w:tcPr>
            <w:tcW w:w="3460" w:type="dxa"/>
            <w:vAlign w:val="bottom"/>
            <w:tcBorders>
              <w:left w:val="single" w:sz="8" w:color="BFBFBF"/>
              <w:right w:val="single" w:sz="8" w:color="BFBFBF"/>
            </w:tcBorders>
            <w:shd w:val="clear" w:color="auto" w:fill="BFBFBF"/>
          </w:tcPr>
          <w:p>
            <w:pPr>
              <w:spacing w:after="0" w:line="20" w:lineRule="exact"/>
              <w:rPr>
                <w:sz w:val="1"/>
                <w:szCs w:val="1"/>
                <w:color w:val="auto"/>
              </w:rPr>
            </w:pPr>
          </w:p>
        </w:tc>
        <w:tc>
          <w:tcPr>
            <w:tcW w:w="1140" w:type="dxa"/>
            <w:vAlign w:val="bottom"/>
            <w:shd w:val="clear" w:color="auto" w:fill="BFBFBF"/>
          </w:tcPr>
          <w:p>
            <w:pPr>
              <w:spacing w:after="0" w:line="20" w:lineRule="exact"/>
              <w:rPr>
                <w:sz w:val="1"/>
                <w:szCs w:val="1"/>
                <w:color w:val="auto"/>
              </w:rPr>
            </w:pPr>
          </w:p>
        </w:tc>
        <w:tc>
          <w:tcPr>
            <w:tcW w:w="1280" w:type="dxa"/>
            <w:vAlign w:val="bottom"/>
            <w:tcBorders>
              <w:right w:val="single" w:sz="8" w:color="BFBFBF"/>
            </w:tcBorders>
            <w:shd w:val="clear" w:color="auto" w:fill="BFBFBF"/>
          </w:tcPr>
          <w:p>
            <w:pPr>
              <w:spacing w:after="0" w:line="20" w:lineRule="exact"/>
              <w:rPr>
                <w:sz w:val="1"/>
                <w:szCs w:val="1"/>
                <w:color w:val="auto"/>
              </w:rPr>
            </w:pPr>
          </w:p>
        </w:tc>
        <w:tc>
          <w:tcPr>
            <w:tcW w:w="2400" w:type="dxa"/>
            <w:vAlign w:val="bottom"/>
            <w:tcBorders>
              <w:right w:val="single" w:sz="8" w:color="BFBFBF"/>
            </w:tcBorders>
            <w:shd w:val="clear" w:color="auto" w:fill="BFBFBF"/>
          </w:tcPr>
          <w:p>
            <w:pPr>
              <w:spacing w:after="0" w:line="20" w:lineRule="exact"/>
              <w:rPr>
                <w:sz w:val="1"/>
                <w:szCs w:val="1"/>
                <w:color w:val="auto"/>
              </w:rPr>
            </w:pPr>
          </w:p>
        </w:tc>
        <w:tc>
          <w:tcPr>
            <w:tcW w:w="1160" w:type="dxa"/>
            <w:vAlign w:val="bottom"/>
            <w:shd w:val="clear" w:color="auto" w:fill="BFBFBF"/>
          </w:tcPr>
          <w:p>
            <w:pPr>
              <w:spacing w:after="0" w:line="20" w:lineRule="exact"/>
              <w:rPr>
                <w:sz w:val="1"/>
                <w:szCs w:val="1"/>
                <w:color w:val="auto"/>
              </w:rPr>
            </w:pPr>
          </w:p>
        </w:tc>
        <w:tc>
          <w:tcPr>
            <w:tcW w:w="1280" w:type="dxa"/>
            <w:vAlign w:val="bottom"/>
            <w:tcBorders>
              <w:right w:val="single" w:sz="8" w:color="BFBFBF"/>
            </w:tcBorders>
            <w:shd w:val="clear" w:color="auto" w:fill="BFBFBF"/>
          </w:tcPr>
          <w:p>
            <w:pPr>
              <w:spacing w:after="0" w:line="20" w:lineRule="exact"/>
              <w:rPr>
                <w:sz w:val="1"/>
                <w:szCs w:val="1"/>
                <w:color w:val="auto"/>
              </w:rPr>
            </w:pPr>
          </w:p>
        </w:tc>
      </w:tr>
    </w:tbl>
    <w:p>
      <w:pPr>
        <w:spacing w:after="0" w:line="65" w:lineRule="exact"/>
        <w:rPr>
          <w:sz w:val="20"/>
          <w:szCs w:val="20"/>
          <w:color w:val="auto"/>
        </w:rPr>
      </w:pPr>
    </w:p>
    <w:p>
      <w:pPr>
        <w:ind w:left="80"/>
        <w:spacing w:after="0" w:line="250" w:lineRule="auto"/>
        <w:rPr>
          <w:sz w:val="20"/>
          <w:szCs w:val="20"/>
          <w:color w:val="auto"/>
        </w:rPr>
      </w:pPr>
      <w:r>
        <w:rPr>
          <w:rFonts w:ascii="Times New Roman" w:cs="Times New Roman" w:eastAsia="Times New Roman" w:hAnsi="Times New Roman"/>
          <w:sz w:val="16"/>
          <w:szCs w:val="16"/>
          <w:i w:val="1"/>
          <w:iCs w:val="1"/>
          <w:color w:val="auto"/>
        </w:rPr>
        <w:t>*As detailed on slide 14 in the Q1 2024 Earnings Presentation; reflected exclusion of estimated discontinued operations for the six months ended June 29, 2024 including $140M in revenue and $1M in Adjusted Operating Income</w:t>
      </w:r>
    </w:p>
    <w:p>
      <w:pPr>
        <w:spacing w:after="0" w:line="1" w:lineRule="exact"/>
        <w:rPr>
          <w:sz w:val="20"/>
          <w:szCs w:val="20"/>
          <w:color w:val="auto"/>
        </w:rPr>
      </w:pPr>
    </w:p>
    <w:p>
      <w:pPr>
        <w:ind w:left="80"/>
        <w:spacing w:after="0" w:line="226" w:lineRule="auto"/>
        <w:rPr>
          <w:sz w:val="20"/>
          <w:szCs w:val="20"/>
          <w:color w:val="auto"/>
        </w:rPr>
      </w:pPr>
      <w:r>
        <w:rPr>
          <w:rFonts w:ascii="Times New Roman" w:cs="Times New Roman" w:eastAsia="Times New Roman" w:hAnsi="Times New Roman"/>
          <w:sz w:val="16"/>
          <w:szCs w:val="16"/>
          <w:i w:val="1"/>
          <w:iCs w:val="1"/>
          <w:color w:val="auto"/>
        </w:rPr>
        <w:t>**Reflects current outlook and exclusion of actual discontinued operations for the six months ended June 29, 2024 which included $132M in revenue and $0.7M in Adjusted Operating Income</w:t>
      </w:r>
    </w:p>
    <w:p>
      <w:pPr>
        <w:ind w:left="160" w:hanging="71"/>
        <w:spacing w:after="0" w:line="188" w:lineRule="auto"/>
        <w:tabs>
          <w:tab w:leader="none" w:pos="160" w:val="left"/>
        </w:tabs>
        <w:numPr>
          <w:ilvl w:val="0"/>
          <w:numId w:val="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Refer to the Reconciliation of Adjusted Comparable Stores Sales Growth to Total Comparable Store Sales Growth.</w:t>
      </w:r>
    </w:p>
    <w:p>
      <w:pPr>
        <w:spacing w:after="0" w:line="1" w:lineRule="exact"/>
        <w:rPr>
          <w:sz w:val="20"/>
          <w:szCs w:val="20"/>
          <w:color w:val="auto"/>
        </w:rPr>
      </w:pPr>
    </w:p>
    <w:p>
      <w:pPr>
        <w:ind w:left="80" w:firstLine="9"/>
        <w:spacing w:after="0" w:line="209" w:lineRule="auto"/>
        <w:tabs>
          <w:tab w:leader="none" w:pos="181" w:val="left"/>
        </w:tabs>
        <w:numPr>
          <w:ilvl w:val="0"/>
          <w:numId w:val="9"/>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Assumes approximately 79 million shares, and does not include 9.7 million shares attributable to the 2025 Notes as the Company anticipates them to be anti-dilutive to earnings per share for fiscal year 2024.</w:t>
      </w:r>
    </w:p>
    <w:p>
      <w:pPr>
        <w:ind w:left="80"/>
        <w:spacing w:after="0"/>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3</w:t>
      </w:r>
      <w:r>
        <w:rPr>
          <w:rFonts w:ascii="Times New Roman" w:cs="Times New Roman" w:eastAsia="Times New Roman" w:hAnsi="Times New Roman"/>
          <w:sz w:val="16"/>
          <w:szCs w:val="16"/>
          <w:i w:val="1"/>
          <w:iCs w:val="1"/>
          <w:color w:val="auto"/>
        </w:rPr>
        <w:t xml:space="preserve"> Includes amortization of acquisition intangibles of approximately $1.5 million for continuing operations, which is excluded in the definition of Adjusted Operating Income.</w:t>
      </w:r>
    </w:p>
    <w:p>
      <w:pPr>
        <w:spacing w:after="0" w:line="150" w:lineRule="exact"/>
        <w:rPr>
          <w:rFonts w:ascii="Times New Roman" w:cs="Times New Roman" w:eastAsia="Times New Roman" w:hAnsi="Times New Roman"/>
          <w:sz w:val="21"/>
          <w:szCs w:val="21"/>
          <w:i w:val="1"/>
          <w:iCs w:val="1"/>
          <w:color w:val="auto"/>
          <w:vertAlign w:val="superscript"/>
        </w:rPr>
      </w:pPr>
    </w:p>
    <w:p>
      <w:pPr>
        <w:ind w:left="80" w:right="1900"/>
        <w:spacing w:after="0" w:line="229" w:lineRule="auto"/>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4</w:t>
      </w:r>
      <w:r>
        <w:rPr>
          <w:rFonts w:ascii="Times New Roman" w:cs="Times New Roman" w:eastAsia="Times New Roman" w:hAnsi="Times New Roman"/>
          <w:sz w:val="16"/>
          <w:szCs w:val="16"/>
          <w:i w:val="1"/>
          <w:iCs w:val="1"/>
          <w:color w:val="auto"/>
        </w:rPr>
        <w:t xml:space="preserve"> Before the impact of gains or losses on change in fair value of derivatives and charges related to debt discounts and deferred financing costs. </w:t>
      </w:r>
      <w:r>
        <w:rPr>
          <w:rFonts w:ascii="Times New Roman" w:cs="Times New Roman" w:eastAsia="Times New Roman" w:hAnsi="Times New Roman"/>
          <w:sz w:val="21"/>
          <w:szCs w:val="21"/>
          <w:i w:val="1"/>
          <w:iCs w:val="1"/>
          <w:color w:val="auto"/>
          <w:vertAlign w:val="superscript"/>
        </w:rPr>
        <w:t>5</w:t>
      </w:r>
      <w:r>
        <w:rPr>
          <w:rFonts w:ascii="Times New Roman" w:cs="Times New Roman" w:eastAsia="Times New Roman" w:hAnsi="Times New Roman"/>
          <w:sz w:val="16"/>
          <w:szCs w:val="16"/>
          <w:i w:val="1"/>
          <w:iCs w:val="1"/>
          <w:color w:val="auto"/>
        </w:rPr>
        <w:t xml:space="preserve"> Excluding the impact of vesting of restricted stock units and stock option exercises.</w:t>
      </w:r>
    </w:p>
    <w:p>
      <w:pPr>
        <w:spacing w:after="0" w:line="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information provided above includes Adjusted Operating Income and Adjusted Diluted EPS guidance, which are non-GAAP financial measures management uses in measuring performance. The Company is not able to reconcile these forward-looking non-GAAP measures to comparable GAAP measures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2024 outlook. The Company uses these forward-looking measures internally to assess and benchmark its results and strategic plans. See “Forward-Looking Statements” below.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second quarter 2024 financial results and fiscal-year 2024 guidance today, August 7, 2024, at 8:30 a.m. Eastern Time. To pre-register for the conference call and obtain a dial-in number and passcode please refer to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xml:space="preserve">. A live audio webcast of the conference call will be available on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where presentation materials will be posted prior to the conference call. A replay of the audio webcast will also be archived on the “Investors”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more than 1,200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e-commerce websites, offering a variety of products and services for customers’ eye care needs. For more information, please visit www.nationalvision.com.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2024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3"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from continuing operations as net income, minus income (loss) from discontinued operations, net of tax, plus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(income), net, income tax provision (benefit),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from continuing operations as net income, minus income (loss) from discontinued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net of tax,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Enterprise Resource Planning (“ERP”) and Customer Relationship Management ("CRM") implementation expenses and certain other expenses.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from continuing operations as Adjusted Operating Income from continuing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total net revenue.</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from continuing operations as net income, minus income (loss) from discontinued operations, net of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interest expense (income), net, income tax provision (benefit) and depreciation and amortization, further adjusted to exclude stock-based compensation expense, loss on extinguishment of debt, asset impairment, litigation settlement, secondary offering expenses, management realignment expenses, long-term incentive plan expenses, ERP and CRM implementation expenses and certain other expenses.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from continuing operations as Adjusted EBITDA from continuing operations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total net revenue.</w:t>
      </w:r>
    </w:p>
    <w:p>
      <w:pPr>
        <w:spacing w:after="0" w:line="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from continuing operations as diluted earnings per share, minus diluted earnings per share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discontinued operations, adjusted for the per share impact of stock-based compensation expense,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and CRM implementation expenses, certain other expenses, and related tax effects.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from continuing operations as SG&amp;A from continuing operations adjusted to exclude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litigation settlement, secondary offering expenses, management realignment expenses, long-term incentive plan expense, ERP and CRM implementation expenses, and certain other expenses.</w:t>
      </w:r>
    </w:p>
    <w:p>
      <w:pPr>
        <w:spacing w:after="0" w:line="6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from continuing operations as Adjusted SG&amp;A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as a percentage of total net revenue.</w:t>
      </w:r>
    </w:p>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Method of Tax Provision Calculation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quarterly provision (benefit) for income taxes has historically been calculated using the annualized effective tax rate method (“AETR method”), which applies an estimated annual effective tax rate to pre-tax income or loss. For the three and six months ended June 29, 2024, the Company determined that the AETR method would not provide a reliable estimate for its tax provision (benefit) due to the fact that small changes in the Company’s estimated pre-tax income or loss would result in significant changes in the estimated AETR. Accordingly, for these periods, the Company instead elected to calculate its provision (benefit) for income taxes using a discrete effective tax rate (“ETR”) method.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300" w:type="dxa"/>
            <w:vAlign w:val="bottom"/>
          </w:tcPr>
          <w:p>
            <w:pPr>
              <w:spacing w:after="0"/>
              <w:rPr>
                <w:sz w:val="17"/>
                <w:szCs w:val="17"/>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June 29, 2024</w:t>
            </w:r>
          </w:p>
        </w:tc>
        <w:tc>
          <w:tcPr>
            <w:tcW w:w="200" w:type="dxa"/>
            <w:vAlign w:val="bottom"/>
          </w:tcPr>
          <w:p>
            <w:pPr>
              <w:spacing w:after="0"/>
              <w:rPr>
                <w:sz w:val="21"/>
                <w:szCs w:val="21"/>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85,267 and 84,831 shares issued as of</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29, 2024 and December 30, 2023, respectively; 78,628 and 78,311 shares outstanding as of</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29, 2024 and December 30, 2023, respectively</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6,639 and 6,520 shares as of June 29, 2024 and December 30, 2023,</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(Loss) Per Share</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732,333</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896,598</w:t>
            </w:r>
          </w:p>
        </w:tc>
      </w:tr>
      <w:tr>
        <w:trPr>
          <w:trHeight w:val="176"/>
        </w:trPr>
        <w:tc>
          <w:tcPr>
            <w:tcW w:w="5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217,436</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149,013</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366,449</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451,600</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496,788</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56"/>
        </w:trPr>
        <w:tc>
          <w:tcPr>
            <w:tcW w:w="5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w:t>
            </w:r>
          </w:p>
        </w:tc>
      </w:tr>
      <w:tr>
        <w:trPr>
          <w:trHeight w:val="270"/>
        </w:trPr>
        <w:tc>
          <w:tcPr>
            <w:tcW w:w="5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color w:val="auto"/>
        </w:rPr>
        <w:t>Note: Diluted EPS related to the 2025 Notes is calculated using the if-converted method. The 2025 Notes were anti-dilutive for all periods disclosed above and excluded from the computation of the weighted average shares for diluted EPS. Some totals in the table above do not foot due to rounding differences.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July 1, 2023</w:t>
            </w:r>
          </w:p>
        </w:tc>
      </w:tr>
      <w:tr>
        <w:trPr>
          <w:trHeight w:val="21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49,742</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on change in fair value of derivatives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 and lease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and unearned revenue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18,188</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112,216</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(54,120)</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(54,785)</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(32,071)</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information: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accrued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 (Unaudited)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from Continuing Operations to Net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30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23,884</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5,233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18,651</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6,703</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9,221</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w:t>
            </w:r>
          </w:p>
        </w:tc>
      </w:tr>
      <w:tr>
        <w:trPr>
          <w:trHeight w:val="229"/>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1,105</w:t>
            </w: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Income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44,934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 margin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Margin from continuing operations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162"/>
        </w:trPr>
        <w:tc>
          <w:tcPr>
            <w:tcW w:w="4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bl>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 from Continuing Operations to Net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July 1, 2023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23,884</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5,233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18,651</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22,089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44,045</w:t>
            </w:r>
          </w:p>
        </w:tc>
      </w:tr>
      <w:tr>
        <w:trPr>
          <w:trHeight w:val="22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77,406</w:t>
            </w:r>
          </w:p>
        </w:tc>
      </w:tr>
      <w:tr>
        <w:trPr>
          <w:trHeight w:val="162"/>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9,221</w:t>
            </w: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(f)</w:t>
            </w:r>
          </w:p>
        </w:tc>
        <w:tc>
          <w:tcPr>
            <w:tcW w:w="1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36,383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34,076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93,117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88,216</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4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 margin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 from continuing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3"/>
        </w:trPr>
        <w:tc>
          <w:tcPr>
            <w:tcW w:w="6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Continuing Operations to Diluted EPS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29, 2024</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fair value adjustments </w:t>
            </w:r>
            <w:r>
              <w:rPr>
                <w:rFonts w:ascii="Times New Roman" w:cs="Times New Roman" w:eastAsia="Times New Roman" w:hAnsi="Times New Roman"/>
                <w:sz w:val="23"/>
                <w:szCs w:val="23"/>
                <w:color w:val="auto"/>
                <w:vertAlign w:val="superscript"/>
              </w:rPr>
              <w:t>(e)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(f)</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(h)</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196"/>
        </w:trPr>
        <w:tc>
          <w:tcPr>
            <w:tcW w:w="5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5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w:t>
            </w: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Discontinued Operations to Diluted EPS from Discontinued Operations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(h)</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discontinued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5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w:t>
            </w: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7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0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SG&amp;A from Continuing Operations to SG&amp;A from Continuing Operations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0"/>
                <w:szCs w:val="20"/>
                <w:color w:val="auto"/>
              </w:rPr>
            </w:pPr>
          </w:p>
        </w:tc>
        <w:tc>
          <w:tcPr>
            <w:tcW w:w="31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231,353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222,924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471,481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451,600</w:t>
            </w:r>
          </w:p>
        </w:tc>
      </w:tr>
      <w:tr>
        <w:trPr>
          <w:trHeight w:val="230"/>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9,221</w:t>
            </w: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(f)</w:t>
            </w: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SG&amp;A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221,772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217,387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452,285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442,033</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SG&amp;A from continuing operations Percent of Net Revenue</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51.2 %</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51.6 %</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50.5 %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r>
      <w:tr>
        <w:trPr>
          <w:trHeight w:val="176"/>
        </w:trPr>
        <w:tc>
          <w:tcPr>
            <w:tcW w:w="5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Adjusted SG&amp;A from continuing operations Percent of Net</w:t>
            </w:r>
          </w:p>
        </w:tc>
        <w:tc>
          <w:tcPr>
            <w:tcW w:w="1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49.1 %</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50.3 %</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48.4 %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r>
    </w:tbl>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w:t>
      </w:r>
    </w:p>
    <w:p>
      <w:pPr>
        <w:spacing w:after="0" w:line="200" w:lineRule="exact"/>
        <w:rPr>
          <w:sz w:val="20"/>
          <w:szCs w:val="20"/>
          <w:color w:val="auto"/>
        </w:rPr>
      </w:pPr>
    </w:p>
    <w:p>
      <w:pPr>
        <w:spacing w:after="0" w:line="380" w:lineRule="exact"/>
        <w:rPr>
          <w:sz w:val="20"/>
          <w:szCs w:val="20"/>
          <w:color w:val="auto"/>
        </w:rPr>
      </w:pPr>
    </w:p>
    <w:p>
      <w:pPr>
        <w:ind w:left="640" w:hanging="32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20" w:hanging="30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impairment of property, equipment and lease-related assets on closed or underperforming stores.</w:t>
      </w:r>
    </w:p>
    <w:p>
      <w:pPr>
        <w:spacing w:after="0" w:line="11" w:lineRule="exact"/>
        <w:rPr>
          <w:rFonts w:ascii="Times New Roman" w:cs="Times New Roman" w:eastAsia="Times New Roman" w:hAnsi="Times New Roman"/>
          <w:sz w:val="14"/>
          <w:szCs w:val="14"/>
          <w:color w:val="auto"/>
        </w:rPr>
      </w:pPr>
    </w:p>
    <w:p>
      <w:pPr>
        <w:ind w:left="640" w:hanging="32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4" w:lineRule="exact"/>
        <w:rPr>
          <w:rFonts w:ascii="Times New Roman" w:cs="Times New Roman" w:eastAsia="Times New Roman" w:hAnsi="Times New Roman"/>
          <w:sz w:val="14"/>
          <w:szCs w:val="14"/>
          <w:color w:val="auto"/>
        </w:rPr>
      </w:pPr>
    </w:p>
    <w:p>
      <w:pPr>
        <w:ind w:left="640" w:right="640" w:hanging="328"/>
        <w:spacing w:after="0" w:line="261" w:lineRule="auto"/>
        <w:tabs>
          <w:tab w:leader="none" w:pos="6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jc w:val="both"/>
        <w:ind w:left="640" w:right="640" w:hanging="328"/>
        <w:spacing w:after="0" w:line="254" w:lineRule="auto"/>
        <w:tabs>
          <w:tab w:leader="none" w:pos="63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640" w:hanging="32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and CRM implementation.</w:t>
      </w:r>
    </w:p>
    <w:p>
      <w:pPr>
        <w:spacing w:after="0" w:line="14" w:lineRule="exact"/>
        <w:rPr>
          <w:rFonts w:ascii="Times New Roman" w:cs="Times New Roman" w:eastAsia="Times New Roman" w:hAnsi="Times New Roman"/>
          <w:sz w:val="14"/>
          <w:szCs w:val="14"/>
          <w:color w:val="auto"/>
        </w:rPr>
      </w:pPr>
    </w:p>
    <w:p>
      <w:pPr>
        <w:jc w:val="both"/>
        <w:ind w:left="640" w:right="620" w:hanging="328"/>
        <w:spacing w:after="0" w:line="258" w:lineRule="auto"/>
        <w:tabs>
          <w:tab w:leader="none" w:pos="6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$2.3 million and $4.1 million for the three and six months ended June 29, 2024, respectively,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 Other adjustments for Adjusted SG&amp;A exclude gains and losses on other investments.</w:t>
      </w:r>
    </w:p>
    <w:p>
      <w:pPr>
        <w:spacing w:after="0" w:line="1" w:lineRule="exact"/>
        <w:rPr>
          <w:rFonts w:ascii="Times New Roman" w:cs="Times New Roman" w:eastAsia="Times New Roman" w:hAnsi="Times New Roman"/>
          <w:sz w:val="14"/>
          <w:szCs w:val="14"/>
          <w:color w:val="auto"/>
        </w:rPr>
      </w:pPr>
    </w:p>
    <w:p>
      <w:pPr>
        <w:ind w:left="640" w:right="640" w:hanging="328"/>
        <w:spacing w:after="0" w:line="251" w:lineRule="auto"/>
        <w:tabs>
          <w:tab w:leader="none" w:pos="6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including tax expense (benefit) from stock-based compensation.</w:t>
      </w:r>
    </w:p>
    <w:p>
      <w:pPr>
        <w:jc w:val="both"/>
        <w:ind w:left="640" w:right="640" w:hanging="328"/>
        <w:spacing w:after="0" w:line="272" w:lineRule="auto"/>
        <w:tabs>
          <w:tab w:leader="none" w:pos="62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primarily costs related to the Walmart partnership termination and wind down of AC Lens of $2.9 million and $5.7 million for the three and six months ended June 29, 2024, respectively. and amortization of the increase in carrying values of finite-lived intangible assets resulting from the application of purchase accounting following the acquisition of the Company by affiliates of KKR &amp; Co. Inc of $1.5 million and $3.0 million for the three and six months ended July 1, 2023,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40" w:top="927" w:right="359" w:bottom="1440" w:gutter="0" w:footer="0" w:header="0"/>
        </w:sectPr>
      </w:pPr>
    </w:p>
    <w:bookmarkStart w:id="17" w:name="page18"/>
    <w:bookmarkEnd w:id="17"/>
    <w:p>
      <w:pPr>
        <w:ind w:left="20" w:right="820"/>
        <w:spacing w:after="0" w:line="239" w:lineRule="auto"/>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from Continuing Operations to Total Comparable Store Sales Growth from Continuing Operations</w:t>
      </w: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5"/>
          </w:tcPr>
          <w:p>
            <w:pPr>
              <w:ind w:left="180"/>
              <w:spacing w:after="0" w:line="244" w:lineRule="exact"/>
              <w:rPr>
                <w:sz w:val="20"/>
                <w:szCs w:val="20"/>
                <w:color w:val="auto"/>
              </w:rPr>
            </w:pPr>
            <w:r>
              <w:rPr>
                <w:rFonts w:ascii="Times New Roman" w:cs="Times New Roman" w:eastAsia="Times New Roman" w:hAnsi="Times New Roman"/>
                <w:sz w:val="18"/>
                <w:szCs w:val="18"/>
                <w:color w:val="auto"/>
              </w:rPr>
              <w:t xml:space="preserve">Comparable store sales growth from continuing operations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4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48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Ended June 29,</w:t>
            </w:r>
          </w:p>
        </w:tc>
        <w:tc>
          <w:tcPr>
            <w:tcW w:w="14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Ended July 1,</w:t>
            </w:r>
          </w:p>
        </w:tc>
        <w:tc>
          <w:tcPr>
            <w:tcW w:w="172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2024 Outlook </w:t>
            </w:r>
            <w:r>
              <w:rPr>
                <w:rFonts w:ascii="Times New Roman" w:cs="Times New Roman" w:eastAsia="Times New Roman" w:hAnsi="Times New Roman"/>
                <w:sz w:val="23"/>
                <w:szCs w:val="23"/>
                <w:color w:val="auto"/>
                <w:w w:val="96"/>
                <w:vertAlign w:val="superscript"/>
              </w:rPr>
              <w:t>(b)</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29, 2024</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 Best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Eyeglass World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Military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Fred Meyer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comparable store sales growth from</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 - 2.0%</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for effects of: </w:t>
            </w:r>
            <w:r>
              <w:rPr>
                <w:rFonts w:ascii="Times New Roman" w:cs="Times New Roman" w:eastAsia="Times New Roman" w:hAnsi="Times New Roman"/>
                <w:sz w:val="23"/>
                <w:szCs w:val="23"/>
                <w:color w:val="auto"/>
                <w:vertAlign w:val="superscript"/>
              </w:rPr>
              <w:t>(b)</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&amp; deferred revenue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Comparable Store Sales Growth</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 - 1.5%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20" w:right="160" w:hanging="250"/>
        <w:spacing w:after="0" w:line="271" w:lineRule="auto"/>
        <w:tabs>
          <w:tab w:leader="none" w:pos="37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is calculated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in our Quarterly Report on Form 10-Q for the period ended June 29, 2024.</w:t>
      </w:r>
    </w:p>
    <w:p>
      <w:pPr>
        <w:spacing w:after="0" w:line="63" w:lineRule="exact"/>
        <w:rPr>
          <w:rFonts w:ascii="Times New Roman" w:cs="Times New Roman" w:eastAsia="Times New Roman" w:hAnsi="Times New Roman"/>
          <w:sz w:val="14"/>
          <w:szCs w:val="14"/>
          <w:color w:val="auto"/>
        </w:rPr>
      </w:pPr>
    </w:p>
    <w:p>
      <w:pPr>
        <w:jc w:val="both"/>
        <w:ind w:left="420" w:right="160" w:hanging="250"/>
        <w:spacing w:after="0" w:line="279" w:lineRule="auto"/>
        <w:tabs>
          <w:tab w:leader="none" w:pos="38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 with respect to the Company’s 2024 Outlook, Adjusted Comparable Store Sales Growth includes an estimated 0.5% decrease for the effect of deferred and unearned revenue as if such revenues were earned at the point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investor.relations@nationalvision.com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2024-08-07T05:42:25Z</dcterms:created>
  <dcterms:modified xsi:type="dcterms:W3CDTF">2024-08-07T05:42:25Z</dcterms:modified>
</cp:coreProperties>
</file>