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Earliest Event report):</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November 7, 2019</w:t>
      </w:r>
    </w:p>
    <w:p>
      <w:pPr>
        <w:spacing w:after="0" w:line="8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248" w:lineRule="exact"/>
        <w:rPr>
          <w:sz w:val="24"/>
          <w:szCs w:val="24"/>
          <w:color w:val="auto"/>
        </w:rPr>
      </w:pPr>
    </w:p>
    <w:tbl>
      <w:tblPr>
        <w:tblLayout w:type="fixed"/>
        <w:tblInd w:w="2340" w:type="dxa"/>
        <w:tblCellMar>
          <w:top w:w="0" w:type="dxa"/>
          <w:left w:w="0" w:type="dxa"/>
          <w:bottom w:w="0" w:type="dxa"/>
          <w:right w:w="0" w:type="dxa"/>
        </w:tblCellMar>
      </w:tblPr>
      <w:tr>
        <w:trPr>
          <w:trHeight w:val="212"/>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49"/>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8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8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40"/>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w w:val="99"/>
              </w:rPr>
              <w:t>Building 2200</w:t>
            </w:r>
          </w:p>
        </w:tc>
        <w:tc>
          <w:tcPr>
            <w:tcW w:w="28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70"/>
        </w:trPr>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 xml:space="preserve">Duluth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Georgia</w:t>
            </w:r>
          </w:p>
        </w:tc>
        <w:tc>
          <w:tcPr>
            <w:tcW w:w="28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60"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6"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82"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w:t>
      </w:r>
    </w:p>
    <w:p>
      <w:pPr>
        <w:spacing w:after="0" w:line="138"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378"/>
        </w:trPr>
        <w:tc>
          <w:tcPr>
            <w:tcW w:w="4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EYE</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1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420"/>
          </w:cols>
          <w:pgMar w:left="240" w:top="106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7, 2019, National Vision Holdings, Inc. (“National Vision”) issued a press release announcing financial results for the quarter ended September 28, 2019. A copy of the release is furnished herewith as Exhibit 99.1 and incorporated by reference herein.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7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40" w:type="dxa"/>
            <w:vAlign w:val="bottom"/>
          </w:tcPr>
          <w:p>
            <w:pPr>
              <w:spacing w:after="0"/>
              <w:rPr>
                <w:sz w:val="24"/>
                <w:szCs w:val="24"/>
                <w:color w:val="auto"/>
              </w:rPr>
            </w:pP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50"/>
        </w:trPr>
        <w:tc>
          <w:tcPr>
            <w:tcW w:w="840" w:type="dxa"/>
            <w:vAlign w:val="bottom"/>
            <w:gridSpan w:val="2"/>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540" w:type="dxa"/>
            <w:vAlign w:val="bottom"/>
          </w:tcPr>
          <w:p>
            <w:pPr>
              <w:spacing w:after="0"/>
              <w:rPr>
                <w:sz w:val="21"/>
                <w:szCs w:val="21"/>
                <w:color w:val="auto"/>
              </w:rPr>
            </w:pP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National Vision Holdings, Inc. Press Release dated November 7, 2019.</w:t>
            </w:r>
          </w:p>
        </w:tc>
      </w:tr>
      <w:tr>
        <w:trPr>
          <w:trHeight w:val="272"/>
        </w:trPr>
        <w:tc>
          <w:tcPr>
            <w:tcW w:w="300" w:type="dxa"/>
            <w:vAlign w:val="bottom"/>
            <w:tcBorders>
              <w:top w:val="single" w:sz="8" w:color="0000FF"/>
            </w:tcBorders>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embedded within Inline XBRL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2"/>
        </w:trPr>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cover page of the Company’s Press Release on Form 8-K for the quarter ended September 28, 2019, formatted in Inline</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XBRL (included within the Exhibit 101 attachments)</w:t>
            </w:r>
          </w:p>
        </w:tc>
      </w:tr>
    </w:tbl>
    <w:p>
      <w:pPr>
        <w:sectPr>
          <w:pgSz w:w="11900" w:h="16838" w:orient="portrait"/>
          <w:cols w:equalWidth="0" w:num="1">
            <w:col w:w="11180"/>
          </w:cols>
          <w:pgMar w:left="280" w:top="576" w:right="43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32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8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5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7"/>
        </w:trPr>
        <w:tc>
          <w:tcPr>
            <w:tcW w:w="29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25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Name:</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70"/>
        </w:trPr>
        <w:tc>
          <w:tcPr>
            <w:tcW w:w="2960" w:type="dxa"/>
            <w:vAlign w:val="bottom"/>
          </w:tcPr>
          <w:p>
            <w:pPr>
              <w:spacing w:after="0"/>
              <w:rPr>
                <w:sz w:val="23"/>
                <w:szCs w:val="23"/>
                <w:color w:val="auto"/>
              </w:rPr>
            </w:pPr>
          </w:p>
        </w:tc>
        <w:tc>
          <w:tcPr>
            <w:tcW w:w="25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320"/>
          </w:cols>
          <w:pgMar w:left="240" w:top="57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92175" cy="892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9217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Third Quarter 2019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Raises Fiscal 2019 Outlook</w:t>
      </w:r>
    </w:p>
    <w:p>
      <w:pPr>
        <w:spacing w:after="0" w:line="200" w:lineRule="exact"/>
        <w:rPr>
          <w:sz w:val="20"/>
          <w:szCs w:val="20"/>
          <w:color w:val="auto"/>
        </w:rPr>
      </w:pPr>
    </w:p>
    <w:p>
      <w:pPr>
        <w:spacing w:after="0" w:line="21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increased 11.5% to $431.9 million</w:t>
      </w:r>
    </w:p>
    <w:p>
      <w:pPr>
        <w:spacing w:after="0" w:line="2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71st consecutive quarter of positive comparable store sales growth</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5.7%; Adjusted comparable store sales growth of 6.2%</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income of $1.2 million; Adjusted net income increased 65.8% to $14.5 million</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increased 24.7% to $47.9 million</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Diluted EPS of $0.01; Adjusted diluted EPS increased 62.0% to $0.18</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7, 2019 </w:t>
      </w:r>
      <w:r>
        <w:rPr>
          <w:rFonts w:ascii="Times New Roman" w:cs="Times New Roman" w:eastAsia="Times New Roman" w:hAnsi="Times New Roman"/>
          <w:sz w:val="18"/>
          <w:szCs w:val="18"/>
          <w:color w:val="auto"/>
        </w:rPr>
        <w:t>-- National Vision Holdings, Inc. (NASDAQ: EYE) (“National Vision” or the “Company”) today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third quarter ended September 28, 2019.</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Reade Fahs, chief executive officer, stated, “We are very pleased with our third quarter and year-to-date results. We experienced strong operating momentum throughout the third quarter with double-digit gains in net revenue and adjusted EBITDA growth. The National Vision team delivered its 71st consecutive quarter of positive comparable store sales growth, which demonstrates the consistency and predictability of our business model. These results reflect the ongoing strength of our attractive value proposition that continued to resonate with patients and customers. We opened 17 stores in the quarter, and are on track to achieve our 2019 store opening plans. As 2019 comes to a close, we remain excited about our potential growth opportunities in U.S. value optical retail.”</w:t>
      </w:r>
    </w:p>
    <w:p>
      <w:pPr>
        <w:spacing w:after="0" w:line="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comparable store sales growth, adjusted diluted EPS, adjusted EBITDA, adjusted EBITDA margin, adjusted net income, and EBITDA are not measures recognized under generally accepted accounting principles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Please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Reconciliation of GAAP to Non-GAAP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2019 Summary</w:t>
      </w:r>
    </w:p>
    <w:p>
      <w:pPr>
        <w:spacing w:after="0" w:line="31" w:lineRule="exact"/>
        <w:rPr>
          <w:sz w:val="20"/>
          <w:szCs w:val="20"/>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11.5% to $431.9 million from $387.4 million for the third quarter of 2018. Net revenue was negatively impacted by approximately 80 basis points due to the timing of unearned revenue.</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5.7% and adjusted comparable store sales growth was 6.2% for the third quarter of 2019.</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17 new stores, and ended the quarter with 1,145 stores. Overall, store count grew 7.3% from September 29, 2018 to September 28, 2019.</w:t>
      </w: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12.0% to $204.5 million from $182.6 million for the third quarter of 2018. As a percentage of net revenue, costs applicable to revenue increased 20 basis points to 47.3% from 47.1% for the third quarter of 2018. This increase as a percentage of net revenue was primarily driven by increased net revenue from AC Lens contact lens distribution business growth. Additionally, higher eyeglass margin and a higher mix of exam sales were partially offset by higher optometrist costs.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(“SG&amp;A”) increased 2.8% to $190.3 million from $185.0 million for the third quarter of 2018. As a percentage of net revenue, SG&amp;A decreased 370 basis points to 44.1% from 47.8% for the third quarter of 2018. This decrease as a percentage of net revenue was primarily driven by lower stock compensation expense and cash expenses pursuant to an incentive plan for non-executive employees, increased net revenue from AC Lens contact lens distribution business growth, and store payroll and advertising leverage.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$1.2 million compared to net income of $5.2 million for the third quarter of 2018. Diluted earnings per share was $0.01 compared to $0.06 for the third quarter of 2018.</w:t>
      </w: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65.8% to $14.5 million compared to $8.7 million for the third quarter of 2018. Adjusted diluted EPS increased 62.0% to $0.18 per diluted share compared to $0.11 per diluted share for the third quarter of 2018. The net change in margin on unearned revenue negatively impacted year-over-year adjusted net income growth by 2,100 basis points.</w:t>
      </w:r>
    </w:p>
    <w:p>
      <w:pPr>
        <w:sectPr>
          <w:pgSz w:w="11900" w:h="16838" w:orient="portrait"/>
          <w:cols w:equalWidth="0" w:num="1">
            <w:col w:w="11420"/>
          </w:cols>
          <w:pgMar w:left="240" w:top="1440" w:right="239" w:bottom="1440" w:gutter="0" w:footer="0" w:header="0"/>
        </w:sectPr>
      </w:pPr>
    </w:p>
    <w:bookmarkStart w:id="5" w:name="page6"/>
    <w:bookmarkEnd w:id="5"/>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24.7% to $47.9 million compared to $38.4 million for the third quarter of 2018. The net change in margin on unearned revenue negatively impacted year-over-year adjusted EBITDA growth by 650 basis points. Adjusted EBITDA margin increased 120 basis points to 11.1% from 9.9% for the third quarter of 2018, primarily due to higher eyeglass margin, and store payroll and advertising leverage, partially offset by increased net revenue from AC Lens contact lens distribution business growth and the net change in margin on unearned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Period Highlights</w:t>
      </w:r>
    </w:p>
    <w:p>
      <w:pPr>
        <w:spacing w:after="0" w:line="31" w:lineRule="exact"/>
        <w:rPr>
          <w:sz w:val="20"/>
          <w:szCs w:val="20"/>
          <w:color w:val="auto"/>
        </w:rPr>
      </w:pPr>
    </w:p>
    <w:p>
      <w:pPr>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12.0% to $1.3 billion from $1.2 billion for the same period of 2018. Net revenue was negatively impacted by 60 basis points due to the timing of unearned revenue.</w:t>
      </w: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5.5% and adjusted comparable store sales growth was 5.6%.</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67 new stores, closed 4 stores and ended the quarter with 1,145 stores. Overall, store count grew 7.3% from September 29, 2018 to September 28, 2019.</w:t>
      </w: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14.6% to $619.0 million from $540.1 million for the same period of 2018. As a percentage of net revenue, costs applicable to revenue increased 110 basis points to 46.8% from 45.7% for the same period of 2018. This increase as a percentage of net revenue was primarily driven by increased net revenue from AC Lens contact lens distribution business growth. Additionally, higher eyeglass margin and a higher mix of exam sales were offset by higher optometrist costs.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8.7% to $566.4 million from $521.3 million for the same period of 2018. As a percentage of net revenue, SG&amp;A decreased 130 basis points to 42.8% from 44.1% for the same period of 2018. This decrease as a percentage of net revenue was primarily driven by increased net revenue from AC Lens contact lens distribution business growth and store payroll leverage.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$28.9 million compared to net income of $42.1 million for the same period of 2018. Diluted EPS was $0.35 compared to $0.54 per share for the same period of 2018.</w:t>
      </w: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12.9% to $57.4 million compared to $50.9 million for the same period of 2018. Adjusted diluted EPS increased 8.8% to $0.70 per diluted share compared to $0.65 per diluted share for the same period of 2018. The net change in margin on unearned revenue negatively impacted year-over-year adjusted net income growth by 740 basis points.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10.6% to $161.1 million compared to $145.6 million for the same period of 2018. The net change in margin on unearned revenue negatively impacted year-over-year adjusted EBITDA growth by 350 basis points. Adjusted EBITDA margin decreased to 12.2% from 12.3% for the same period of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 as of September 28, 2019</w:t>
      </w:r>
    </w:p>
    <w:p>
      <w:pPr>
        <w:spacing w:after="0" w:line="31" w:lineRule="exact"/>
        <w:rPr>
          <w:sz w:val="20"/>
          <w:szCs w:val="20"/>
          <w:color w:val="auto"/>
        </w:rPr>
      </w:pPr>
    </w:p>
    <w:p>
      <w:pPr>
        <w:ind w:left="340" w:right="2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balance was $94.1 million as of September 28, 2019. The Company had $148.0 million in borrowings under its $300.0 million first lien revolving credit facility, exclusive of letters of credit of $5.5 million.</w:t>
      </w: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$598.0 million as of September 28, 2019, consisting of outstanding first lien term loans, first lien revolving credit facility and finance lease obligations.</w:t>
      </w:r>
    </w:p>
    <w:p>
      <w:pPr>
        <w:ind w:left="340" w:hanging="332"/>
        <w:spacing w:after="0" w:line="265"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18, 2019, the Company amended its credit agreement to establish new first lien term loans ("Term Loan") and a new revolving credit facility, and used $568 million in proceeds from the Term Loan and new revolving credit facility to repay all outstanding loans under the existing credit agreement.</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the first nine months of 2019 were $170.9 million compared to $116.0 million for the same period of 2018.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first nine months of 2019 totaled $76.5 million compared to $78.8 million for the same period of 2018.</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2019, the Company completed a secondary offering pursuant to which KKR Vision Aggregator L.P. sold 9,149,908 shares of the Company's common stock in an underwritten offering. The Company did not receive any proceeds from the offering. Concurrent with the secondary offering, the Company repurchased 819,134 shares of common stock for an aggregate of $25.0 million. As a result of the underwritten offering and the share repurchase, KKR no longer owns any shares of the Company's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1" w:lineRule="exact"/>
        <w:rPr>
          <w:sz w:val="20"/>
          <w:szCs w:val="20"/>
          <w:color w:val="auto"/>
        </w:rPr>
      </w:pPr>
    </w:p>
    <w:p>
      <w:pPr>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2019, the Company used cash on hand to make a $25.0 million voluntary prepayment of outstanding principal under the Term Loan of its credit agreement.</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Fiscal 2019 Outlook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updates its outlook for the fiscal year ending December 28, 2019, as follows:</w:t>
      </w:r>
    </w:p>
    <w:p>
      <w:pPr>
        <w:spacing w:after="0" w:line="14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Updated Fiscal 2019 Outlook</w:t>
            </w:r>
          </w:p>
        </w:tc>
        <w:tc>
          <w:tcPr>
            <w:tcW w:w="3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Fiscal 2019 Outlook</w:t>
            </w:r>
          </w:p>
        </w:tc>
      </w:tr>
      <w:tr>
        <w:trPr>
          <w:trHeight w:val="27"/>
        </w:trPr>
        <w:tc>
          <w:tcPr>
            <w:tcW w:w="3500" w:type="dxa"/>
            <w:vAlign w:val="bottom"/>
          </w:tcPr>
          <w:p>
            <w:pPr>
              <w:spacing w:after="0"/>
              <w:rPr>
                <w:sz w:val="2"/>
                <w:szCs w:val="2"/>
                <w:color w:val="auto"/>
              </w:rPr>
            </w:pPr>
          </w:p>
        </w:tc>
        <w:tc>
          <w:tcPr>
            <w:tcW w:w="3760" w:type="dxa"/>
            <w:vAlign w:val="bottom"/>
            <w:tcBorders>
              <w:bottom w:val="single" w:sz="8" w:color="auto"/>
            </w:tcBorders>
            <w:gridSpan w:val="2"/>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r>
      <w:tr>
        <w:trPr>
          <w:trHeight w:val="237"/>
        </w:trPr>
        <w:tc>
          <w:tcPr>
            <w:tcW w:w="35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New Stores</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 New Stores</w:t>
            </w:r>
          </w:p>
        </w:tc>
        <w:tc>
          <w:tcPr>
            <w:tcW w:w="36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~75 New Stores</w:t>
            </w:r>
          </w:p>
        </w:tc>
      </w:tr>
      <w:tr>
        <w:trPr>
          <w:trHeight w:val="270"/>
        </w:trPr>
        <w:tc>
          <w:tcPr>
            <w:tcW w:w="35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Adjusted Comparable Store Sales Growth</w:t>
            </w:r>
          </w:p>
        </w:tc>
        <w:tc>
          <w:tcPr>
            <w:tcW w:w="1500" w:type="dxa"/>
            <w:vAlign w:val="bottom"/>
          </w:tcPr>
          <w:p>
            <w:pPr>
              <w:spacing w:after="0"/>
              <w:rPr>
                <w:sz w:val="23"/>
                <w:szCs w:val="23"/>
                <w:color w:val="auto"/>
              </w:rPr>
            </w:pPr>
          </w:p>
        </w:tc>
        <w:tc>
          <w:tcPr>
            <w:tcW w:w="22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5 - 5.5%</w:t>
            </w:r>
          </w:p>
        </w:tc>
        <w:tc>
          <w:tcPr>
            <w:tcW w:w="1440" w:type="dxa"/>
            <w:vAlign w:val="bottom"/>
          </w:tcPr>
          <w:p>
            <w:pPr>
              <w:spacing w:after="0"/>
              <w:rPr>
                <w:sz w:val="23"/>
                <w:szCs w:val="23"/>
                <w:color w:val="auto"/>
              </w:rPr>
            </w:pPr>
          </w:p>
        </w:tc>
        <w:tc>
          <w:tcPr>
            <w:tcW w:w="222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3 - 5%</w:t>
            </w:r>
          </w:p>
        </w:tc>
      </w:tr>
      <w:tr>
        <w:trPr>
          <w:trHeight w:val="306"/>
        </w:trPr>
        <w:tc>
          <w:tcPr>
            <w:tcW w:w="35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Net Revenue</w:t>
            </w:r>
            <w:r>
              <w:rPr>
                <w:rFonts w:ascii="Times New Roman" w:cs="Times New Roman" w:eastAsia="Times New Roman" w:hAnsi="Times New Roman"/>
                <w:sz w:val="25"/>
                <w:szCs w:val="25"/>
                <w:color w:val="auto"/>
                <w:w w:val="98"/>
                <w:vertAlign w:val="superscript"/>
              </w:rPr>
              <w:t>1</w:t>
            </w:r>
          </w:p>
        </w:tc>
        <w:tc>
          <w:tcPr>
            <w:tcW w:w="37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$1.705 - $1.712 billion</w:t>
            </w:r>
          </w:p>
        </w:tc>
        <w:tc>
          <w:tcPr>
            <w:tcW w:w="3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$1.675 - $1.705 billion</w:t>
            </w:r>
          </w:p>
        </w:tc>
      </w:tr>
      <w:tr>
        <w:trPr>
          <w:trHeight w:val="234"/>
        </w:trPr>
        <w:tc>
          <w:tcPr>
            <w:tcW w:w="35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Adjusted EBITDA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$192 million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$191 million</w:t>
            </w:r>
          </w:p>
        </w:tc>
      </w:tr>
      <w:tr>
        <w:trPr>
          <w:trHeight w:val="270"/>
        </w:trPr>
        <w:tc>
          <w:tcPr>
            <w:tcW w:w="35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Adjusted Net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$58.5 million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$56.5 million</w:t>
            </w:r>
          </w:p>
        </w:tc>
      </w:tr>
      <w:tr>
        <w:trPr>
          <w:trHeight w:val="270"/>
        </w:trPr>
        <w:tc>
          <w:tcPr>
            <w:tcW w:w="35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Depreciation and Amortization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$88 million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$90 million</w:t>
            </w:r>
          </w:p>
        </w:tc>
      </w:tr>
      <w:tr>
        <w:trPr>
          <w:trHeight w:val="306"/>
        </w:trPr>
        <w:tc>
          <w:tcPr>
            <w:tcW w:w="35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6"/>
              </w:rPr>
              <w:t>Interest</w:t>
            </w:r>
            <w:r>
              <w:rPr>
                <w:rFonts w:ascii="Times New Roman" w:cs="Times New Roman" w:eastAsia="Times New Roman" w:hAnsi="Times New Roman"/>
                <w:sz w:val="25"/>
                <w:szCs w:val="25"/>
                <w:color w:val="auto"/>
                <w:w w:val="96"/>
                <w:vertAlign w:val="superscript"/>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$35 million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$35 million</w:t>
            </w:r>
          </w:p>
        </w:tc>
      </w:tr>
      <w:tr>
        <w:trPr>
          <w:trHeight w:val="270"/>
        </w:trPr>
        <w:tc>
          <w:tcPr>
            <w:tcW w:w="3500" w:type="dxa"/>
            <w:vAlign w:val="bottom"/>
          </w:tcPr>
          <w:p>
            <w:pPr>
              <w:jc w:val="center"/>
              <w:ind w:right="390"/>
              <w:spacing w:after="0" w:line="270" w:lineRule="exact"/>
              <w:rPr>
                <w:sz w:val="20"/>
                <w:szCs w:val="20"/>
                <w:color w:val="auto"/>
              </w:rPr>
            </w:pPr>
            <w:r>
              <w:rPr>
                <w:rFonts w:ascii="Times New Roman" w:cs="Times New Roman" w:eastAsia="Times New Roman" w:hAnsi="Times New Roman"/>
                <w:sz w:val="18"/>
                <w:szCs w:val="18"/>
                <w:color w:val="auto"/>
                <w:w w:val="94"/>
              </w:rPr>
              <w:t>Tax Rate</w:t>
            </w:r>
            <w:r>
              <w:rPr>
                <w:rFonts w:ascii="Times New Roman" w:cs="Times New Roman" w:eastAsia="Times New Roman" w:hAnsi="Times New Roman"/>
                <w:sz w:val="25"/>
                <w:szCs w:val="25"/>
                <w:color w:val="auto"/>
                <w:w w:val="94"/>
                <w:vertAlign w:val="superscript"/>
              </w:rPr>
              <w:t>3</w:t>
            </w:r>
          </w:p>
        </w:tc>
        <w:tc>
          <w:tcPr>
            <w:tcW w:w="1500" w:type="dxa"/>
            <w:vAlign w:val="bottom"/>
          </w:tcPr>
          <w:p>
            <w:pPr>
              <w:spacing w:after="0"/>
              <w:rPr>
                <w:sz w:val="23"/>
                <w:szCs w:val="23"/>
                <w:color w:val="auto"/>
              </w:rPr>
            </w:pPr>
          </w:p>
        </w:tc>
        <w:tc>
          <w:tcPr>
            <w:tcW w:w="22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~26.0%</w:t>
            </w:r>
          </w:p>
        </w:tc>
        <w:tc>
          <w:tcPr>
            <w:tcW w:w="1440" w:type="dxa"/>
            <w:vAlign w:val="bottom"/>
          </w:tcPr>
          <w:p>
            <w:pPr>
              <w:spacing w:after="0"/>
              <w:rPr>
                <w:sz w:val="23"/>
                <w:szCs w:val="23"/>
                <w:color w:val="auto"/>
              </w:rPr>
            </w:pPr>
          </w:p>
        </w:tc>
        <w:tc>
          <w:tcPr>
            <w:tcW w:w="22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~26.0%</w:t>
            </w:r>
          </w:p>
        </w:tc>
      </w:tr>
      <w:tr>
        <w:trPr>
          <w:trHeight w:val="234"/>
        </w:trPr>
        <w:tc>
          <w:tcPr>
            <w:tcW w:w="35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Capital Expenditures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$105 million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$105 million</w:t>
            </w:r>
          </w:p>
        </w:tc>
      </w:tr>
    </w:tbl>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1 - Includes approximately $27 million in incremental net revenue from AC Lens contact lens distribution business growth</w:t>
      </w:r>
    </w:p>
    <w:p>
      <w:pPr>
        <w:ind w:left="40"/>
        <w:spacing w:after="0" w:line="229" w:lineRule="auto"/>
        <w:rPr>
          <w:sz w:val="20"/>
          <w:szCs w:val="20"/>
          <w:color w:val="auto"/>
        </w:rPr>
      </w:pPr>
      <w:r>
        <w:rPr>
          <w:rFonts w:ascii="Times New Roman" w:cs="Times New Roman" w:eastAsia="Times New Roman" w:hAnsi="Times New Roman"/>
          <w:sz w:val="14"/>
          <w:szCs w:val="14"/>
          <w:i w:val="1"/>
          <w:iCs w:val="1"/>
          <w:color w:val="auto"/>
        </w:rPr>
        <w:t>2 - Updated for debt refinancing in second quarter 2019 earnings release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3 - Excluding the impact of stock option exercises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fiscal 2019 outlook information provided above includes Adjusted EBITDA and Adjusted Net Income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2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fiscal 2019 outlook information provided above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conference call to discuss the third quarter 2019 financial results is scheduled for today, November 7, 2019, at 10:00 a.m. Eastern Time. The U.S. toll free dial-in for the conference call is 866-754-6931 and the international dial-in is 636-812-6625. The conference passcode is 8077817. A live audio webcast of the conference call will be available on the “Investors” section of the Company’s website </w:t>
      </w:r>
      <w:r>
        <w:rPr>
          <w:rFonts w:ascii="Times New Roman" w:cs="Times New Roman" w:eastAsia="Times New Roman" w:hAnsi="Times New Roman"/>
          <w:sz w:val="18"/>
          <w:szCs w:val="18"/>
          <w:u w:val="single" w:color="auto"/>
          <w:color w:val="0000FF"/>
        </w:rPr>
        <w:t>www.nationalvision.com/investors</w:t>
      </w:r>
      <w:r>
        <w:rPr>
          <w:rFonts w:ascii="Times New Roman" w:cs="Times New Roman" w:eastAsia="Times New Roman" w:hAnsi="Times New Roman"/>
          <w:sz w:val="18"/>
          <w:szCs w:val="18"/>
          <w:color w:val="auto"/>
        </w:rPr>
        <w:t>, where presentation materials will be posted prior to the conference call.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telephone replay will be available shortly after the broadcast through Thursday, November 14, 2019, by dialing 855-859-2056 from the U.S. or 404-537-3406 from international locations, and entering conference passcode 8077817. A replay of the audio webcast will also be archived on the “Investors” section of the Company’s website.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Vision Holdings, Inc. is one of the largest optical retail companies in the United States with over 1,100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eyecare needs.</w:t>
      </w:r>
    </w:p>
    <w:p>
      <w:pPr>
        <w:sectPr>
          <w:pgSz w:w="11900" w:h="16838" w:orient="portrait"/>
          <w:cols w:equalWidth="0" w:num="1">
            <w:col w:w="11420"/>
          </w:cols>
          <w:pgMar w:left="240" w:top="792"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2019 Outlook" as well as other statements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 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recruit and retain vision care professionals for our stores; our relationships with managed vision care companies, vision insurance providers and other third-party payors; our operating relationships with our host and legacy partners; state, local and federal vision care and healthcare laws and regulations; our ability to maintain sufficient levels of cash flow from our operations to grow; the risk of loss or disruption in our distribution centers and optical laboratories; risks associated with vendors and suppliers from whom our products are sourced; macroeconomic factors and other factors impacting consumer spending beyond the Company’s control; competition in the optical retail industry; our dependence on a limited number of suppliers; risks associated with information technology systems and the security of personal information and payment card data collected by us and our vendors; any failure, inadequacy, interruption, security failure or breach of our information technology systems;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technological advances that may reduce demand for our products; product liability, product recall or personal injury issues; risks associated with managed vision care laws and regulations; our increasing reliance on third-party coverage and reimbursement; issues regarding inventory management; risks related to our e-commerce business; seasonal fluctuations in our business; we may incur losses arising from our investments in technological innovators in the optical retail industry; legal regulatory risks, including adverse judgments or settlements from legal proceedings; our ability to protect our intellectual property; the impact our leverage has on our ability to raise additional capital to fund our operations; risks related to our debt agreements, including restrictions that may limit our flexibility in operating our business; our ability to generate sufficient cash flow to satisfy our significant debt service obligations; our dependence on subsidiaries to fund all of our operations and expenses; risks associated with maintaining the requirements of being a public company, and risks related to our common stock, including our ability to comply with requirements to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and subsequent Quarterly Reports on Form 10-Q, which are accessible on the SEC’s website at www.sec.gov.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Net Income,” “Adjusted Diluted EPS,” “Adjusted SG&amp;A” and “Adjusted SG&amp;A Percent of Net Revenue.” We believe EBITDA, Adjusted EBITDA, Adjusted EBITDA Margin, Adjusted Net Income,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ectPr>
          <w:pgSz w:w="11900" w:h="16838" w:orient="portrait"/>
          <w:cols w:equalWidth="0" w:num="1">
            <w:col w:w="11420"/>
          </w:cols>
          <w:pgMar w:left="240" w:top="576" w:right="2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as net income, plus interest expense, income tax provision (benefit) and depreciation and amortization.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EBITDA, further adjusted to exclude stock compensation expense, loss on extinguishment of debt,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 new store pre-opening expenses, non-cash rent, secondary offering expenses, management realignment expenses, long-term incentive plan expense, and other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divided by net revenue.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w:t>
      </w:r>
      <w:r>
        <w:rPr>
          <w:rFonts w:ascii="Times New Roman" w:cs="Times New Roman" w:eastAsia="Times New Roman" w:hAnsi="Times New Roman"/>
          <w:sz w:val="18"/>
          <w:szCs w:val="18"/>
          <w:color w:val="auto"/>
        </w:rPr>
        <w:t>We define Adjusted Net Income as net income, plus stock compensation expense, loss on extinguishment of debt, asset impairment,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store pre-opening expenses, non-cash rent, secondary offering expenses, management realignment expenses, long-term incentive plan expense, other expenses, amortization of acquisition intangibles and deferred financing costs, tax benefit of stock option exercises, less the tax effect of these adjustments.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as Adjusted Net Income divided by weighted average diluted common shares outstanding.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as SG&amp;A, adjusted to exclude stock compensation expense, new store pre-opening expenses, non-cash 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secondary offering expenses, management realignment expenses, long-term incentive plan expense, and other expenses except for the share of losses on equity method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as Adjusted SG&amp;A divided by net revenue.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Adjusted Net Income, Adjusted Diluted EPS, Adjusted SG&amp;A, Adjusted SG&amp;A Percent of Net Revenue, and Adjusted Comparable Store Sales Growth are not recognized terms under GAAP and should not be considered as an alternative to net income,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28, 2019 and December 29,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As of</w:t>
            </w:r>
          </w:p>
        </w:tc>
        <w:tc>
          <w:tcPr>
            <w:tcW w:w="200" w:type="dxa"/>
            <w:vAlign w:val="bottom"/>
          </w:tcPr>
          <w:p>
            <w:pPr>
              <w:spacing w:after="0"/>
              <w:rPr>
                <w:sz w:val="18"/>
                <w:szCs w:val="18"/>
                <w:color w:val="auto"/>
              </w:rPr>
            </w:pPr>
          </w:p>
        </w:tc>
        <w:tc>
          <w:tcPr>
            <w:tcW w:w="17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7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September 28, 2019</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50,735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30,815</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278,649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214,704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355,117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777,613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64,532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1,799,775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1,446,685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2,078,424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1,661,389</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43,642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81,004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27,295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52,144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7,567</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211,652</w:t>
            </w:r>
          </w:p>
        </w:tc>
        <w:tc>
          <w:tcPr>
            <w:tcW w:w="0" w:type="dxa"/>
            <w:vAlign w:val="bottom"/>
          </w:tcPr>
          <w:p>
            <w:pPr>
              <w:spacing w:after="0"/>
              <w:rPr>
                <w:sz w:val="1"/>
                <w:szCs w:val="1"/>
                <w:color w:val="auto"/>
              </w:rPr>
            </w:pPr>
          </w:p>
        </w:tc>
      </w:tr>
      <w:tr>
        <w:trPr>
          <w:trHeight w:val="284"/>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 and finance lease obligations, less current portion and debt discount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570,545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operating lease obligations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53,964</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61,940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136,038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$0.01 par value; 200,000 shares authorized; 79,920 and 78,246 shares issued as of</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28, 2019 and December 29, 2018, respectively; 79,022 and 78,167 shares outstanding</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of September 28, 2019 and December 29, 2018, respectively</w:t>
            </w:r>
          </w:p>
        </w:tc>
        <w:tc>
          <w:tcPr>
            <w:tcW w:w="18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672,503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74,840</w:t>
            </w:r>
          </w:p>
        </w:tc>
        <w:tc>
          <w:tcPr>
            <w:tcW w:w="0" w:type="dxa"/>
            <w:vAlign w:val="bottom"/>
          </w:tcPr>
          <w:p>
            <w:pPr>
              <w:spacing w:after="0"/>
              <w:rPr>
                <w:sz w:val="1"/>
                <w:szCs w:val="1"/>
                <w:color w:val="auto"/>
              </w:rPr>
            </w:pPr>
          </w:p>
        </w:tc>
      </w:tr>
      <w:tr>
        <w:trPr>
          <w:trHeight w:val="225"/>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 stock, at cost; 898 and 79 shares as of September 28, 2019 and December 29, 2018,</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743,154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2,078,424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1,661,389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Operations and Comprehensive Income For the Three and Nine Months Ended September 28, 2019 and September 29, 2018 </w:t>
      </w:r>
      <w:r>
        <w:rPr>
          <w:rFonts w:ascii="Times New Roman" w:cs="Times New Roman" w:eastAsia="Times New Roman" w:hAnsi="Times New Roman"/>
          <w:sz w:val="18"/>
          <w:szCs w:val="18"/>
          <w:i w:val="1"/>
          <w:iCs w:val="1"/>
          <w:color w:val="auto"/>
        </w:rPr>
        <w:t>In Thousands, Except Earnings Per Share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8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29, 2018</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29, 2018</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355,789</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319,312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1,096,482</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977,497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76,113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226,086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203,435</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431,902</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387,425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1,322,568</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1,180,932</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1"/>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144,518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444,177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389,560</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 and plans</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59,984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150,541</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204,502</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182,588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618,978</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540,101</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190,290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185,028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566,444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521,344</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22,336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63,570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54,783</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216,288</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206,920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638,376</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579,093</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65,214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61,738</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28,144</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29,526</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33,594</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28,879</w:t>
            </w:r>
          </w:p>
        </w:tc>
        <w:tc>
          <w:tcPr>
            <w:tcW w:w="10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r>
      <w:tr>
        <w:trPr>
          <w:trHeight w:val="271"/>
        </w:trPr>
        <w:tc>
          <w:tcPr>
            <w:tcW w:w="4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0.56</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78,474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78,387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81,561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81,510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78,571</w:t>
            </w:r>
          </w:p>
        </w:tc>
      </w:tr>
      <w:tr>
        <w:trPr>
          <w:trHeight w:val="284"/>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28,879</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11,842</w:t>
            </w:r>
          </w:p>
        </w:tc>
      </w:tr>
      <w:tr>
        <w:trPr>
          <w:trHeight w:val="225"/>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provision (benefit) of unrealized gain (loss) on hedge</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instruments</w:t>
            </w:r>
          </w:p>
        </w:tc>
        <w:tc>
          <w:tcPr>
            <w:tcW w:w="5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3,033</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50,902</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0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28, 2019 and September 29,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jc w:val="right"/>
              <w:ind w:right="8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33"/>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28, 2019</w:t>
            </w:r>
          </w:p>
        </w:tc>
        <w:tc>
          <w:tcPr>
            <w:tcW w:w="12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September 29, 2018</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42,093</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63,570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54,783</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loan costs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1,287</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Asset impairment</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2,137</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13,749</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Inventory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2,491</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Bad debt expense</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4,981</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1,555</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(10,620)</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6,235</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11,062</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170,938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115,952</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(78,813)</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(75,908)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(78,677)</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issuance of long-term debt, net of discounts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566,550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14,032</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7,601</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44,876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5,193</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50,069</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28,988</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accrued at the end of the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9,060</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 of use assets acquired under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9,551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9,722</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Right of use assets acquired under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84,643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following table provides a reconciliation of cash and cash equivalents reported within the condensed consolidated balance sheets to the total of cash, cash equivalents and restricted cash shown above: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jc w:val="right"/>
              <w:ind w:right="8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33"/>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28, 2019</w:t>
            </w:r>
          </w:p>
        </w:tc>
        <w:tc>
          <w:tcPr>
            <w:tcW w:w="12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September 29, 2018</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94,086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48,881</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1,188</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50,069</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08" w:right="239" w:bottom="333" w:gutter="0" w:footer="0" w:header="0"/>
        </w:sectPr>
      </w:pPr>
    </w:p>
    <w:bookmarkStart w:id="12" w:name="page13"/>
    <w:bookmarkEnd w:id="12"/>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National Vision Holdings, Inc. and Subsidiaries Reconciliation of GAAP to Non-GAAP Financial Measures For the Three and Nine Months Ended September 28, 2019 and September 29, 2018 </w:t>
      </w:r>
      <w:r>
        <w:rPr>
          <w:rFonts w:ascii="Times New Roman" w:cs="Times New Roman" w:eastAsia="Times New Roman" w:hAnsi="Times New Roman"/>
          <w:sz w:val="18"/>
          <w:szCs w:val="18"/>
          <w:i w:val="1"/>
          <w:iCs w:val="1"/>
          <w:color w:val="auto"/>
        </w:rPr>
        <w:t xml:space="preserve">In Thousands, Except Per Share Information </w:t>
      </w:r>
      <w:r>
        <w:rPr>
          <w:rFonts w:ascii="Times New Roman" w:cs="Times New Roman" w:eastAsia="Times New Roman" w:hAnsi="Times New Roman"/>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Adjusted EBITDA and Adjusted EBITDA Margin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9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Nine Months Ended</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September 28, 2019</w:t>
            </w:r>
          </w:p>
        </w:tc>
        <w:tc>
          <w:tcPr>
            <w:tcW w:w="160" w:type="dxa"/>
            <w:vAlign w:val="bottom"/>
          </w:tcPr>
          <w:p>
            <w:pPr>
              <w:spacing w:after="0"/>
              <w:rPr>
                <w:sz w:val="20"/>
                <w:szCs w:val="20"/>
                <w:color w:val="auto"/>
              </w:rPr>
            </w:pPr>
          </w:p>
        </w:tc>
        <w:tc>
          <w:tcPr>
            <w:tcW w:w="16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September 29, 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w w:val="98"/>
              </w:rPr>
              <w:t>September 29,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74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7,873</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28,144</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(16,661)</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22,336</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63,570</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54,783</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23,662</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118,998</w:t>
            </w:r>
          </w:p>
        </w:tc>
        <w:tc>
          <w:tcPr>
            <w:tcW w:w="74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116,521</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9.9%</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6,123</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13,749</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5"/>
                <w:szCs w:val="25"/>
                <w:color w:val="auto"/>
                <w:vertAlign w:val="superscript"/>
              </w:rPr>
              <w:t>(b)</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9,786</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9,786</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(c)</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3,516</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7,387</w:t>
            </w:r>
          </w:p>
        </w:tc>
        <w:tc>
          <w:tcPr>
            <w:tcW w:w="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(d)</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2,862</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(e)</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2,386</w:t>
            </w:r>
          </w:p>
        </w:tc>
        <w:tc>
          <w:tcPr>
            <w:tcW w:w="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(f)</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3"/>
                <w:szCs w:val="23"/>
                <w:color w:val="auto"/>
              </w:rPr>
            </w:pPr>
          </w:p>
        </w:tc>
        <w:tc>
          <w:tcPr>
            <w:tcW w:w="6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(g)</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2,155</w:t>
            </w:r>
          </w:p>
        </w:tc>
        <w:tc>
          <w:tcPr>
            <w:tcW w:w="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(h)</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1,830</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(i)</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4,423</w:t>
            </w: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BFE4FF"/>
          </w:tcPr>
          <w:p>
            <w:pPr>
              <w:spacing w:after="0"/>
              <w:rPr>
                <w:sz w:val="23"/>
                <w:szCs w:val="23"/>
                <w:color w:val="auto"/>
              </w:rPr>
            </w:pPr>
          </w:p>
        </w:tc>
        <w:tc>
          <w:tcPr>
            <w:tcW w:w="820" w:type="dxa"/>
            <w:vAlign w:val="bottom"/>
            <w:tcBorders>
              <w:bottom w:val="single" w:sz="8" w:color="auto"/>
            </w:tcBorders>
            <w:gridSpan w:val="3"/>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0.3%</w:t>
            </w:r>
          </w:p>
        </w:tc>
        <w:tc>
          <w:tcPr>
            <w:tcW w:w="0" w:type="dxa"/>
            <w:vAlign w:val="bottom"/>
          </w:tcPr>
          <w:p>
            <w:pPr>
              <w:spacing w:after="0"/>
              <w:rPr>
                <w:sz w:val="1"/>
                <w:szCs w:val="1"/>
                <w:color w:val="auto"/>
              </w:rPr>
            </w:pPr>
          </w:p>
        </w:tc>
      </w:tr>
      <w:tr>
        <w:trPr>
          <w:trHeight w:val="201"/>
        </w:trPr>
        <w:tc>
          <w:tcPr>
            <w:tcW w:w="378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Adjusted EBITDA/ Adjusted EBITDA</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47,937</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161,073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vMerge w:val="restart"/>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145,648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9.9%</w:t>
            </w:r>
          </w:p>
        </w:tc>
        <w:tc>
          <w:tcPr>
            <w:tcW w:w="100" w:type="dxa"/>
            <w:vAlign w:val="bottom"/>
            <w:tcBorders>
              <w:bottom w:val="single" w:sz="8" w:color="CCEEFF"/>
            </w:tcBorders>
            <w:vMerge w:val="continue"/>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gridSpan w:val="4"/>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CCEEFF"/>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12.2%</w:t>
            </w:r>
          </w:p>
        </w:tc>
        <w:tc>
          <w:tcPr>
            <w:tcW w:w="28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gridSpan w:val="3"/>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13"/>
        </w:trPr>
        <w:tc>
          <w:tcPr>
            <w:tcW w:w="4820" w:type="dxa"/>
            <w:vAlign w:val="bottom"/>
            <w:gridSpan w:val="3"/>
            <w:shd w:val="clear" w:color="auto" w:fill="CCEEFF"/>
          </w:tcPr>
          <w:p>
            <w:pPr>
              <w:ind w:left="200"/>
              <w:spacing w:after="0" w:line="113" w:lineRule="exact"/>
              <w:rPr>
                <w:sz w:val="20"/>
                <w:szCs w:val="20"/>
                <w:color w:val="auto"/>
              </w:rPr>
            </w:pPr>
            <w:r>
              <w:rPr>
                <w:rFonts w:ascii="Times New Roman" w:cs="Times New Roman" w:eastAsia="Times New Roman" w:hAnsi="Times New Roman"/>
                <w:sz w:val="13"/>
                <w:szCs w:val="13"/>
                <w:color w:val="auto"/>
              </w:rPr>
              <w:t>Note: Percentages reflect line item as a percentage of net revenue, adjusted for</w:t>
            </w:r>
          </w:p>
        </w:tc>
        <w:tc>
          <w:tcPr>
            <w:tcW w:w="92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rounding.</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7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0"/>
        </w:trPr>
        <w:tc>
          <w:tcPr>
            <w:tcW w:w="4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8"/>
          </w:tcPr>
          <w:p>
            <w:pPr>
              <w:ind w:left="480"/>
              <w:spacing w:after="0"/>
              <w:rPr>
                <w:sz w:val="20"/>
                <w:szCs w:val="20"/>
                <w:color w:val="auto"/>
              </w:rPr>
            </w:pPr>
            <w:r>
              <w:rPr>
                <w:rFonts w:ascii="Times New Roman" w:cs="Times New Roman" w:eastAsia="Times New Roman" w:hAnsi="Times New Roman"/>
                <w:sz w:val="18"/>
                <w:szCs w:val="18"/>
                <w:color w:val="auto"/>
              </w:rPr>
              <w:t>Nine Months Ended</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September 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34"/>
        </w:trPr>
        <w:tc>
          <w:tcPr>
            <w:tcW w:w="3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September 28, 2019</w:t>
            </w:r>
          </w:p>
        </w:tc>
        <w:tc>
          <w:tcPr>
            <w:tcW w:w="10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820" w:type="dxa"/>
            <w:vAlign w:val="bottom"/>
            <w:tcBorders>
              <w:bottom w:val="single" w:sz="8" w:color="CCEEFF"/>
            </w:tcBorders>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13,749</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5"/>
                <w:szCs w:val="25"/>
                <w:color w:val="auto"/>
                <w:vertAlign w:val="superscript"/>
              </w:rPr>
              <w:t>(b)</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9,786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(c)</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7,387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(d)</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2,862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(e)</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2,386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(f)</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(g)</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2,155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(h)</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1,830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(i)</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4,423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70"/>
        </w:trPr>
        <w:tc>
          <w:tcPr>
            <w:tcW w:w="5740" w:type="dxa"/>
            <w:vAlign w:val="bottom"/>
            <w:gridSpan w:val="6"/>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and deferred financing costs </w:t>
            </w:r>
            <w:r>
              <w:rPr>
                <w:rFonts w:ascii="Times New Roman" w:cs="Times New Roman" w:eastAsia="Times New Roman" w:hAnsi="Times New Roman"/>
                <w:sz w:val="25"/>
                <w:szCs w:val="25"/>
                <w:color w:val="auto"/>
                <w:vertAlign w:val="superscript"/>
              </w:rPr>
              <w:t>(j)</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6,625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5"/>
                <w:szCs w:val="25"/>
                <w:color w:val="auto"/>
                <w:vertAlign w:val="superscript"/>
              </w:rPr>
              <w:t>(k)</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5"/>
                <w:szCs w:val="25"/>
                <w:color w:val="auto"/>
                <w:vertAlign w:val="superscript"/>
              </w:rPr>
              <w:t>(l)</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0" w:type="dxa"/>
            <w:vAlign w:val="bottom"/>
          </w:tcPr>
          <w:p>
            <w:pPr>
              <w:spacing w:after="0"/>
              <w:rPr>
                <w:sz w:val="1"/>
                <w:szCs w:val="1"/>
                <w:color w:val="auto"/>
              </w:rPr>
            </w:pPr>
          </w:p>
        </w:tc>
      </w:tr>
      <w:tr>
        <w:trPr>
          <w:trHeight w:val="25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Pr>
          <w:p>
            <w:pPr>
              <w:spacing w:after="0"/>
              <w:rPr>
                <w:sz w:val="22"/>
                <w:szCs w:val="22"/>
                <w:color w:val="auto"/>
              </w:rPr>
            </w:pPr>
          </w:p>
        </w:tc>
        <w:tc>
          <w:tcPr>
            <w:tcW w:w="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57,429</w:t>
            </w:r>
          </w:p>
        </w:tc>
        <w:tc>
          <w:tcPr>
            <w:tcW w:w="8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50,887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13" w:name="page14"/>
    <w:bookmarkEnd w:id="13"/>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Diluted EPS to Adjusted Diluted EPS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3"/>
                <w:szCs w:val="23"/>
                <w:color w:val="auto"/>
              </w:rPr>
            </w:pPr>
          </w:p>
        </w:tc>
        <w:tc>
          <w:tcPr>
            <w:tcW w:w="33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28, 2019</w:t>
            </w:r>
          </w:p>
        </w:tc>
        <w:tc>
          <w:tcPr>
            <w:tcW w:w="1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29, 2018</w:t>
            </w: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28, 2019</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29, 2018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5"/>
                <w:szCs w:val="25"/>
                <w:color w:val="auto"/>
                <w:vertAlign w:val="superscript"/>
              </w:rPr>
              <w:t>(b)</w:t>
            </w:r>
          </w:p>
        </w:tc>
        <w:tc>
          <w:tcPr>
            <w:tcW w:w="180" w:type="dxa"/>
            <w:vAlign w:val="bottom"/>
          </w:tcPr>
          <w:p>
            <w:pPr>
              <w:spacing w:after="0"/>
              <w:rPr>
                <w:sz w:val="23"/>
                <w:szCs w:val="23"/>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(c)</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(d)</w:t>
            </w:r>
          </w:p>
        </w:tc>
        <w:tc>
          <w:tcPr>
            <w:tcW w:w="180" w:type="dxa"/>
            <w:vAlign w:val="bottom"/>
          </w:tcPr>
          <w:p>
            <w:pPr>
              <w:spacing w:after="0"/>
              <w:rPr>
                <w:sz w:val="23"/>
                <w:szCs w:val="23"/>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(e)</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(f)</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(g)</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(h)</w:t>
            </w:r>
          </w:p>
        </w:tc>
        <w:tc>
          <w:tcPr>
            <w:tcW w:w="180" w:type="dxa"/>
            <w:vAlign w:val="bottom"/>
          </w:tcPr>
          <w:p>
            <w:pPr>
              <w:spacing w:after="0"/>
              <w:rPr>
                <w:sz w:val="23"/>
                <w:szCs w:val="23"/>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(i)</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acquisition intangibles and deferred</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financing costs </w:t>
            </w:r>
            <w:r>
              <w:rPr>
                <w:rFonts w:ascii="Times New Roman" w:cs="Times New Roman" w:eastAsia="Times New Roman" w:hAnsi="Times New Roman"/>
                <w:sz w:val="25"/>
                <w:szCs w:val="25"/>
                <w:color w:val="auto"/>
                <w:vertAlign w:val="superscript"/>
              </w:rPr>
              <w:t>(j)</w:t>
            </w:r>
          </w:p>
        </w:tc>
        <w:tc>
          <w:tcPr>
            <w:tcW w:w="180" w:type="dxa"/>
            <w:vAlign w:val="bottom"/>
          </w:tcPr>
          <w:p>
            <w:pPr>
              <w:spacing w:after="0"/>
              <w:rPr>
                <w:sz w:val="22"/>
                <w:szCs w:val="22"/>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5"/>
                <w:szCs w:val="25"/>
                <w:color w:val="auto"/>
                <w:vertAlign w:val="superscript"/>
              </w:rPr>
              <w:t>(k)</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5"/>
                <w:szCs w:val="25"/>
                <w:color w:val="auto"/>
                <w:vertAlign w:val="superscript"/>
              </w:rPr>
              <w:t>(l)</w:t>
            </w: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81,561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78,571</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Note: Some of the totals in the table above do not foot due to rounding differences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690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Reconciliation of SG&amp;A to Adjusted SG&amp;A and Adjusted SG&amp;A Percent of Net Revenue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9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September 28, 2019</w:t>
            </w:r>
          </w:p>
        </w:tc>
        <w:tc>
          <w:tcPr>
            <w:tcW w:w="160" w:type="dxa"/>
            <w:vAlign w:val="bottom"/>
          </w:tcPr>
          <w:p>
            <w:pPr>
              <w:spacing w:after="0"/>
              <w:rPr>
                <w:sz w:val="20"/>
                <w:szCs w:val="20"/>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September 29, 2018</w:t>
            </w:r>
          </w:p>
        </w:tc>
        <w:tc>
          <w:tcPr>
            <w:tcW w:w="160" w:type="dxa"/>
            <w:vAlign w:val="bottom"/>
          </w:tcPr>
          <w:p>
            <w:pPr>
              <w:spacing w:after="0"/>
              <w:rPr>
                <w:sz w:val="20"/>
                <w:szCs w:val="20"/>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28, 2019</w:t>
            </w:r>
          </w:p>
        </w:tc>
        <w:tc>
          <w:tcPr>
            <w:tcW w:w="16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29,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190,290</w:t>
            </w: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185,028</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566,444</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521,344</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6,123</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10,629</w:t>
            </w:r>
          </w:p>
        </w:tc>
        <w:tc>
          <w:tcPr>
            <w:tcW w:w="140" w:type="dxa"/>
            <w:vAlign w:val="bottom"/>
          </w:tcPr>
          <w:p>
            <w:pPr>
              <w:spacing w:after="0"/>
              <w:rPr>
                <w:sz w:val="23"/>
                <w:szCs w:val="23"/>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13,749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(d)</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5"/>
              </w:rPr>
              <w:t>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(e)</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23"/>
                <w:szCs w:val="23"/>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(f)</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(g)</w:t>
            </w:r>
          </w:p>
        </w:tc>
        <w:tc>
          <w:tcPr>
            <w:tcW w:w="16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(h)</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5"/>
              </w:rPr>
              <w:t>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(m)</w:t>
            </w: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c>
          <w:tcPr>
            <w:tcW w:w="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jc w:val="center"/>
              <w:ind w:right="50"/>
              <w:spacing w:after="0"/>
              <w:rPr>
                <w:sz w:val="20"/>
                <w:szCs w:val="20"/>
                <w:color w:val="auto"/>
              </w:rPr>
            </w:pPr>
            <w:r>
              <w:rPr>
                <w:rFonts w:ascii="Times New Roman" w:cs="Times New Roman" w:eastAsia="Times New Roman" w:hAnsi="Times New Roman"/>
                <w:sz w:val="18"/>
                <w:szCs w:val="18"/>
                <w:color w:val="auto"/>
                <w:w w:val="95"/>
              </w:rPr>
              <w:t>0.3%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3,187</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1,856</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01"/>
        </w:trPr>
        <w:tc>
          <w:tcPr>
            <w:tcW w:w="378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Adjusted SG&amp;A/ Adjusted SG&amp;A Percent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179,546</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166,635</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542,778</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495,610</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-95885</wp:posOffset>
            </wp:positionV>
            <wp:extent cx="651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-95885</wp:posOffset>
            </wp:positionV>
            <wp:extent cx="651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-95885</wp:posOffset>
            </wp:positionV>
            <wp:extent cx="651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-95885</wp:posOffset>
            </wp:positionV>
            <wp:extent cx="668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1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deferred financing fees related to the extinguishment of debt.</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and equipment on closed or underperforming stores for the three and nine months ended September 28, 2019.</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are not indicative of ongoing core operating performance. We adjust for these costs to facilitate comparisons of store operating performance from period to period.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non-cash portion of rent expense, which reflects the extent to which our straight-line rent expense recognized under GAAP exceeds or is less than our cash rent payments.</w:t>
      </w:r>
    </w:p>
    <w:p>
      <w:pPr>
        <w:sectPr>
          <w:pgSz w:w="11900" w:h="16838" w:orient="portrait"/>
          <w:cols w:equalWidth="0" w:num="1">
            <w:col w:w="11420"/>
          </w:cols>
          <w:pgMar w:left="240" w:top="1440" w:right="239" w:bottom="1440" w:gutter="0" w:footer="0" w:header="0"/>
        </w:sectPr>
      </w:pPr>
    </w:p>
    <w:bookmarkStart w:id="14" w:name="page15"/>
    <w:bookmarkEnd w:id="14"/>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our secondary public offerings for the three and nine months ended September 28, 2019 and September 29, 2018, respectively.</w:t>
      </w:r>
    </w:p>
    <w:p>
      <w:pPr>
        <w:spacing w:after="0" w:line="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a non-recurring realignment of management described in the Current Report on Form 8-K filed with the SEC on January 10, 2019.</w:t>
      </w:r>
    </w:p>
    <w:p>
      <w:pPr>
        <w:spacing w:after="0" w:line="1"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pursuant to a long-term incentive plan for non-executive employees who were not participants in the management equity plan. This plan was effective in 2014 following the acquisition of the Company by affiliates of KKR &amp; Co. Inc. (the "KKR Acquisition").</w:t>
      </w:r>
    </w:p>
    <w:p>
      <w:pPr>
        <w:jc w:val="both"/>
        <w:ind w:left="660" w:hanging="328"/>
        <w:spacing w:after="0" w:line="24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$0.2 million and $0.4 million for the three months ended September 28, 2019 and September 29, 2018 and $1.2 million and $1.0 million for the nine months ended September 28, 2019 and September 29, 2018 respectively; the amortization impact of the KKR Acquisition-related adjustments (e.g., fair value of leasehold interests) of $0.1 million and $0.2 million for the three months ended September 28, 2019 and September 29, 2018 and $0.3 million for each of the nine months ended September 28, 2019 and September 29, 2018, respectively; differences between the timing of expense versus cash payments related to contributions to charitable organizations of $(0.3) million and $(0.8) million for the three and nine months ended September 29, 2018, respectively; costs of severance and relocation of $1.0 million and $0.3 million for the three months ended September 28, 2019 and September 29, 2018 and $1.8 million and $0.9 million for the nine months ended September 28, 2019 and September 29, 2018, respectively; excess payroll taxes related to stock option exercises of $0.5 million and $0.9 million for the three months ended September 28, 2019 and September 29, 2018 and $0.6 million and $1.2 million for the nine months ended September 28, 2019 and September 29, 2018, respectively; and other expenses and adjustments totaling $0.2 million and $0.4 million for the three months ended September 28, 2019 and September 29, 2018 and $0.5 million for each of the nine months ended September 28, 2019 and September 29, 2018, respectively.</w:t>
      </w:r>
    </w:p>
    <w:p>
      <w:pPr>
        <w:spacing w:after="0" w:line="166" w:lineRule="exact"/>
        <w:rPr>
          <w:rFonts w:ascii="Times New Roman" w:cs="Times New Roman" w:eastAsia="Times New Roman" w:hAnsi="Times New Roman"/>
          <w:sz w:val="14"/>
          <w:szCs w:val="14"/>
          <w:color w:val="auto"/>
        </w:rPr>
      </w:pPr>
    </w:p>
    <w:p>
      <w:pPr>
        <w:jc w:val="both"/>
        <w:ind w:left="660" w:hanging="328"/>
        <w:spacing w:after="0" w:line="242"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definite-lived intangible assets resulting from the application of purchase accounting to the KKR Acquisition of $1.9 million for each of the three months ended September 28, 2019 and September 29, 2018 and $5.6 million for each of the nine months ended September 28, 2019 and September 29, 2018. Amortization of deferred financing costs is primarily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$0.2 million and $0.4 million for the three months ended September 28, 2019 and September 29, 2018 and $1.1 million and $1.3 million for the nine months ended September 28, 2019 and September 29, 2018.</w:t>
      </w:r>
    </w:p>
    <w:p>
      <w:pPr>
        <w:spacing w:after="0" w:line="160"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Tax benefit associated with accounting guidance adopted at the beginning of fiscal year 2017 (Accounting Standards Update 2016-09,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requiring excess tax benefits to be recorded in earnings as discrete items in the reporting period in which they occur.</w:t>
      </w: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(i) above, except for our share of losses on equity method investments of $0.2 million and $0.4 million for the three months ended September 28, 2019 and September 29, 2018 and $1.2 million and $1.0 million for the nine months ended September 28, 2019 and September 29, 2018, respectively and facility opening expenses of $0.3 million for each of the three and nine months ended September 29, 2018, which are non-SG&amp;A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97"/>
        </w:trPr>
        <w:tc>
          <w:tcPr>
            <w:tcW w:w="45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color w:val="auto"/>
              </w:rPr>
              <w:t xml:space="preserve">Comparable store sales growth </w:t>
            </w:r>
            <w:r>
              <w:rPr>
                <w:rFonts w:ascii="Times New Roman" w:cs="Times New Roman" w:eastAsia="Times New Roman" w:hAnsi="Times New Roman"/>
                <w:sz w:val="25"/>
                <w:szCs w:val="25"/>
                <w:color w:val="auto"/>
                <w:vertAlign w:val="superscript"/>
              </w:rPr>
              <w:t>(a)</w:t>
            </w:r>
          </w:p>
        </w:tc>
        <w:tc>
          <w:tcPr>
            <w:tcW w:w="1200" w:type="dxa"/>
            <w:vAlign w:val="bottom"/>
            <w:tcBorders>
              <w:bottom w:val="single" w:sz="8" w:color="auto"/>
            </w:tcBorders>
          </w:tcPr>
          <w:p>
            <w:pPr>
              <w:spacing w:after="0"/>
              <w:rPr>
                <w:sz w:val="24"/>
                <w:szCs w:val="24"/>
                <w:color w:val="auto"/>
              </w:rPr>
            </w:pPr>
          </w:p>
        </w:tc>
      </w:tr>
      <w:tr>
        <w:trPr>
          <w:trHeight w:val="218"/>
        </w:trPr>
        <w:tc>
          <w:tcPr>
            <w:tcW w:w="45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Three Months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Three Months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Nine Months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Nine Months</w:t>
            </w:r>
          </w:p>
        </w:tc>
        <w:tc>
          <w:tcPr>
            <w:tcW w:w="12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Ended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Ended</w:t>
            </w:r>
          </w:p>
        </w:tc>
        <w:tc>
          <w:tcPr>
            <w:tcW w:w="12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28,</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29,</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28,</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29,</w:t>
            </w:r>
          </w:p>
        </w:tc>
        <w:tc>
          <w:tcPr>
            <w:tcW w:w="12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 Outlook</w:t>
            </w:r>
          </w:p>
        </w:tc>
      </w:tr>
      <w:tr>
        <w:trPr>
          <w:trHeight w:val="27"/>
        </w:trPr>
        <w:tc>
          <w:tcPr>
            <w:tcW w:w="45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 Best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Eyeglass World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Military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Fred Meyer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4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Legacy segment</w:t>
            </w:r>
            <w:r>
              <w:rPr>
                <w:rFonts w:ascii="Times New Roman" w:cs="Times New Roman" w:eastAsia="Times New Roman" w:hAnsi="Times New Roman"/>
                <w:sz w:val="25"/>
                <w:szCs w:val="25"/>
                <w:b w:val="1"/>
                <w:bCs w:val="1"/>
                <w:color w:val="auto"/>
                <w:vertAlign w:val="superscript"/>
              </w:rPr>
              <w:t>(b)</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24"/>
        </w:trPr>
        <w:tc>
          <w:tcPr>
            <w:tcW w:w="4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5 - 5.5%</w:t>
            </w: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5"/>
                <w:szCs w:val="25"/>
                <w:color w:val="auto"/>
                <w:vertAlign w:val="superscript"/>
              </w:rPr>
              <w:t>(c)</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5 - 5.5%</w:t>
            </w:r>
          </w:p>
        </w:tc>
      </w:tr>
    </w:tbl>
    <w:p>
      <w:pPr>
        <w:spacing w:after="0" w:line="85" w:lineRule="exact"/>
        <w:rPr>
          <w:sz w:val="20"/>
          <w:szCs w:val="20"/>
          <w:color w:val="auto"/>
        </w:rPr>
      </w:pPr>
    </w:p>
    <w:p>
      <w:pPr>
        <w:jc w:val="both"/>
        <w:ind w:left="660" w:hanging="328"/>
        <w:spacing w:after="0" w:line="25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1. Item 1. in our Quarterly Report on Form 10-Q, with the exception of the legacy segment, which is adjusted as noted in clause (c) (ii) below.</w:t>
      </w:r>
    </w:p>
    <w:p>
      <w:pPr>
        <w:sectPr>
          <w:pgSz w:w="11900" w:h="16838" w:orient="portrait"/>
          <w:cols w:equalWidth="0" w:num="1">
            <w:col w:w="11420"/>
          </w:cols>
          <w:pgMar w:left="240" w:top="576" w:right="239" w:bottom="1440" w:gutter="0" w:footer="0" w:header="0"/>
        </w:sectPr>
      </w:pPr>
    </w:p>
    <w:bookmarkStart w:id="15" w:name="page16"/>
    <w:bookmarkEnd w:id="15"/>
    <w:p>
      <w:pPr>
        <w:jc w:val="both"/>
        <w:ind w:left="660" w:hanging="328"/>
        <w:spacing w:after="0" w:line="255"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changes in applicable California law, certain optometrists employed by FirstSight Vision Services Inc. (“FirstSight”) were transferred to a professional corporation that contracts directly with our legacy segment in the fourth quarter of 2018, similar to optometrist transfers that occurred in the third quarter of 2017. Incremental eye exam revenue as a result of these changes in operations at FirstSight drove a favorable impact to comparable store sales growth in the Legacy segment of approximately 200 basis points for the three months ended September 28, 2019, and favorable impact of 190 basis points and 140 basis points for the nine months ended September 28, 2019 and September 29, 2018, respectively.</w:t>
      </w:r>
    </w:p>
    <w:p>
      <w:pPr>
        <w:spacing w:after="0" w:line="72" w:lineRule="exact"/>
        <w:rPr>
          <w:rFonts w:ascii="Times New Roman" w:cs="Times New Roman" w:eastAsia="Times New Roman" w:hAnsi="Times New Roman"/>
          <w:sz w:val="14"/>
          <w:szCs w:val="14"/>
          <w:color w:val="auto"/>
        </w:rPr>
      </w:pPr>
    </w:p>
    <w:p>
      <w:pPr>
        <w:jc w:val="both"/>
        <w:ind w:left="660" w:hanging="328"/>
        <w:spacing w:after="0" w:line="247"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0.6% and 0.1% from total comparable store sales growth based on consolidated net revenue for the three months ended September 28, 2019 and September 29, 2018, respectively, and an increase of 0.3% and a decrease of 0.7% from total comparable store sales growth based on consolidated net revenue for the nine months ended September 28, 2019 and September 29, 2018, respectively, and (ii) adjusted comparable store sales growth includes retail sales to the legacy partner’s customers (rather than the revenues recognized consistent with the management &amp; services agreement with the legacy partner), resulting in a decrease of 0.1% from total comparable store sales growth based on consolidated net revenue for each of the three months ended September 28, 2019 and September 29, 2018, and a decrease of 0.2% and a decrease of 0.1% from total comparable store sales growth based on consolidated net revenue for the nine months ended September 28, 2019 and September 29, 2018, respectively.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Mann, CFA, Vice President of Investor Relations</w:t>
      </w:r>
    </w:p>
    <w:p>
      <w:pPr>
        <w:spacing w:after="0" w:line="9" w:lineRule="exact"/>
        <w:rPr>
          <w:sz w:val="20"/>
          <w:szCs w:val="20"/>
          <w:color w:val="auto"/>
        </w:rPr>
      </w:pPr>
    </w:p>
    <w:p>
      <w:pPr>
        <w:ind w:right="8640" w:firstLine="8"/>
        <w:spacing w:after="0" w:line="290" w:lineRule="auto"/>
        <w:tabs>
          <w:tab w:leader="none" w:pos="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448-2448 investor.relations@nationalvision.com</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Gross, Director of Communications</w:t>
      </w:r>
    </w:p>
    <w:p>
      <w:pPr>
        <w:spacing w:after="0" w:line="9" w:lineRule="exact"/>
        <w:rPr>
          <w:sz w:val="20"/>
          <w:szCs w:val="20"/>
          <w:color w:val="auto"/>
        </w:rPr>
      </w:pPr>
    </w:p>
    <w:p>
      <w:pPr>
        <w:ind w:right="9440" w:firstLine="8"/>
        <w:spacing w:after="0" w:line="290" w:lineRule="auto"/>
        <w:tabs>
          <w:tab w:leader="none" w:pos="4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448-2355 media@nationalvision.com</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6"/>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decimal"/>
      <w:start w:val="470"/>
    </w:lvl>
  </w:abstractNum>
  <w:abstractNum w:abstractNumId="12">
    <w:nsid w:val="3352255A"/>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2019-12-28T02:00:25Z</dcterms:created>
  <dcterms:modified xsi:type="dcterms:W3CDTF">2019-12-28T02:00:25Z</dcterms:modified>
</cp:coreProperties>
</file>