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1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17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6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PEELER D RANDOLPH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560" w:type="dxa"/>
            <w:vAlign w:val="bottom"/>
            <w:gridSpan w:val="3"/>
            <w:vMerge w:val="restart"/>
          </w:tcPr>
          <w:p>
            <w:pPr>
              <w:ind w:left="360"/>
              <w:spacing w:after="0"/>
              <w:rPr>
                <w:sz w:val="20"/>
                <w:szCs w:val="20"/>
                <w:color w:val="auto"/>
              </w:rPr>
            </w:pPr>
            <w:r>
              <w:rPr>
                <w:rFonts w:ascii="Arial" w:cs="Arial" w:eastAsia="Arial" w:hAnsi="Arial"/>
                <w:sz w:val="14"/>
                <w:szCs w:val="14"/>
                <w:color w:val="auto"/>
              </w:rPr>
              <w:t>Officer (give title</w:t>
            </w: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6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below)</w:t>
            </w:r>
          </w:p>
        </w:tc>
        <w:tc>
          <w:tcPr>
            <w:tcW w:w="3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BERKSHIRE PARTNERS LLC</w:t>
            </w:r>
          </w:p>
        </w:tc>
        <w:tc>
          <w:tcPr>
            <w:tcW w:w="1400" w:type="dxa"/>
            <w:vAlign w:val="bottom"/>
            <w:gridSpan w:val="5"/>
          </w:tcPr>
          <w:p>
            <w:pPr>
              <w:ind w:left="160"/>
              <w:spacing w:after="0"/>
              <w:rPr>
                <w:sz w:val="20"/>
                <w:szCs w:val="20"/>
                <w:color w:val="auto"/>
              </w:rPr>
            </w:pPr>
            <w:r>
              <w:rPr>
                <w:rFonts w:ascii="Arial" w:cs="Arial" w:eastAsia="Arial" w:hAnsi="Arial"/>
                <w:sz w:val="18"/>
                <w:szCs w:val="18"/>
                <w:color w:val="0000FF"/>
              </w:rPr>
              <w:t>11/19/2018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gridSpan w:val="7"/>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380"/>
              <w:spacing w:after="0" w:line="136" w:lineRule="exact"/>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center"/>
              <w:ind w:right="3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5"/>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right"/>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gridSpan w:val="5"/>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vMerge w:val="restart"/>
          </w:tcPr>
          <w:p>
            <w:pPr>
              <w:jc w:val="right"/>
              <w:ind w:right="60"/>
              <w:spacing w:after="0"/>
              <w:rPr>
                <w:sz w:val="20"/>
                <w:szCs w:val="20"/>
                <w:color w:val="auto"/>
              </w:rPr>
            </w:pPr>
            <w:r>
              <w:rPr>
                <w:rFonts w:ascii="Arial" w:cs="Arial" w:eastAsia="Arial" w:hAnsi="Arial"/>
                <w:sz w:val="18"/>
                <w:szCs w:val="18"/>
                <w:color w:val="0000FF"/>
              </w:rPr>
              <w:t>11/19/2018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5"/>
              </w:rPr>
              <w:t>2,308,947</w:t>
            </w:r>
            <w:r>
              <w:rPr>
                <w:rFonts w:ascii="Arial" w:cs="Arial" w:eastAsia="Arial" w:hAnsi="Arial"/>
                <w:sz w:val="22"/>
                <w:szCs w:val="22"/>
                <w:color w:val="008000"/>
                <w:w w:val="85"/>
                <w:vertAlign w:val="superscript"/>
              </w:rPr>
              <w:t>(1)</w:t>
            </w:r>
          </w:p>
        </w:tc>
        <w:tc>
          <w:tcPr>
            <w:tcW w:w="46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40.2</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2,101,264</w:t>
            </w:r>
          </w:p>
        </w:tc>
        <w:tc>
          <w:tcPr>
            <w:tcW w:w="36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Partnership</w:t>
            </w:r>
            <w:r>
              <w:rPr>
                <w:rFonts w:ascii="Arial" w:cs="Arial" w:eastAsia="Arial" w:hAnsi="Arial"/>
                <w:sz w:val="22"/>
                <w:szCs w:val="22"/>
                <w:color w:val="008000"/>
                <w:w w:val="89"/>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8"/>
                <w:szCs w:val="18"/>
                <w:color w:val="0000FF"/>
              </w:rPr>
              <w:t>11/19/2018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9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29,999</w:t>
            </w:r>
            <w:r>
              <w:rPr>
                <w:rFonts w:ascii="Arial" w:cs="Arial" w:eastAsia="Arial" w:hAnsi="Arial"/>
                <w:sz w:val="22"/>
                <w:szCs w:val="22"/>
                <w:color w:val="008000"/>
                <w:w w:val="84"/>
                <w:vertAlign w:val="superscript"/>
              </w:rPr>
              <w:t>(1)</w:t>
            </w:r>
          </w:p>
        </w:tc>
        <w:tc>
          <w:tcPr>
            <w:tcW w:w="460" w:type="dxa"/>
            <w:vAlign w:val="bottom"/>
          </w:tcPr>
          <w:p>
            <w:pPr>
              <w:ind w:left="22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40.2</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7"/>
              </w:rPr>
              <w:t>27,300</w:t>
            </w:r>
          </w:p>
        </w:tc>
        <w:tc>
          <w:tcPr>
            <w:tcW w:w="3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8"/>
                <w:szCs w:val="18"/>
                <w:color w:val="0000FF"/>
              </w:rPr>
              <w:t>11/19/2018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9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12,219</w:t>
            </w:r>
            <w:r>
              <w:rPr>
                <w:rFonts w:ascii="Arial" w:cs="Arial" w:eastAsia="Arial" w:hAnsi="Arial"/>
                <w:sz w:val="22"/>
                <w:szCs w:val="22"/>
                <w:color w:val="008000"/>
                <w:w w:val="84"/>
                <w:vertAlign w:val="superscript"/>
              </w:rPr>
              <w:t>(1)</w:t>
            </w:r>
          </w:p>
        </w:tc>
        <w:tc>
          <w:tcPr>
            <w:tcW w:w="460" w:type="dxa"/>
            <w:vAlign w:val="bottom"/>
          </w:tcPr>
          <w:p>
            <w:pPr>
              <w:ind w:left="22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40.2</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7"/>
              </w:rPr>
              <w:t>11,121</w:t>
            </w:r>
          </w:p>
        </w:tc>
        <w:tc>
          <w:tcPr>
            <w:tcW w:w="3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 III</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7"/>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14"/>
          </w:tcPr>
          <w:p>
            <w:pPr>
              <w:jc w:val="center"/>
              <w:ind w:left="5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79"/>
              </w:rPr>
              <w:t>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700" w:type="dxa"/>
            <w:vAlign w:val="bottom"/>
            <w:gridSpan w:val="3"/>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70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2"/>
                <w:szCs w:val="12"/>
                <w:b w:val="1"/>
                <w:bCs w:val="1"/>
                <w:color w:val="auto"/>
                <w:w w:val="93"/>
              </w:rPr>
              <w:t>8)</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700" w:type="dxa"/>
            <w:vAlign w:val="bottom"/>
            <w:gridSpan w:val="3"/>
          </w:tcPr>
          <w:p>
            <w:pPr>
              <w:ind w:left="18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connection with the secondary offering (the "Secondary Offering") of common stock, par value $0.01 per share (the "Common Stock") of the Issuer by certain selling shareholders to Goldman Sachs &amp; Co. LLC, Jefferies LLC and Citigroup Global Markets Inc. pursuant to an underwriting agreement and final prospectus supplement, each dated November 14, 2018, Fund VI (as defined below), Berkshire Investors (as defined below) and Berkshire Investors III (as defined below), as selling shareholders, sold 2,308,947, 29,999 and 12,219 shares of Common Stock, respectively, at $40.20 per share. The Secondary Offering closed on November 19, 2018.</w:t>
      </w:r>
    </w:p>
    <w:p>
      <w:pPr>
        <w:spacing w:after="0" w:line="31" w:lineRule="exact"/>
        <w:rPr>
          <w:rFonts w:ascii="Arial" w:cs="Arial" w:eastAsia="Arial" w:hAnsi="Arial"/>
          <w:sz w:val="14"/>
          <w:szCs w:val="14"/>
          <w:color w:val="008000"/>
        </w:rPr>
      </w:pPr>
    </w:p>
    <w:p>
      <w:pPr>
        <w:ind w:left="40" w:right="18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The Reporting Person was previously a managing member of each of BPH, BPSP, Berkshire Partners and 6BA. By virtue of the relationships described above, the Reporting Person may be deemed to share beneficial ownership with respect to the shares of Common Stock held by Fund VI. The Reporting Person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11" w:lineRule="exact"/>
        <w:rPr>
          <w:rFonts w:ascii="Arial" w:cs="Arial" w:eastAsia="Arial" w:hAnsi="Arial"/>
          <w:sz w:val="12"/>
          <w:szCs w:val="12"/>
          <w:color w:val="008000"/>
        </w:rPr>
      </w:pPr>
    </w:p>
    <w:p>
      <w:pPr>
        <w:jc w:val="both"/>
        <w:ind w:left="40" w:right="1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LLC ("Berkshire Investors"). The Reporting Person was previously a managing member of Berkshire Investors. By virtue of the relationships described above, the Reporting Person may be deemed to share beneficial ownership with respect to the shares of Common Stock held by Berkshire Investors. The Reporting Person disclaims beneficial ownership of the shares held by Berkshire Investors,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1" w:lineRule="exact"/>
        <w:rPr>
          <w:rFonts w:ascii="Arial" w:cs="Arial" w:eastAsia="Arial" w:hAnsi="Arial"/>
          <w:sz w:val="14"/>
          <w:szCs w:val="14"/>
          <w:color w:val="008000"/>
        </w:rPr>
      </w:pPr>
    </w:p>
    <w:p>
      <w:pPr>
        <w:ind w:left="40" w:right="2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 LLC ("Berkshire Investors III"). The Reporting Person was previously a managing member of Berkshire Investors III. By virtue of the relationships described above, the Reporting Person may be deemed to share beneficial ownership with respect to the shares of Common Stock held by Berkshire Investors III. The Reporting Person disclaims beneficial ownership of the shares held by Berkshire Investors III,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7"/>
              </w:rPr>
              <w:t>/s/ D. Randolph Peeler</w:t>
            </w:r>
          </w:p>
        </w:tc>
        <w:tc>
          <w:tcPr>
            <w:tcW w:w="52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11/21/2018</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72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2019-12-23T16:16:42Z</dcterms:created>
  <dcterms:modified xsi:type="dcterms:W3CDTF">2019-12-23T16:16:42Z</dcterms:modified>
</cp:coreProperties>
</file>