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3" w:lineRule="exact"/>
        <w:rPr>
          <w:sz w:val="24"/>
          <w:szCs w:val="24"/>
          <w:color w:val="auto"/>
        </w:rPr>
      </w:pPr>
    </w:p>
    <w:p>
      <w:pPr>
        <w:jc w:val="both"/>
        <w:spacing w:after="0" w:line="228"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not an offer to sell these securities nor are they soliciting offers to buy these securities in any jurisdiction where the offer or sale is not permitted.</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333-228382</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FC0014"/>
        </w:rPr>
        <w:t>Subject to Completion, dated November 14,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November 14, 2018)</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154940</wp:posOffset>
            </wp:positionV>
            <wp:extent cx="1620520"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National Vision Holdings, Inc.</w:t>
      </w: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95" w:lineRule="exact"/>
        <w:rPr>
          <w:sz w:val="24"/>
          <w:szCs w:val="24"/>
          <w:color w:val="auto"/>
        </w:rPr>
      </w:pPr>
    </w:p>
    <w:p>
      <w:pPr>
        <w:ind w:right="360" w:firstLine="360"/>
        <w:spacing w:after="0" w:line="342" w:lineRule="auto"/>
        <w:rPr>
          <w:sz w:val="20"/>
          <w:szCs w:val="20"/>
          <w:color w:val="auto"/>
        </w:rPr>
      </w:pPr>
      <w:r>
        <w:rPr>
          <w:rFonts w:ascii="Arial" w:cs="Arial" w:eastAsia="Arial" w:hAnsi="Arial"/>
          <w:sz w:val="16"/>
          <w:szCs w:val="16"/>
          <w:color w:val="auto"/>
        </w:rPr>
        <w:t>The selling stockholders named in this prospectus supplement are offering 12,500,000 shares of common stock of National Vision Holdings, Inc. We will not receive any proceeds from the sale of our common stock by the selling stockholders.</w:t>
      </w:r>
    </w:p>
    <w:p>
      <w:pPr>
        <w:spacing w:after="0" w:line="124" w:lineRule="exact"/>
        <w:rPr>
          <w:sz w:val="24"/>
          <w:szCs w:val="24"/>
          <w:color w:val="auto"/>
        </w:rPr>
      </w:pPr>
    </w:p>
    <w:p>
      <w:pPr>
        <w:ind w:right="4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November 13, 2018, the closing sales price of our common stock as reported on the NASDAQ was $41.09 per share.</w:t>
      </w:r>
    </w:p>
    <w:p>
      <w:pPr>
        <w:spacing w:after="0" w:line="170" w:lineRule="exact"/>
        <w:rPr>
          <w:sz w:val="24"/>
          <w:szCs w:val="24"/>
          <w:color w:val="auto"/>
        </w:rPr>
      </w:pPr>
    </w:p>
    <w:p>
      <w:pPr>
        <w:ind w:right="140" w:firstLine="360"/>
        <w:spacing w:after="0" w:line="302"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risk. See “Risk Factors” beginning on page S-</w:t>
      </w:r>
      <w:hyperlink w:anchor="page14">
        <w:r>
          <w:rPr>
            <w:rFonts w:ascii="Arial" w:cs="Arial" w:eastAsia="Arial" w:hAnsi="Arial"/>
            <w:sz w:val="16"/>
            <w:szCs w:val="16"/>
            <w:b w:val="1"/>
            <w:bCs w:val="1"/>
            <w:i w:val="1"/>
            <w:iCs w:val="1"/>
            <w:u w:val="single" w:color="auto"/>
            <w:color w:val="0000EE"/>
          </w:rPr>
          <w:t>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of this prospectus supplement and in the reports we file with the Securities and Exchange Commission, or the SEC, pursuant to the Securities Exchange Act of 1934, as amended, or the Exchange Act, incorporated by reference in this prospectus supplement or the accompanying prospectus, to read about factors you should consider before buying shares of our common stock.</w:t>
      </w:r>
    </w:p>
    <w:p>
      <w:pPr>
        <w:spacing w:after="0" w:line="154" w:lineRule="exact"/>
        <w:rPr>
          <w:sz w:val="24"/>
          <w:szCs w:val="24"/>
          <w:color w:val="auto"/>
        </w:rPr>
      </w:pPr>
    </w:p>
    <w:p>
      <w:pPr>
        <w:jc w:val="both"/>
        <w:ind w:right="320" w:firstLine="360"/>
        <w:spacing w:after="0" w:line="264" w:lineRule="auto"/>
        <w:rPr>
          <w:sz w:val="20"/>
          <w:szCs w:val="20"/>
          <w:color w:val="auto"/>
        </w:rPr>
      </w:pPr>
      <w:r>
        <w:rPr>
          <w:rFonts w:ascii="Arial" w:cs="Arial" w:eastAsia="Arial" w:hAnsi="Arial"/>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p>
        </w:tc>
        <w:tc>
          <w:tcPr>
            <w:tcW w:w="11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7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29"/>
                <w:szCs w:val="29"/>
                <w:color w:val="auto"/>
                <w:vertAlign w:val="superscript"/>
              </w:rPr>
              <w:t>(1)</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89"/>
        </w:trPr>
        <w:tc>
          <w:tcPr>
            <w:tcW w:w="1520" w:type="dxa"/>
            <w:vAlign w:val="bottom"/>
            <w:tcBorders>
              <w:bottom w:val="single" w:sz="8" w:color="auto"/>
            </w:tcBorders>
          </w:tcPr>
          <w:p>
            <w:pPr>
              <w:spacing w:after="0"/>
              <w:rPr>
                <w:sz w:val="16"/>
                <w:szCs w:val="16"/>
                <w:color w:val="auto"/>
              </w:rPr>
            </w:pPr>
          </w:p>
        </w:tc>
        <w:tc>
          <w:tcPr>
            <w:tcW w:w="5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9"/>
        </w:trPr>
        <w:tc>
          <w:tcPr>
            <w:tcW w:w="7160" w:type="dxa"/>
            <w:vAlign w:val="bottom"/>
            <w:gridSpan w:val="2"/>
          </w:tcPr>
          <w:p>
            <w:pPr>
              <w:spacing w:after="0"/>
              <w:rPr>
                <w:sz w:val="20"/>
                <w:szCs w:val="20"/>
                <w:color w:val="auto"/>
              </w:rPr>
            </w:pPr>
            <w:r>
              <w:rPr>
                <w:rFonts w:ascii="Arial" w:cs="Arial" w:eastAsia="Arial" w:hAnsi="Arial"/>
                <w:sz w:val="14"/>
                <w:szCs w:val="14"/>
                <w:color w:val="auto"/>
              </w:rPr>
              <w:t>(1)   See “Underwriting” for additional information regarding underwriting compensation.</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9"/>
        </w:trPr>
        <w:tc>
          <w:tcPr>
            <w:tcW w:w="7620" w:type="dxa"/>
            <w:vAlign w:val="bottom"/>
            <w:gridSpan w:val="3"/>
          </w:tcPr>
          <w:p>
            <w:pPr>
              <w:ind w:left="360"/>
              <w:spacing w:after="0"/>
              <w:rPr>
                <w:sz w:val="20"/>
                <w:szCs w:val="20"/>
                <w:color w:val="auto"/>
              </w:rPr>
            </w:pPr>
            <w:r>
              <w:rPr>
                <w:rFonts w:ascii="Arial" w:cs="Arial" w:eastAsia="Arial" w:hAnsi="Arial"/>
                <w:sz w:val="18"/>
                <w:szCs w:val="18"/>
                <w:color w:val="auto"/>
                <w:w w:val="92"/>
              </w:rPr>
              <w:t>The underwriters expect to deliver the shares against payment in New York, New York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5" w:lineRule="exact"/>
        <w:rPr>
          <w:sz w:val="24"/>
          <w:szCs w:val="24"/>
          <w:color w:val="auto"/>
        </w:rPr>
      </w:pPr>
    </w:p>
    <w:p>
      <w:pPr>
        <w:ind w:left="580"/>
        <w:spacing w:after="0"/>
        <w:tabs>
          <w:tab w:leader="none" w:pos="65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Citigroup</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3200"/>
              <w:spacing w:after="0"/>
              <w:rPr>
                <w:sz w:val="20"/>
                <w:szCs w:val="20"/>
                <w:color w:val="auto"/>
              </w:rPr>
            </w:pPr>
            <w:r>
              <w:rPr>
                <w:rFonts w:ascii="Arial" w:cs="Arial" w:eastAsia="Arial" w:hAnsi="Arial"/>
                <w:sz w:val="18"/>
                <w:szCs w:val="18"/>
                <w:b w:val="1"/>
                <w:bCs w:val="1"/>
                <w:color w:val="auto"/>
                <w:w w:val="94"/>
              </w:rPr>
              <w:t>Prospectus Supplement dated</w:t>
            </w:r>
          </w:p>
        </w:tc>
        <w:tc>
          <w:tcPr>
            <w:tcW w:w="3900" w:type="dxa"/>
            <w:vAlign w:val="bottom"/>
          </w:tcPr>
          <w:p>
            <w:pPr>
              <w:jc w:val="right"/>
              <w:ind w:right="3110"/>
              <w:spacing w:after="0"/>
              <w:rPr>
                <w:sz w:val="20"/>
                <w:szCs w:val="20"/>
                <w:color w:val="auto"/>
              </w:rPr>
            </w:pPr>
            <w:r>
              <w:rPr>
                <w:rFonts w:ascii="Arial" w:cs="Arial" w:eastAsia="Arial" w:hAnsi="Arial"/>
                <w:sz w:val="18"/>
                <w:szCs w:val="18"/>
                <w:b w:val="1"/>
                <w:bCs w:val="1"/>
                <w:color w:val="auto"/>
              </w:rPr>
              <w:t>, 2018.</w:t>
            </w:r>
          </w:p>
        </w:tc>
      </w:tr>
      <w:tr>
        <w:trPr>
          <w:trHeight w:val="446"/>
        </w:trPr>
        <w:tc>
          <w:tcPr>
            <w:tcW w:w="56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8"/>
        </w:trPr>
        <w:tc>
          <w:tcPr>
            <w:tcW w:w="566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38" w:right="115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gridSpan w:val="4"/>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87"/>
              </w:rPr>
              <w:t>Prospectus Supplement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About This Prospectus Supplement</w:t>
              </w:r>
            </w:hyperlink>
          </w:p>
        </w:tc>
        <w:tc>
          <w:tcPr>
            <w:tcW w:w="5860" w:type="dxa"/>
            <w:vAlign w:val="bottom"/>
            <w:gridSpan w:val="6"/>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Trademarks, Service Marks and Tradenames</w:t>
              </w:r>
            </w:hyperlink>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Non-GAAP Financial Measures</w:t>
              </w:r>
            </w:hyperlink>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14">
              <w:r>
                <w:rPr>
                  <w:rFonts w:ascii="Arial" w:cs="Arial" w:eastAsia="Arial" w:hAnsi="Arial"/>
                  <w:sz w:val="18"/>
                  <w:szCs w:val="18"/>
                  <w:color w:val="0000EE"/>
                  <w:w w:val="85"/>
                </w:rPr>
                <w:t>Risk Factors</w:t>
              </w:r>
            </w:hyperlink>
          </w:p>
        </w:tc>
        <w:tc>
          <w:tcPr>
            <w:tcW w:w="7500" w:type="dxa"/>
            <w:vAlign w:val="bottom"/>
            <w:gridSpan w:val="18"/>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Special Note Regarding Forward-Looking Statements</w:t>
              </w:r>
            </w:hyperlink>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Certain Relationships and Related Party Transactions</w:t>
              </w:r>
            </w:hyperlink>
          </w:p>
        </w:tc>
        <w:tc>
          <w:tcPr>
            <w:tcW w:w="4560" w:type="dxa"/>
            <w:vAlign w:val="bottom"/>
            <w:gridSpan w:val="3"/>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456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Material United States Federal Income and Estate Tax Consequences to Non-U.S. Holders</w:t>
              </w:r>
            </w:hyperlink>
          </w:p>
        </w:tc>
        <w:tc>
          <w:tcPr>
            <w:tcW w:w="1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Underwriting</w:t>
              </w:r>
            </w:hyperlink>
          </w:p>
        </w:tc>
        <w:tc>
          <w:tcPr>
            <w:tcW w:w="1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S-27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Legal Matters</w:t>
              </w:r>
            </w:hyperlink>
          </w:p>
        </w:tc>
        <w:tc>
          <w:tcPr>
            <w:tcW w:w="7400" w:type="dxa"/>
            <w:vAlign w:val="bottom"/>
            <w:gridSpan w:val="16"/>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7400" w:type="dxa"/>
            <w:vAlign w:val="bottom"/>
            <w:gridSpan w:val="16"/>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shd w:val="clear" w:color="auto" w:fill="CCEEFF"/>
          </w:tcPr>
          <w:p>
            <w:pPr>
              <w:spacing w:after="0" w:line="189"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Where You Can Find More Information</w:t>
              </w:r>
            </w:hyperlink>
          </w:p>
        </w:tc>
        <w:tc>
          <w:tcPr>
            <w:tcW w:w="5540" w:type="dxa"/>
            <w:vAlign w:val="bottom"/>
            <w:gridSpan w:val="5"/>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Incorporation by Reference</w:t>
              </w:r>
            </w:hyperlink>
          </w:p>
        </w:tc>
        <w:tc>
          <w:tcPr>
            <w:tcW w:w="554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85"/>
              </w:rPr>
              <w:t>Prospectus</w:t>
            </w:r>
          </w:p>
        </w:tc>
        <w:tc>
          <w:tcPr>
            <w:tcW w:w="7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About This Prospectus</w:t>
              </w:r>
            </w:hyperlink>
          </w:p>
        </w:tc>
        <w:tc>
          <w:tcPr>
            <w:tcW w:w="6760" w:type="dxa"/>
            <w:vAlign w:val="bottom"/>
            <w:gridSpan w:val="12"/>
            <w:shd w:val="clear" w:color="auto" w:fill="CCEEFF"/>
          </w:tcPr>
          <w:p>
            <w:pPr>
              <w:spacing w:after="0"/>
              <w:rPr>
                <w:sz w:val="16"/>
                <w:szCs w:val="16"/>
                <w:color w:val="auto"/>
              </w:rPr>
            </w:pPr>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National Vision Holdings, Inc.</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Risk Factors</w:t>
              </w:r>
            </w:hyperlink>
          </w:p>
        </w:tc>
        <w:tc>
          <w:tcPr>
            <w:tcW w:w="7500" w:type="dxa"/>
            <w:vAlign w:val="bottom"/>
            <w:gridSpan w:val="18"/>
            <w:shd w:val="clear" w:color="auto" w:fill="CCEEFF"/>
          </w:tcPr>
          <w:p>
            <w:pPr>
              <w:spacing w:after="0"/>
              <w:rPr>
                <w:sz w:val="16"/>
                <w:szCs w:val="16"/>
                <w:color w:val="auto"/>
              </w:rPr>
            </w:pPr>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Special Note Regarding Forward-Looking Statements</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Use of Proceeds</w:t>
              </w:r>
            </w:hyperlink>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Capital Stock</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Selling Stockholders</w:t>
              </w:r>
            </w:hyperlink>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15</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gridSpan w:val="7"/>
          </w:tcPr>
          <w:p>
            <w:pPr>
              <w:spacing w:after="0" w:line="189"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Plan of Distribution</w:t>
              </w:r>
            </w:hyperlink>
          </w:p>
        </w:tc>
        <w:tc>
          <w:tcPr>
            <w:tcW w:w="6920" w:type="dxa"/>
            <w:vAlign w:val="bottom"/>
            <w:tcBorders>
              <w:top w:val="single" w:sz="8" w:color="CCEEFF"/>
            </w:tcBorders>
            <w:gridSpan w:val="13"/>
          </w:tcPr>
          <w:p>
            <w:pPr>
              <w:spacing w:after="0"/>
              <w:rPr>
                <w:sz w:val="16"/>
                <w:szCs w:val="16"/>
                <w:color w:val="auto"/>
              </w:rPr>
            </w:pPr>
          </w:p>
        </w:tc>
        <w:tc>
          <w:tcPr>
            <w:tcW w:w="88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Legal Matters</w:t>
              </w:r>
            </w:hyperlink>
          </w:p>
        </w:tc>
        <w:tc>
          <w:tcPr>
            <w:tcW w:w="7400" w:type="dxa"/>
            <w:vAlign w:val="bottom"/>
            <w:tcBorders>
              <w:bottom w:val="single" w:sz="8" w:color="CCEEFF"/>
            </w:tcBorders>
            <w:gridSpan w:val="16"/>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840" w:type="dxa"/>
            <w:vAlign w:val="bottom"/>
            <w:tcBorders>
              <w:bottom w:val="single" w:sz="8" w:color="0000EE"/>
            </w:tcBorders>
            <w:gridSpan w:val="15"/>
            <w:shd w:val="clear" w:color="auto" w:fill="CCEEFF"/>
          </w:tcPr>
          <w:p>
            <w:pPr>
              <w:spacing w:after="0" w:line="189"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Where You Can Find More Information</w:t>
              </w:r>
            </w:hyperlink>
          </w:p>
        </w:tc>
        <w:tc>
          <w:tcPr>
            <w:tcW w:w="5540" w:type="dxa"/>
            <w:vAlign w:val="bottom"/>
            <w:tcBorders>
              <w:bottom w:val="single" w:sz="8" w:color="CCEEFF"/>
            </w:tcBorders>
            <w:gridSpan w:val="5"/>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1960" w:type="dxa"/>
            <w:vAlign w:val="bottom"/>
            <w:tcBorders>
              <w:bottom w:val="single" w:sz="8" w:color="0000EE"/>
            </w:tcBorders>
            <w:gridSpan w:val="9"/>
          </w:tcPr>
          <w:p>
            <w:pPr>
              <w:spacing w:after="0" w:line="189"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Incorporation by Reference</w:t>
              </w:r>
            </w:hyperlink>
          </w:p>
        </w:tc>
        <w:tc>
          <w:tcPr>
            <w:tcW w:w="6420" w:type="dxa"/>
            <w:vAlign w:val="bottom"/>
            <w:gridSpan w:val="11"/>
          </w:tcPr>
          <w:p>
            <w:pPr>
              <w:spacing w:after="0"/>
              <w:rPr>
                <w:sz w:val="16"/>
                <w:szCs w:val="16"/>
                <w:color w:val="auto"/>
              </w:rPr>
            </w:pPr>
          </w:p>
        </w:tc>
        <w:tc>
          <w:tcPr>
            <w:tcW w:w="880" w:type="dxa"/>
            <w:vAlign w:val="bottom"/>
            <w:gridSpan w:val="4"/>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supplement and the accompanying prospectus or in any free writing prospectus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This document has two parts, a prospectus supplement and an accompanying prospectus dated November 14, 2018.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75"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7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Neither the selling stockholders nor the underwriters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None of us, the selling stockholders or the underwriters are making any representation to you regarding the legality of an investment in the common stock by you under applicable investment or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120015</wp:posOffset>
            </wp:positionV>
            <wp:extent cx="1157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0"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this prospectus supplement,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 References to the “selling stockholders” refer to the selling stockholders listed in the table under the caption “Selling Stockholders” in this prospectus supplement.</w:t>
      </w:r>
    </w:p>
    <w:p>
      <w:pPr>
        <w:spacing w:after="0" w:line="8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 References to “fiscal year 2015,” “fiscal year 2016” and “fiscal year 2017” relate to our fiscal year ended January 2, 2016, our fiscal year ended December 31, 2016 and our fiscal year ended December 30, 2017, respectively.</w:t>
      </w:r>
    </w:p>
    <w:p>
      <w:pPr>
        <w:spacing w:after="0" w:line="8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Amounts in this prospectus supplement and the audited consolidated financial statements incorporated by reference in this prospectus supplement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supplement have been consistently applied to all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supplement and the accompanying prospectus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supplement and the accompanying prospectus (or in documents we have incorporated by reference) are the property of their respective owners.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This prospectus supplement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Supplement Summary―Summary Historical Consolidated Financial and Other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audited consolidated financial statements and related notes thereto in our Annual Report, and the section entitled “Management’s Discussion and Analysis of Financial Condition and Results of Operations” and the unaudited condensed consolidated financial statements and related notes thereto in our Quarterly Reports on Form 10-Q for the quarters ended March 31, 2018, June 30, 2018 and September 29, 2018, or our Quarterly Reports, each of which is incorporated by reference in this prospectus supplement and the accompanying prospectus.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left="100" w:right="20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left="100" w:right="80"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left="100" w:right="4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or AC Lens, to bolster its e-commerce platform.</w:t>
      </w:r>
    </w:p>
    <w:p>
      <w:pPr>
        <w:spacing w:after="0" w:line="63" w:lineRule="exact"/>
        <w:rPr>
          <w:sz w:val="20"/>
          <w:szCs w:val="20"/>
          <w:color w:val="auto"/>
        </w:rPr>
      </w:pPr>
    </w:p>
    <w:p>
      <w:pPr>
        <w:ind w:left="100" w:right="160" w:firstLine="360"/>
        <w:spacing w:after="0" w:line="264"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230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2825" cy="1230630"/>
                    </a:xfrm>
                    <a:prstGeom prst="rect">
                      <a:avLst/>
                    </a:prstGeom>
                    <a:noFill/>
                  </pic:spPr>
                </pic:pic>
              </a:graphicData>
            </a:graphic>
          </wp:anchor>
        </w:drawing>
      </w:r>
    </w:p>
    <w:p>
      <w:pPr>
        <w:spacing w:after="0" w:line="138" w:lineRule="exact"/>
        <w:rPr>
          <w:sz w:val="20"/>
          <w:szCs w:val="20"/>
          <w:color w:val="auto"/>
        </w:rPr>
      </w:pPr>
    </w:p>
    <w:p>
      <w:pPr>
        <w:ind w:left="100"/>
        <w:spacing w:after="0" w:line="264" w:lineRule="auto"/>
        <w:rPr>
          <w:sz w:val="20"/>
          <w:szCs w:val="20"/>
          <w:color w:val="auto"/>
        </w:rPr>
      </w:pPr>
      <w:r>
        <w:rPr>
          <w:rFonts w:ascii="Arial" w:cs="Arial" w:eastAsia="Arial" w:hAnsi="Arial"/>
          <w:sz w:val="18"/>
          <w:szCs w:val="18"/>
          <w:color w:val="auto"/>
        </w:rPr>
        <w:t>by affiliates of KKR Sponsor in March 2014, or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73" w:lineRule="exact"/>
        <w:rPr>
          <w:sz w:val="20"/>
          <w:szCs w:val="20"/>
          <w:color w:val="auto"/>
        </w:rPr>
      </w:pPr>
    </w:p>
    <w:p>
      <w:pPr>
        <w:ind w:left="100" w:right="20" w:firstLine="360"/>
        <w:spacing w:after="0" w:line="302"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supplement neither constitutes part of this prospectus supplement nor is incorporated by reference herein.</w:t>
      </w: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8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2825" cy="658177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60"/>
          </w:cols>
          <w:pgMar w:left="1180" w:top="279" w:right="125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12,500,000 shares.</w:t>
      </w:r>
    </w:p>
    <w:p>
      <w:pPr>
        <w:spacing w:after="0" w:line="151" w:lineRule="exact"/>
        <w:rPr>
          <w:sz w:val="20"/>
          <w:szCs w:val="20"/>
          <w:color w:val="auto"/>
        </w:rPr>
      </w:pPr>
    </w:p>
    <w:p>
      <w:pPr>
        <w:sectPr>
          <w:pgSz w:w="11900" w:h="16838" w:orient="portrait"/>
          <w:cols w:equalWidth="0" w:num="2">
            <w:col w:w="3740" w:space="68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77,164,296 shares (as of October 31, 2018).</w:t>
      </w:r>
    </w:p>
    <w:p>
      <w:pPr>
        <w:spacing w:after="0" w:line="14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stockholders will receive all of the net proceeds and bear all commissions and discounts, if any, from the sale of our common stock pursuant to this prospectus supplement. See “Use of Proceeds” and “Selling Stockholders.”</w:t>
      </w:r>
    </w:p>
    <w:p>
      <w:pPr>
        <w:spacing w:after="0" w:line="64"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20"/>
        <w:spacing w:after="0" w:line="302" w:lineRule="auto"/>
        <w:rPr>
          <w:sz w:val="20"/>
          <w:szCs w:val="20"/>
          <w:color w:val="auto"/>
        </w:rPr>
      </w:pPr>
      <w:r>
        <w:rPr>
          <w:rFonts w:ascii="Arial" w:cs="Arial" w:eastAsia="Arial" w:hAnsi="Arial"/>
          <w:sz w:val="16"/>
          <w:szCs w:val="16"/>
          <w:color w:val="auto"/>
        </w:rPr>
        <w:t>You should carefully read and consider the information set forth under “Risk Factors” herein, in the accompanying prospectus and in the documents incorporated by reference herein, including our Annual Report, before deciding to invest in our common stock.</w:t>
      </w:r>
    </w:p>
    <w:p>
      <w:pPr>
        <w:spacing w:after="0" w:line="46"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Any decision to declare and pay dividends in the future will be made at the sole discretion of our board of directors, or Board of Directors, and will depend on various factors. See “Dividend Policy.”</w:t>
      </w:r>
    </w:p>
    <w:p>
      <w:pPr>
        <w:spacing w:after="0" w:line="7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“EYE”</w:t>
      </w:r>
    </w:p>
    <w:p>
      <w:pPr>
        <w:spacing w:after="0" w:line="117"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right="160" w:firstLine="360"/>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77,164,296 shares of our common stock outstanding as of October 31, 2018, including 11,431 shares of restricted stock outstanding, and does not reflect:</w:t>
      </w:r>
    </w:p>
    <w:p>
      <w:pPr>
        <w:spacing w:after="0" w:line="16" w:lineRule="exact"/>
        <w:rPr>
          <w:sz w:val="20"/>
          <w:szCs w:val="20"/>
          <w:color w:val="auto"/>
        </w:rPr>
      </w:pPr>
    </w:p>
    <w:p>
      <w:pPr>
        <w:ind w:left="800" w:hanging="342"/>
        <w:spacing w:after="0" w:line="270" w:lineRule="auto"/>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7,719,415 shares of common stock issuable upon the exercise of options outstanding as of October 31, 2018, (1) of which 2,599,489 were then vested and exercisable and (2) of which 1,418,159 were time-based options and 1,181,330 were performance-based options. The performance-based options (other than 217,390 performance-based options held by Jeff McAllister, which have different vesting terms and 43,478 of which have vested) have not previously vested and are eligible to vest only upon affiliates of KKR Sponsor achieving certain internal rate of return threshold and multiples of invested capital. We expect that certain performance-based options will vest upon the consummation of this offering. See “Executive Compensation—Narrative to Summary Compensation Table and 2017 Grants of Plan-Based Awards— Equity Awards” in our Annual Report, which is incorporated herein by reference, for additional details around vesting terms;</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101,754 restricted stock units outstanding as of October 31, 2018;</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4,203,599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850,000 shares of common stock available for issuance under our 2018 Associate Stock Purchase Plan;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117" w:lineRule="exact"/>
        <w:rPr>
          <w:sz w:val="20"/>
          <w:szCs w:val="20"/>
          <w:color w:val="auto"/>
        </w:rPr>
      </w:pPr>
    </w:p>
    <w:p>
      <w:pPr>
        <w:ind w:left="100" w:right="140" w:firstLine="360"/>
        <w:spacing w:after="0" w:line="259" w:lineRule="auto"/>
        <w:rPr>
          <w:sz w:val="20"/>
          <w:szCs w:val="20"/>
          <w:color w:val="auto"/>
        </w:rPr>
      </w:pPr>
      <w:r>
        <w:rPr>
          <w:rFonts w:ascii="Arial" w:cs="Arial" w:eastAsia="Arial" w:hAnsi="Arial"/>
          <w:sz w:val="18"/>
          <w:szCs w:val="18"/>
          <w:color w:val="auto"/>
        </w:rPr>
        <w:t>As noted above, we expect that certain performance-based options will vest upon the consummation of this offering. In connection with this vesting event, we expect to incur between $5 million to $7.5 million of stock-based compensation expense. In connection with this offering, we also expect an accrual of between $1.5 million to $2.5 million during the fourth quarter of 2018, relating to an incentive plan for non-executive employees.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140" w:firstLine="360"/>
        <w:spacing w:after="0" w:line="285"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supplement, and the summary historical financial data as of January 2, 2016 has been derived from our audited consolidated financial statements and related notes thereto not included or incorporated by reference in this prospectus supplement. The summary historical financial data as of September 29, 2018 and for the nine months ended September 30, 2017 and September 29, 2018 has been derived from our unaudited condensed consolidated financial statements and related notes thereto incorporated by reference in this prospectus supplement, and the summary historical financial data as of September 30, 2017 has been derived from our unaudited condensed consolidated financial statements and related notes thereto not included or incorporated by reference in this prospectus supplement.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0" w:lineRule="exact"/>
        <w:rPr>
          <w:sz w:val="20"/>
          <w:szCs w:val="20"/>
          <w:color w:val="auto"/>
        </w:rPr>
      </w:pPr>
    </w:p>
    <w:p>
      <w:pPr>
        <w:ind w:left="100" w:right="160" w:firstLine="360"/>
        <w:spacing w:after="0" w:line="255" w:lineRule="auto"/>
        <w:rPr>
          <w:sz w:val="20"/>
          <w:szCs w:val="20"/>
          <w:color w:val="auto"/>
        </w:rPr>
      </w:pPr>
      <w:r>
        <w:rPr>
          <w:rFonts w:ascii="Arial" w:cs="Arial" w:eastAsia="Arial" w:hAnsi="Arial"/>
          <w:sz w:val="18"/>
          <w:szCs w:val="18"/>
          <w:color w:val="auto"/>
        </w:rPr>
        <w:t>The summary historical consolidated financial and other data should be read in conjunction with, and are qualified by reference to, the section entitled “Selected Financial Data” and “Management’s Discussion and Analysis of Financial Condition and Results of Operations” and our audited consolidated financial statements and related notes thereto in the Annual Report and “Management’s Discussion and Analysis of Financial Condition and Results of Operations” and our unaudited condensed consolidated financial statements and related notes thereto in the Quarterly Reports, each of which is incorporated by reference in this prospectus supplement.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January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29,</w:t>
            </w:r>
          </w:p>
        </w:tc>
      </w:tr>
      <w:tr>
        <w:trPr>
          <w:trHeight w:val="171"/>
        </w:trPr>
        <w:tc>
          <w:tcPr>
            <w:tcW w:w="100" w:type="dxa"/>
            <w:vAlign w:val="bottom"/>
          </w:tcPr>
          <w:p>
            <w:pPr>
              <w:spacing w:after="0"/>
              <w:rPr>
                <w:sz w:val="14"/>
                <w:szCs w:val="1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7"/>
                <w:szCs w:val="17"/>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color w:val="auto"/>
                <w:w w:val="95"/>
              </w:rPr>
              <w:t>(Unaudited)</w:t>
            </w: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revenue</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1,062,528</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1,196,195</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1,375,308</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1,053,489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1,180,932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544,781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484,573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540,101</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980" w:type="dxa"/>
            <w:vAlign w:val="bottom"/>
            <w:gridSpan w:val="2"/>
          </w:tcPr>
          <w:p>
            <w:pPr>
              <w:ind w:left="10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526,751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585,030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671,106</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498,862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66,384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55,536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40,965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27,292</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7,173</w:t>
            </w: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26,387</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w:t>
            </w: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19"/>
                <w:szCs w:val="19"/>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14,758</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45,820</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17,120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43,940</w:t>
            </w:r>
          </w:p>
        </w:tc>
        <w:tc>
          <w:tcPr>
            <w:tcW w:w="8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
        </w:trPr>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56,185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57,001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62,035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58,281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 Data:</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83,131</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97,588</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90,252</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96,251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cash used for investing activities</w:t>
            </w:r>
            <w:r>
              <w:rPr>
                <w:rFonts w:ascii="Arial" w:cs="Arial" w:eastAsia="Arial" w:hAnsi="Arial"/>
                <w:sz w:val="29"/>
                <w:szCs w:val="29"/>
                <w:color w:val="auto"/>
                <w:vertAlign w:val="superscript"/>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(80,051)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(94,584)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(68,510)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(78,677)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Net cash (used for) provided by financing activities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(4,317)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(6,574)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(4,827)</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0"/>
        </w:trPr>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29"/>
        </w:trPr>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4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714756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Nine Months</w:t>
            </w: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29,</w:t>
            </w:r>
          </w:p>
        </w:tc>
      </w:tr>
      <w:tr>
        <w:trPr>
          <w:trHeight w:val="17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196"/>
        </w:trPr>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(Unaudited)</w:t>
            </w: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27,621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48,881</w:t>
            </w:r>
          </w:p>
        </w:tc>
        <w:tc>
          <w:tcPr>
            <w:tcW w:w="80" w:type="dxa"/>
            <w:vAlign w:val="bottom"/>
          </w:tcPr>
          <w:p>
            <w:pPr>
              <w:spacing w:after="0"/>
              <w:rPr>
                <w:sz w:val="20"/>
                <w:szCs w:val="20"/>
                <w:color w:val="auto"/>
              </w:rPr>
            </w:pP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1,475,595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1,531,117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1,583,791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1,588,862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1,660,694</w:t>
            </w:r>
          </w:p>
        </w:tc>
        <w:tc>
          <w:tcPr>
            <w:tcW w:w="80" w:type="dxa"/>
            <w:vAlign w:val="bottom"/>
            <w:shd w:val="clear" w:color="auto" w:fill="CCEEFF"/>
          </w:tcPr>
          <w:p>
            <w:pPr>
              <w:spacing w:after="0"/>
              <w:rPr>
                <w:sz w:val="22"/>
                <w:szCs w:val="22"/>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747,825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745,625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569,238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594,795</w:t>
            </w:r>
          </w:p>
        </w:tc>
        <w:tc>
          <w:tcPr>
            <w:tcW w:w="80" w:type="dxa"/>
            <w:vAlign w:val="bottom"/>
          </w:tcPr>
          <w:p>
            <w:pPr>
              <w:spacing w:after="0"/>
              <w:rPr>
                <w:sz w:val="20"/>
                <w:szCs w:val="20"/>
                <w:color w:val="auto"/>
              </w:rPr>
            </w:pP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401,887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659,588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758,171</w:t>
            </w:r>
          </w:p>
        </w:tc>
        <w:tc>
          <w:tcPr>
            <w:tcW w:w="80" w:type="dxa"/>
            <w:vAlign w:val="bottom"/>
            <w:shd w:val="clear" w:color="auto" w:fill="CCEEFF"/>
          </w:tcPr>
          <w:p>
            <w:pPr>
              <w:spacing w:after="0"/>
              <w:rPr>
                <w:sz w:val="22"/>
                <w:szCs w:val="22"/>
                <w:color w:val="auto"/>
              </w:rPr>
            </w:pPr>
          </w:p>
        </w:tc>
      </w:t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21"/>
                <w:szCs w:val="21"/>
                <w:color w:val="auto"/>
              </w:rPr>
            </w:pPr>
          </w:p>
        </w:tc>
      </w:tr>
      <w:tr>
        <w:trPr>
          <w:trHeight w:val="243"/>
        </w:trPr>
        <w:tc>
          <w:tcPr>
            <w:tcW w:w="388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112,585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137,774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159,721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134,686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146,722</w:t>
            </w:r>
          </w:p>
        </w:tc>
        <w:tc>
          <w:tcPr>
            <w:tcW w:w="80" w:type="dxa"/>
            <w:vAlign w:val="bottom"/>
          </w:tcPr>
          <w:p>
            <w:pPr>
              <w:spacing w:after="0"/>
              <w:rPr>
                <w:sz w:val="21"/>
                <w:szCs w:val="21"/>
                <w:color w:val="auto"/>
              </w:rPr>
            </w:pPr>
          </w:p>
        </w:tc>
      </w:tr>
      <w:tr>
        <w:trPr>
          <w:trHeight w:val="243"/>
        </w:trPr>
        <w:tc>
          <w:tcPr>
            <w:tcW w:w="38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80" w:type="dxa"/>
            <w:vAlign w:val="bottom"/>
            <w:shd w:val="clear" w:color="auto" w:fill="CCEEFF"/>
          </w:tcPr>
          <w:p>
            <w:pPr>
              <w:spacing w:after="0"/>
              <w:rPr>
                <w:sz w:val="21"/>
                <w:szCs w:val="2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right="40" w:hanging="353"/>
        <w:spacing w:after="0" w:line="270" w:lineRule="auto"/>
        <w:tabs>
          <w:tab w:leader="none" w:pos="46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November 2016, the FASB issued ASU No. 2016-18, Restricted Cash, which requires that a statement of cash flows explain the change during the period in the total of cash, cash equivalents, and amounts generally described as restricted cash or restricted cash equivalents. This new guidance is effective in fiscal years, including interim periods, beginning after December 15, 2017 and should be applied using a retrospective transition method to each period presented. We adopted this new guidance during the first quarter of 2018, which resulted in an immaterial decrease in net cash used for investing activities of $692,000, $243,000 and $238,000 for the fiscal years 2016 and 2017 and the nine months ended September 30, 2017, respectively. The adoption of this new guidance did not have a material effect on our financial condition or results of operations.</w:t>
      </w:r>
    </w:p>
    <w:p>
      <w:pPr>
        <w:spacing w:after="0" w:line="71" w:lineRule="exact"/>
        <w:rPr>
          <w:rFonts w:ascii="Arial" w:cs="Arial" w:eastAsia="Arial" w:hAnsi="Arial"/>
          <w:sz w:val="13"/>
          <w:szCs w:val="13"/>
          <w:color w:val="auto"/>
        </w:rPr>
      </w:pPr>
    </w:p>
    <w:p>
      <w:pPr>
        <w:ind w:left="460" w:right="20" w:hanging="353"/>
        <w:spacing w:after="0" w:line="267" w:lineRule="auto"/>
        <w:tabs>
          <w:tab w:leader="none" w:pos="4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settlements, secondary offering expenses, long-term incentive plan expenses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secondary offering expenses, long-term incentive plan expenses, amortization of acquisition intangibles and deferred financing costs, other expenses, tax legislation adjustments, tax benefit of stock option exercises, less the tax effect of these adjustments. We describe these adjustments reconciling net income to Adjusted Net Income in the tables below.</w:t>
      </w:r>
    </w:p>
    <w:p>
      <w:pPr>
        <w:spacing w:after="0" w:line="65"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left="100" w:right="40" w:firstLine="360"/>
        <w:spacing w:after="0" w:line="28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82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6882130"/>
                    </a:xfrm>
                    <a:prstGeom prst="rect">
                      <a:avLst/>
                    </a:prstGeom>
                    <a:noFill/>
                  </pic:spPr>
                </pic:pic>
              </a:graphicData>
            </a:graphic>
          </wp:anchor>
        </w:drawing>
      </w:r>
    </w:p>
    <w:p>
      <w:pPr>
        <w:spacing w:after="0" w:line="246"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800" w:right="62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spacing w:after="0" w:line="62" w:lineRule="exact"/>
        <w:rPr>
          <w:rFonts w:ascii="Arial" w:cs="Arial" w:eastAsia="Arial" w:hAnsi="Arial"/>
          <w:sz w:val="18"/>
          <w:szCs w:val="18"/>
          <w:color w:val="auto"/>
        </w:rPr>
      </w:pPr>
    </w:p>
    <w:p>
      <w:pPr>
        <w:ind w:left="800" w:right="66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and Adjusted EBITDA do not reflect period to period changes in taxes, income tax expense or the cash necessary to pay income taxes;</w:t>
      </w:r>
    </w:p>
    <w:p>
      <w:pPr>
        <w:spacing w:after="0" w:line="62" w:lineRule="exact"/>
        <w:rPr>
          <w:rFonts w:ascii="Arial" w:cs="Arial" w:eastAsia="Arial" w:hAnsi="Arial"/>
          <w:sz w:val="18"/>
          <w:szCs w:val="18"/>
          <w:color w:val="auto"/>
        </w:rPr>
      </w:pPr>
    </w:p>
    <w:p>
      <w:pPr>
        <w:ind w:left="800" w:right="480" w:hanging="342"/>
        <w:spacing w:after="0" w:line="26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3" w:lineRule="exact"/>
        <w:rPr>
          <w:rFonts w:ascii="Arial" w:cs="Arial" w:eastAsia="Arial" w:hAnsi="Arial"/>
          <w:sz w:val="18"/>
          <w:szCs w:val="18"/>
          <w:color w:val="auto"/>
        </w:rPr>
      </w:pPr>
    </w:p>
    <w:p>
      <w:pPr>
        <w:ind w:left="800" w:right="520" w:hanging="342"/>
        <w:spacing w:after="0" w:line="26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3" w:lineRule="exact"/>
        <w:rPr>
          <w:rFonts w:ascii="Arial" w:cs="Arial" w:eastAsia="Arial" w:hAnsi="Arial"/>
          <w:sz w:val="18"/>
          <w:szCs w:val="18"/>
          <w:color w:val="auto"/>
        </w:rPr>
      </w:pPr>
    </w:p>
    <w:p>
      <w:pPr>
        <w:ind w:left="800" w:right="68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2"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29,</w:t>
            </w:r>
          </w:p>
        </w:tc>
      </w:tr>
      <w:tr>
        <w:trPr>
          <w:trHeight w:val="178"/>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36,741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40,965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44,069</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51,993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44,404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86,195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118,377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640" w:type="dxa"/>
            <w:vAlign w:val="bottom"/>
            <w:gridSpan w:val="2"/>
          </w:tcPr>
          <w:p>
            <w:pPr>
              <w:ind w:left="100"/>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(k)</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4,644</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7"/>
        </w:trPr>
        <w:tc>
          <w:tcPr>
            <w:tcW w:w="10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112,585</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137,774</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159,721</w:t>
            </w:r>
          </w:p>
        </w:tc>
        <w:tc>
          <w:tcPr>
            <w:tcW w:w="1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134,686</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146,722</w:t>
            </w:r>
          </w:p>
        </w:tc>
        <w:tc>
          <w:tcPr>
            <w:tcW w:w="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7"/>
        </w:trPr>
        <w:tc>
          <w:tcPr>
            <w:tcW w:w="100" w:type="dxa"/>
            <w:vAlign w:val="bottom"/>
            <w:tcBorders>
              <w:bottom w:val="single" w:sz="8" w:color="auto"/>
            </w:tcBorders>
          </w:tcPr>
          <w:p>
            <w:pPr>
              <w:spacing w:after="0"/>
              <w:rPr>
                <w:sz w:val="23"/>
                <w:szCs w:val="23"/>
                <w:color w:val="auto"/>
              </w:rPr>
            </w:pPr>
          </w:p>
        </w:tc>
        <w:tc>
          <w:tcPr>
            <w:tcW w:w="354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859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2825" cy="7859395"/>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January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7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(k)</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4,644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Amortization of acquisition intangibles and</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52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(l)</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(m)</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(42,965)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(n)</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(17,964)</w:t>
            </w:r>
          </w:p>
        </w:tc>
        <w:tc>
          <w:tcPr>
            <w:tcW w:w="0" w:type="dxa"/>
            <w:vAlign w:val="bottom"/>
          </w:tcPr>
          <w:p>
            <w:pPr>
              <w:spacing w:after="0"/>
              <w:rPr>
                <w:sz w:val="1"/>
                <w:szCs w:val="1"/>
                <w:color w:val="auto"/>
              </w:rPr>
            </w:pPr>
          </w:p>
        </w:tc>
      </w:tr>
      <w:tr>
        <w:trPr>
          <w:trHeight w:val="237"/>
        </w:trPr>
        <w:tc>
          <w:tcPr>
            <w:tcW w:w="3540" w:type="dxa"/>
            <w:vAlign w:val="bottom"/>
            <w:gridSpan w:val="3"/>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(o)</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(15,044)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(12,283)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(12,623)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36,055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60" w:hanging="353"/>
        <w:spacing w:after="0" w:line="28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59" w:lineRule="exact"/>
        <w:rPr>
          <w:rFonts w:ascii="Arial" w:cs="Arial" w:eastAsia="Arial" w:hAnsi="Arial"/>
          <w:sz w:val="13"/>
          <w:szCs w:val="13"/>
          <w:color w:val="auto"/>
        </w:rPr>
      </w:pPr>
    </w:p>
    <w:p>
      <w:pPr>
        <w:ind w:left="460" w:right="40" w:hanging="353"/>
        <w:spacing w:after="0" w:line="257"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40" w:hanging="353"/>
        <w:spacing w:after="0" w:line="257"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Reports, each of which is incorporated by reference in this prospectus supplement,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Expenses related to secondary public offerings of our common stock during the nine months ended September 29, 2018.</w:t>
      </w:r>
    </w:p>
    <w:p>
      <w:pPr>
        <w:spacing w:after="0" w:line="109"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expenses pursuant to a long-term incentive plan for non-executive employees who were not participants in the management equity plan for the nine months ended September 29, 2018. This plan was effective in 2014 following the KKR Acquisition, and this payout was triggered as a result of the secondary offering of common stock by KKR and other selling shareholders completed in the third quarter of 2018.</w:t>
      </w:r>
    </w:p>
    <w:p>
      <w:pPr>
        <w:spacing w:after="0" w:line="77" w:lineRule="exact"/>
        <w:rPr>
          <w:rFonts w:ascii="Arial" w:cs="Arial" w:eastAsia="Arial" w:hAnsi="Arial"/>
          <w:sz w:val="14"/>
          <w:szCs w:val="14"/>
          <w:color w:val="auto"/>
        </w:rPr>
      </w:pPr>
    </w:p>
    <w:p>
      <w:pPr>
        <w:ind w:left="460" w:hanging="353"/>
        <w:spacing w:after="0" w:line="270"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$1.0 million, $0.7 million and $1.0 million for fiscal years 2015, 2016 and 2017 and the nine months ended September 30, 2017 and September 29, 2018, respectively; the amortization impact of the KKR Acquisition-related adjustments (e.g., fair value of leasehold interests) of $(1.3) million, $(0.7) million, $(0.3) million, $(0.2) million and $0.3 million for fiscal years 2015, 2016 and 2017 and the nine months ended September 30, 2017 and September 29, 2018, respectively; expenses related to preparation for being an SEC registrant that were not directly attributable to the IPO and therefore not charged to equity of</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808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2825" cy="2808605"/>
                    </a:xfrm>
                    <a:prstGeom prst="rect">
                      <a:avLst/>
                    </a:prstGeom>
                    <a:noFill/>
                  </pic:spPr>
                </pic:pic>
              </a:graphicData>
            </a:graphic>
          </wp:anchor>
        </w:drawing>
      </w:r>
    </w:p>
    <w:p>
      <w:pPr>
        <w:spacing w:after="0" w:line="255" w:lineRule="exact"/>
        <w:rPr>
          <w:sz w:val="20"/>
          <w:szCs w:val="20"/>
          <w:color w:val="auto"/>
        </w:rPr>
      </w:pPr>
    </w:p>
    <w:p>
      <w:pPr>
        <w:ind w:left="460" w:right="40"/>
        <w:spacing w:after="0" w:line="267" w:lineRule="auto"/>
        <w:rPr>
          <w:sz w:val="20"/>
          <w:szCs w:val="20"/>
          <w:color w:val="auto"/>
        </w:rPr>
      </w:pPr>
      <w:r>
        <w:rPr>
          <w:rFonts w:ascii="Arial" w:cs="Arial" w:eastAsia="Arial" w:hAnsi="Arial"/>
          <w:sz w:val="13"/>
          <w:szCs w:val="13"/>
          <w:color w:val="auto"/>
        </w:rPr>
        <w:t>$0.5 million, $2.0 million, $1.8 million and $1.8 million for fiscal years 2015, 2016 and 2017 and the nine months ended September 30, 2017, respectively; differences between the timing of expense versus cash payments related to contributions to charitable organizations of $3.0 million, $(1.0) million, $(1.0) million, $(0.8) million and $(0.8) million for fiscal years 2015, 2016 and 2017 and the nine months ended September 30, 2017 and September 29, 2018, respectively; costs of severance and relocation of $0.5 million, $1.1 million, $1.4 million, $1.0 million and $0.9 million for fiscal years 2015, 2016 and 2017 and the nine months ended September 30, 2017 and September 29, 2018, respectively; excess payroll taxes related to stock option exercises of $1.2 million for the nine months ended September 29, 2018; non-cash write-down of property and equipment of $0.2 million, $0.2 million and $0.4 million for fiscal years 2015, 2016 and 2017, respectively; and other expenses and adjustments totaling $0.8 million, $0.6 million, $0.6 million, $0.5 million and $0.5 million for fiscal years 2015, 2016 and 2017 and the nine months ended September 30, 2017 and September 29, 2018, respectively.</w:t>
      </w:r>
    </w:p>
    <w:p>
      <w:pPr>
        <w:spacing w:after="0" w:line="74" w:lineRule="exact"/>
        <w:rPr>
          <w:sz w:val="20"/>
          <w:szCs w:val="20"/>
          <w:color w:val="auto"/>
        </w:rPr>
      </w:pPr>
    </w:p>
    <w:p>
      <w:pPr>
        <w:ind w:left="460" w:hanging="353"/>
        <w:spacing w:after="0" w:line="267"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and $5.6 million for each of the nine months ended September 30, 2017 and September 29, 2018.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and $3.1 million and $1.3 million for the nine months ended September 30, 2017 and September 29, 2018, respectively. The $7.1 million amortization of deferred financing costs in 2017 includes $3.3 million of the write-off of debt discounts associated with the repayment of all outstanding $125 million of second lien term loans in November 2017.</w:t>
      </w:r>
    </w:p>
    <w:p>
      <w:pPr>
        <w:spacing w:after="0" w:line="74" w:lineRule="exact"/>
        <w:rPr>
          <w:rFonts w:ascii="Arial" w:cs="Arial" w:eastAsia="Arial" w:hAnsi="Arial"/>
          <w:sz w:val="13"/>
          <w:szCs w:val="13"/>
          <w:color w:val="auto"/>
        </w:rPr>
      </w:pPr>
    </w:p>
    <w:p>
      <w:pPr>
        <w:ind w:left="460" w:right="260" w:hanging="353"/>
        <w:spacing w:after="0" w:line="257"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supplement for additional information regarding the 2017 Tax Cuts and Jobs Act.</w:t>
      </w:r>
    </w:p>
    <w:p>
      <w:pPr>
        <w:spacing w:after="0" w:line="77" w:lineRule="exact"/>
        <w:rPr>
          <w:rFonts w:ascii="Arial" w:cs="Arial" w:eastAsia="Arial" w:hAnsi="Arial"/>
          <w:sz w:val="14"/>
          <w:szCs w:val="14"/>
          <w:color w:val="auto"/>
        </w:rPr>
      </w:pPr>
    </w:p>
    <w:p>
      <w:pPr>
        <w:ind w:left="460" w:right="340" w:hanging="353"/>
        <w:spacing w:after="0" w:line="312" w:lineRule="auto"/>
        <w:tabs>
          <w:tab w:leader="none" w:pos="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combined statutory federal and state income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and “Management’s Discussion and Analysis of Financial Condition and Results of Operations” and our unaudited condensed consolidated financial statements and related notes thereto in our Quarterly Reports, each of which is incorporated by reference in this prospectus supplement and the accompanying prospectus, before investing in our common stock. Any of the following risks could materially and adversely affect our business, financial condition, or results of operations. The selected risks described below or incorporated by reference in this prospectus supplement and the accompanying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6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$46.63 on September 7, 2018. The trading price of our common stock may be volatile and may be adversely affected due to a number of factors, most of which we cannot control, including those listed under “Risk Factors” in our Annual Report, which is incorporated by reference in this prospectus supplement, and the following:</w:t>
      </w:r>
    </w:p>
    <w:p>
      <w:pPr>
        <w:spacing w:after="0" w:line="46"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1"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5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440" w:firstLine="360"/>
        <w:spacing w:after="0" w:line="259" w:lineRule="auto"/>
        <w:rPr>
          <w:sz w:val="20"/>
          <w:szCs w:val="20"/>
          <w:color w:val="auto"/>
        </w:rPr>
      </w:pPr>
      <w:r>
        <w:rPr>
          <w:rFonts w:ascii="Arial" w:cs="Arial" w:eastAsia="Arial" w:hAnsi="Arial"/>
          <w:sz w:val="18"/>
          <w:szCs w:val="18"/>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7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7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Upon the consummation of this offering, of our outstanding shares, the 48,584,852 shares sold in the IPO, in the secondary offering of our common stock in March 2018, in the secondary offering of our common stock in July 2018 (for which the overallotment option closed in early August), and any shares sold in this offering, will be freely tradable without restriction or further registration under the Securities Act of 1933, as amended, or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and will also elect to waive the transfer restrictions with respect to a portion of the shares underlying the performance-based options that will vest upon the consummation of this offering. Certain of these shares, are held by non-executive officers and non-directors and, as such, may be sold during the 30-day lock-up period after this offering, subject to compliance with our securities trading policy and applicable securities laws.</w:t>
      </w:r>
    </w:p>
    <w:p>
      <w:pPr>
        <w:spacing w:after="0" w:line="7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shares of common stock held by affiliates of KKR Sponsor and our directors and executive officers after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7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or hedging with respect to, the shares of our common stock or securities convertible into or exchangeable for shares of common stock, each held by them for 30 days following the date of this prospectus supplement and the accompanying prospectus, except with the prior written consent of the underwriters. See “Underwriting” for a description of these lock-up agreements.</w:t>
      </w:r>
    </w:p>
    <w:p>
      <w:pPr>
        <w:spacing w:after="0" w:line="3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expect that KKR Sponsor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73"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In addition, pursuant to a registration rights agreement, each of KKR Sponsor and Berkshire has the right, subject to certain conditions, to require us to register the sale of their shares of our common stock under the Securities Act. By exercising its registration rights and selling a large number of shares, KKR Sponsor or Berkshire could cause the prevailing market price of our common stock to decline. Certain of our other stockholders have “piggyback” registration rights with respect to future registered offerings of our common stock. Registration of any of these outstanding shares of common stock would result in such shares becoming freely tradable without compliance with Rule 144 upon effectiveness of the registration statement.</w:t>
      </w:r>
    </w:p>
    <w:p>
      <w:pPr>
        <w:spacing w:after="0" w:line="5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October 31, 2018, there were stock options outstanding to purchase a total of 7,719,415 shares of our common stock and 101,754 shares of our common stock subject to restricted stock units. In addition, as of October 31, 2018, 4,203,599 shares of our common stock were reserved for future issuance under our incentive plans. In addition, our Board of Directors and stockholders have approved the adoption of our 2018 Associate Stock Purchase Plan, and we have reserved a total of 850,000 shares of our common stock for issuance thereunder.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KKR Sponsor has the ability to exert significant influence over us and its interests may conflict with ours or yours in the future.</w:t>
      </w:r>
    </w:p>
    <w:p>
      <w:pPr>
        <w:spacing w:after="0" w:line="138"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Immediately following this offering, KKR Sponsor will beneficially own 11.9% of our common stock. As a result, KKR Sponsor will have the ability to exert significant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KKR Sponsor and its affiliates may have an interest in pursuing acquisitions, divestitures and other transactions that, in their judgment, could enhance their investment, even though such transactions might involve risks to you. For example, KKR Sponsor could use its influence to have us pursue acquisitions that increase our indebtedness or sales of revenue-generating assets.</w:t>
      </w:r>
    </w:p>
    <w:p>
      <w:pPr>
        <w:spacing w:after="0" w:line="8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KKR Sponsor and its affiliates are in the business of making investments in companies and may from time to time acquire and hold interests in businesses that compete directly or indirectly with us. Our amended and restated certificate of incorporation provides that neither KKR Sponsor nor any of its affiliates or any director who is not employed by us (including any non-employee director who serves as one of our officers in both his director and officer capacities) or his or her affiliates have any duty to refrain from engaging, directly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indirectly, in the same business activities or similar business activities or lines of business in which we operate. KKR Sponsor and its affiliates also may pursue acquisition opportunities that may be complementary to our business and, as a result, those acquisition opportunities may not be available to us.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KKR Sponsor and its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700" w:right="40" w:hanging="356"/>
        <w:spacing w:after="0" w:line="23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and</w:t>
      </w:r>
    </w:p>
    <w:p>
      <w:pPr>
        <w:spacing w:after="0" w:line="1" w:lineRule="exact"/>
        <w:rPr>
          <w:rFonts w:ascii="Arial" w:cs="Arial" w:eastAsia="Arial" w:hAnsi="Arial"/>
          <w:sz w:val="18"/>
          <w:szCs w:val="18"/>
          <w:color w:val="auto"/>
        </w:rPr>
      </w:pPr>
    </w:p>
    <w:p>
      <w:pPr>
        <w:ind w:left="700" w:right="60" w:hanging="356"/>
        <w:spacing w:after="0" w:line="23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 in the accompanying prospectus.</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Certain matters we discuss in this prospectus supplement and the accompanying prospectus and in the documents we incorporate by reference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supplement and the accompanying prospectus. Such risks, uncertainties, and other important factors include, among others, the risks, uncertainties and factors set forth under “Risk Factors” in this prospectus supplement and “Risk Factors” in our Annual Report, which is incorporated herein by reference, and the following:</w:t>
      </w:r>
    </w:p>
    <w:p>
      <w:pPr>
        <w:spacing w:after="0" w:line="64" w:lineRule="exact"/>
        <w:rPr>
          <w:sz w:val="20"/>
          <w:szCs w:val="20"/>
          <w:color w:val="auto"/>
        </w:rPr>
      </w:pPr>
    </w:p>
    <w:p>
      <w:pPr>
        <w:ind w:left="700" w:hanging="356"/>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“Risk Factors” in this prospectus supplement and under “Risk Factors” and “Management’s Discussion and Analysis of Financial Condition and Results of Operations” in our Annual Report and “Management’s Discussion and Analysis of Financial Condition and Results of Operations” in our Quarterly Reports, which are incorporated herein by reference. You should evaluate all forward-looking statements made, or incorporated by reference, in this prospectus supplement and the accompanying prospectus in the context of these risks and uncertainties.</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supplement and the accompanying prospectus or in the documents incorporated by reference herein or therein apply only as of the date made and are expressly qualified in their entirety by the cautionary statements included in this prospectus supplement and the accompanying prospectus or in the documents incorporated by reference herein or therein. We undertake no obligation to publicly update or revise any forward-looking statements to reflect subsequent events or circumstances.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supplement. We will not receive any proceeds from the sale of shares being sold in this offering. The selling stockholders will bear the underwriting commissions and discounts, if any, attributable to their sale of our common stock, and we will bear the remaining expenses. See “Selling Stockholders.”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0"/>
          </w:cols>
          <w:pgMar w:left="1180" w:top="279" w:right="14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Operations—Liquidity and Capital Resources— Debt” in our Annual Report, which is incorporated by reference in this prospectus supplement,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our Board of Directors or a committee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KKR Sponsor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Berkshire. This agreement grants the KKR Sponsor and Berkshire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62"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After the completion of this offering, we expect that affiliates of KKR Sponsor and affiliates of Berkshire will hold 11.9% and 2.8%, respectively, of the total outstanding shares of our common stock following this offering.</w:t>
      </w:r>
    </w:p>
    <w:p>
      <w:pPr>
        <w:spacing w:after="0" w:line="62"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KKR Acquisition, we entered into a registration rights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KKR Sponsor and Berkshire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b w:val="1"/>
          <w:bCs w:val="1"/>
          <w:i w:val="1"/>
          <w:iCs w:val="1"/>
          <w:color w:val="auto"/>
        </w:rPr>
        <w:t xml:space="preserve">Monitoring Agreement. </w:t>
      </w:r>
      <w:r>
        <w:rPr>
          <w:rFonts w:ascii="Arial" w:cs="Arial" w:eastAsia="Arial" w:hAnsi="Arial"/>
          <w:sz w:val="17"/>
          <w:szCs w:val="17"/>
          <w:color w:val="auto"/>
        </w:rPr>
        <w:t>In connection with the KKR Acquisition, NVI entered into a monitoring agreement (the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KKR Sponsor and Berkshire pursuant to which the KKR Sponsor and Berkshire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6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7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80"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Relationship with KKR Capital Markets. </w:t>
      </w:r>
      <w:r>
        <w:rPr>
          <w:rFonts w:ascii="Arial" w:cs="Arial" w:eastAsia="Arial" w:hAnsi="Arial"/>
          <w:sz w:val="17"/>
          <w:szCs w:val="17"/>
          <w:color w:val="auto"/>
        </w:rPr>
        <w:t>KKR Capital Markets LLC (“KCM”), an affiliate of KKR Sponsor, acted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arranger and bookrunner for various financing transactions under our first lien and second lien credit agreements, and received underwriter and transaction fees totaling approximately $2.6 million in fiscal year 2017 and $2.0 million in fiscal year 2015. KCM acted as a lead arranger with respect to the joinder and amendment agreement, dated as of October 9, 2018, relating to the first lien credit agreement, and received $1.2 million in fees in connection therewith.</w:t>
      </w:r>
    </w:p>
    <w:p>
      <w:pPr>
        <w:spacing w:after="0" w:line="6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KCM acted as an underwriter in our IPO and received underwriting discounts and commissions of $4.8 million. KCM also acted as an underwriter in connection with the secondary offering of our common stock in March 2018 and the secondary offering of our common stock in July 2018 (for which the overallotment option closed in early August), and received fees of approximately $3.0 million and $4.0 million, respectively.</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KKR Corporate Lending LLC, an affiliate of KCM, was a participating lender under our revolving credit facility until October 2017 and, in connection therewith, received fees of approximately $0.9 million.</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 As of March 31, 2018, investments funds or accounts managed or advised by KKR Credit no longer held our term loans and have received no principal or interest payments.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58"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b w:val="1"/>
          <w:bCs w:val="1"/>
          <w:i w:val="1"/>
          <w:iCs w:val="1"/>
          <w:color w:val="auto"/>
        </w:rPr>
        <w:t xml:space="preserve">Agreements with Directors and Officers. </w:t>
      </w:r>
      <w:r>
        <w:rPr>
          <w:rFonts w:ascii="Arial" w:cs="Arial" w:eastAsia="Arial" w:hAnsi="Arial"/>
          <w:sz w:val="17"/>
          <w:szCs w:val="17"/>
          <w:color w:val="auto"/>
        </w:rPr>
        <w:t>In addition, we have certain agreements with our directors and officers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Part III. Item 11. “Executive Compensation” of our Annual Report incorporated by reference herein.</w:t>
      </w:r>
    </w:p>
    <w:p>
      <w:pPr>
        <w:spacing w:after="0" w:line="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October 31, 2018 and are based on 77,164,296 shares of our common stock, par value $0.01 per share, outstanding as of October 31,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29"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Shares Beneficially Owned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to be Sold in this</w:t>
            </w:r>
          </w:p>
        </w:tc>
        <w:tc>
          <w:tcPr>
            <w:tcW w:w="180" w:type="dxa"/>
            <w:vAlign w:val="bottom"/>
          </w:tcPr>
          <w:p>
            <w:pPr>
              <w:spacing w:after="0"/>
              <w:rPr>
                <w:sz w:val="14"/>
                <w:szCs w:val="14"/>
                <w:color w:val="auto"/>
              </w:rPr>
            </w:pPr>
          </w:p>
        </w:tc>
        <w:tc>
          <w:tcPr>
            <w:tcW w:w="2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Shares Beneficially Owned</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Percentage</w:t>
            </w: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 Total</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of Total</w:t>
            </w:r>
          </w:p>
        </w:tc>
      </w:tr>
      <w:tr>
        <w:trPr>
          <w:trHeight w:val="178"/>
        </w:trPr>
        <w:tc>
          <w:tcPr>
            <w:tcW w:w="20" w:type="dxa"/>
            <w:vAlign w:val="bottom"/>
          </w:tcPr>
          <w:p>
            <w:pPr>
              <w:spacing w:after="0"/>
              <w:rPr>
                <w:sz w:val="15"/>
                <w:szCs w:val="15"/>
                <w:color w:val="auto"/>
              </w:rPr>
            </w:pPr>
          </w:p>
        </w:tc>
        <w:tc>
          <w:tcPr>
            <w:tcW w:w="27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Selling Stockholders: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line="230" w:lineRule="exact"/>
              <w:rPr>
                <w:sz w:val="20"/>
                <w:szCs w:val="20"/>
                <w:color w:val="auto"/>
              </w:rPr>
            </w:pPr>
            <w:r>
              <w:rPr>
                <w:rFonts w:ascii="Arial" w:cs="Arial" w:eastAsia="Arial" w:hAnsi="Arial"/>
                <w:sz w:val="16"/>
                <w:szCs w:val="16"/>
                <w:color w:val="auto"/>
              </w:rPr>
              <w:t>KKR Vision Aggregator L.P.</w:t>
            </w:r>
            <w:r>
              <w:rPr>
                <w:rFonts w:ascii="Arial" w:cs="Arial" w:eastAsia="Arial" w:hAnsi="Arial"/>
                <w:sz w:val="26"/>
                <w:szCs w:val="26"/>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19,204,167</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24.9%</w:t>
            </w:r>
          </w:p>
        </w:tc>
        <w:tc>
          <w:tcPr>
            <w:tcW w:w="1720" w:type="dxa"/>
            <w:vAlign w:val="bottom"/>
          </w:tcPr>
          <w:p>
            <w:pPr>
              <w:jc w:val="right"/>
              <w:spacing w:after="0"/>
              <w:rPr>
                <w:sz w:val="20"/>
                <w:szCs w:val="20"/>
                <w:color w:val="auto"/>
              </w:rPr>
            </w:pPr>
            <w:r>
              <w:rPr>
                <w:rFonts w:ascii="Arial" w:cs="Arial" w:eastAsia="Arial" w:hAnsi="Arial"/>
                <w:sz w:val="17"/>
                <w:szCs w:val="17"/>
                <w:color w:val="auto"/>
              </w:rPr>
              <w:t>10,054,259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9,149,908</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11.9%</w:t>
            </w:r>
          </w:p>
        </w:tc>
      </w:tr>
      <w:tr>
        <w:trPr>
          <w:trHeight w:val="185"/>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Investment funds affiliated with</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7"/>
        </w:trPr>
        <w:tc>
          <w:tcPr>
            <w:tcW w:w="20" w:type="dxa"/>
            <w:vAlign w:val="bottom"/>
          </w:tcPr>
          <w:p>
            <w:pPr>
              <w:spacing w:after="0"/>
              <w:rPr>
                <w:sz w:val="21"/>
                <w:szCs w:val="21"/>
                <w:color w:val="auto"/>
              </w:rPr>
            </w:pPr>
          </w:p>
        </w:tc>
        <w:tc>
          <w:tcPr>
            <w:tcW w:w="2960" w:type="dxa"/>
            <w:vAlign w:val="bottom"/>
            <w:gridSpan w:val="2"/>
            <w:shd w:val="clear" w:color="auto" w:fill="CCEEFF"/>
          </w:tcPr>
          <w:p>
            <w:pPr>
              <w:ind w:left="140"/>
              <w:spacing w:after="0" w:line="247" w:lineRule="exact"/>
              <w:rPr>
                <w:sz w:val="20"/>
                <w:szCs w:val="20"/>
                <w:color w:val="auto"/>
              </w:rPr>
            </w:pPr>
            <w:r>
              <w:rPr>
                <w:rFonts w:ascii="Arial" w:cs="Arial" w:eastAsia="Arial" w:hAnsi="Arial"/>
                <w:sz w:val="17"/>
                <w:szCs w:val="17"/>
                <w:color w:val="auto"/>
              </w:rPr>
              <w:t>Berkshire</w:t>
            </w:r>
            <w:r>
              <w:rPr>
                <w:rFonts w:ascii="Arial" w:cs="Arial" w:eastAsia="Arial" w:hAnsi="Arial"/>
                <w:sz w:val="28"/>
                <w:szCs w:val="28"/>
                <w:color w:val="auto"/>
                <w:vertAlign w:val="superscript"/>
              </w:rPr>
              <w:t>(2)(3)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4,490,850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2,351,165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2,139,685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r>
      <w:tr>
        <w:trPr>
          <w:trHeight w:val="371"/>
        </w:trPr>
        <w:tc>
          <w:tcPr>
            <w:tcW w:w="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Mitchell Goodman</w:t>
            </w:r>
            <w:r>
              <w:rPr>
                <w:rFonts w:ascii="Arial" w:cs="Arial" w:eastAsia="Arial" w:hAnsi="Arial"/>
                <w:sz w:val="28"/>
                <w:szCs w:val="28"/>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7"/>
                <w:szCs w:val="17"/>
                <w:color w:val="auto"/>
              </w:rPr>
              <w:t>180,646</w:t>
            </w:r>
          </w:p>
        </w:tc>
        <w:tc>
          <w:tcPr>
            <w:tcW w:w="15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94,576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86,070</w:t>
            </w:r>
          </w:p>
        </w:tc>
        <w:tc>
          <w:tcPr>
            <w:tcW w:w="14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909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0" w:lineRule="exact"/>
        <w:rPr>
          <w:sz w:val="20"/>
          <w:szCs w:val="20"/>
          <w:color w:val="auto"/>
        </w:rPr>
      </w:pPr>
    </w:p>
    <w:p>
      <w:pPr>
        <w:ind w:left="347" w:hanging="347"/>
        <w:spacing w:after="0"/>
        <w:tabs>
          <w:tab w:leader="none" w:pos="347"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8" w:lineRule="auto"/>
        <w:tabs>
          <w:tab w:leader="none" w:pos="347"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19,204,167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controlling shareholder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Street, New York, New York 10019.</w:t>
      </w:r>
    </w:p>
    <w:p>
      <w:pPr>
        <w:spacing w:after="0" w:line="4" w:lineRule="exact"/>
        <w:rPr>
          <w:rFonts w:ascii="Arial" w:cs="Arial" w:eastAsia="Arial" w:hAnsi="Arial"/>
          <w:sz w:val="13"/>
          <w:szCs w:val="13"/>
          <w:color w:val="auto"/>
        </w:rPr>
      </w:pPr>
    </w:p>
    <w:p>
      <w:pPr>
        <w:ind w:left="347" w:right="20" w:hanging="347"/>
        <w:spacing w:after="0" w:line="259" w:lineRule="auto"/>
        <w:tabs>
          <w:tab w:leader="none" w:pos="347"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(i) 4,410,211 shares of common stock held by Berkshire Fund VI, Limited Partnership, or Fund VI, (ii) 57,299 shares of common stock held by Berkshire Investors LLC, or Berkshire Investors, and (iii) 23,340 shares of common stock held by Berkshire Investors III LLC, or Berkshire Investors III. Sixth Berkshire Associates LLC, or 6BA, is the general partner of Fund VI. 6BA is managed by a number of individuals who are managing directors of Berkshire. Certain of the managing directors of Berkshire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D. Randolph Peeler is one of our directors and serves as a Senior Advisor to Berkshire.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Boston, MA 02116.</w:t>
      </w:r>
    </w:p>
    <w:p>
      <w:pPr>
        <w:spacing w:after="0" w:line="4" w:lineRule="exact"/>
        <w:rPr>
          <w:rFonts w:ascii="Arial" w:cs="Arial" w:eastAsia="Arial" w:hAnsi="Arial"/>
          <w:sz w:val="13"/>
          <w:szCs w:val="13"/>
          <w:color w:val="auto"/>
        </w:rPr>
      </w:pPr>
    </w:p>
    <w:p>
      <w:pPr>
        <w:ind w:left="347" w:right="60" w:hanging="347"/>
        <w:spacing w:after="0" w:line="255" w:lineRule="auto"/>
        <w:tabs>
          <w:tab w:leader="none" w:pos="3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2,308,947 shares are being sold in this offering by Fund VI; (ii) 29,999 shares are being sold in this offering by Berkshire Investors; and (iii) 12,219 shares are being sold in this offering by Berkshire Investors III.</w:t>
      </w:r>
    </w:p>
    <w:p>
      <w:pPr>
        <w:spacing w:after="0" w:line="78"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number of shares reported includes 126,706 shares covered by options (other than performance-based options that may vest upon the consummation of this offering) that are exercisable within 60 days.</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Goldman Sachs &amp; Co. LLC and Citigroup Global Markets Inc. are acting as the underwriters for this offering.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w:t>
            </w:r>
          </w:p>
        </w:tc>
      </w:tr>
      <w:tr>
        <w:trPr>
          <w:trHeight w:val="178"/>
        </w:trPr>
        <w:tc>
          <w:tcPr>
            <w:tcW w:w="822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of Shares</w:t>
            </w:r>
          </w:p>
        </w:tc>
      </w:tr>
      <w:tr>
        <w:trPr>
          <w:trHeight w:val="243"/>
        </w:trPr>
        <w:tc>
          <w:tcPr>
            <w:tcW w:w="8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Goldman Sachs &amp; Co. LLC</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24"/>
                <w:szCs w:val="24"/>
                <w:color w:val="auto"/>
              </w:rPr>
            </w:pPr>
          </w:p>
        </w:tc>
      </w:tr>
      <w:tr>
        <w:trPr>
          <w:trHeight w:val="324"/>
        </w:trPr>
        <w:tc>
          <w:tcPr>
            <w:tcW w:w="82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9"/>
              </w:rPr>
              <w:t>The underwriters are committed to take and pay for all of the shares being offered, if any are taken.</w:t>
            </w: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94"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38"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underwriters propose initially to offer the shares to the public at the public offering price set forth on the cover page of this prospectus supplement and to dealers at that price less a concession not in excess of $ per share. After the initial offering, the public offering price, concession or any other term of the offering may be changed.</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00" w:type="dxa"/>
            <w:vAlign w:val="bottom"/>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700" w:type="dxa"/>
            <w:vAlign w:val="bottom"/>
          </w:tcPr>
          <w:p>
            <w:pPr>
              <w:jc w:val="right"/>
              <w:ind w:right="497"/>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7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$0.5 million and are payable by us. We have also agreed to reimburse the underwriters for expenses relating to clearing of this offering with FINRA in an amount up to $25,000.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We, our directors and executive officers and the selling stockholders will agree, for 30 days after the date of this prospectus supplement and the accompanying prospectus, without first obtaining the written consent of the underwriters, not to directly or indirectly, subject to certain exceptions:</w:t>
      </w:r>
    </w:p>
    <w:p>
      <w:pPr>
        <w:spacing w:after="0" w:line="73" w:lineRule="exact"/>
        <w:rPr>
          <w:sz w:val="20"/>
          <w:szCs w:val="20"/>
          <w:color w:val="auto"/>
        </w:rPr>
      </w:pPr>
    </w:p>
    <w:p>
      <w:pPr>
        <w:jc w:val="both"/>
        <w:ind w:left="700" w:right="60" w:hanging="356"/>
        <w:spacing w:after="0" w:line="26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This agreement does not apply to any existing employee benefit plans. The underwriters may, in their sole discretion and at any time or from time to time before the termination of the 30-day period, release all or any portion of the securities subject to lock-up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connection with the offering,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and Citigroup Global Markets Inc. or their respective affiliates serve as joint lead arrangers and joint bookrunners under our first lien credit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underwriters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right="6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20" w:hanging="7"/>
        <w:spacing w:after="0" w:line="287" w:lineRule="auto"/>
        <w:tabs>
          <w:tab w:leader="none" w:pos="2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6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20" w:hanging="356"/>
        <w:spacing w:after="0" w:line="264" w:lineRule="auto"/>
        <w:tabs>
          <w:tab w:leader="none" w:pos="7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40" w:hanging="356"/>
        <w:spacing w:after="0" w:line="277" w:lineRule="auto"/>
        <w:tabs>
          <w:tab w:leader="none" w:pos="7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00" w:hanging="356"/>
        <w:spacing w:after="0" w:line="277" w:lineRule="auto"/>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supplement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consolidated financial statements incorporated in this prospectus supplement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w:t>
      </w:r>
    </w:p>
    <w:p>
      <w:pPr>
        <w:spacing w:after="0" w:line="85"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on May 15, 2018, June 30, 2018, filed on August 14, 2018, and September 29, 2018, filed on November 13, 2018;</w:t>
      </w:r>
    </w:p>
    <w:p>
      <w:pPr>
        <w:spacing w:after="0" w:line="62"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June 7, 2018, July 30, 2018, September 10, 2018 and October 9, 2018; and</w:t>
      </w:r>
    </w:p>
    <w:p>
      <w:pPr>
        <w:spacing w:after="0" w:line="62" w:lineRule="exact"/>
        <w:rPr>
          <w:rFonts w:ascii="Arial" w:cs="Arial" w:eastAsia="Arial" w:hAnsi="Arial"/>
          <w:sz w:val="18"/>
          <w:szCs w:val="18"/>
          <w:color w:val="auto"/>
        </w:rPr>
      </w:pPr>
    </w:p>
    <w:p>
      <w:pPr>
        <w:ind w:left="700" w:right="400" w:hanging="356"/>
        <w:spacing w:after="0" w:line="308"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National Vision Holdings, Inc., 2435 Commerce Avenue, Bldg. 2200, Duluth, Georgia 30096; Attention: Corporate Secretary (telephone: 770-822-3600).</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154940</wp:posOffset>
            </wp:positionV>
            <wp:extent cx="1346200" cy="1037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selling stockholders may offer and sell from time to time shares of our common stock.</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selling stockholders will determine when they sell shares of our common stock, which may be sold on a continuous or delayed basis directly, to or through agents, dealers or underwriters as designated from time to time, or through a combination of these methods. The selling stockholders reserve the sole right to accept, and they and any agents, dealers and underwriters reserve the right to reject, in whole or in part, any proposed purchase of shares of our common stock. If any agents, dealers or underwriters are involved in the sale of any shares of our common stock, the applicable prospectus supplement will set forth any applicable commissions or discounts payable to them. We will not receive any proceeds from the sale of the shares of our common stock by the selling stockholders.</w:t>
      </w:r>
    </w:p>
    <w:p>
      <w:pPr>
        <w:spacing w:after="0" w:line="18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time any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or free writing prospectus may also add, update, change or clarify information contained in or incorporated by reference in this prospectus. This prospectus may not be used to sell shares of our common stock unless accompanied by a prospectus supplement describing the method and terms of the offering.</w:t>
      </w:r>
    </w:p>
    <w:p>
      <w:pPr>
        <w:spacing w:after="0" w:line="17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common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or NASDAQ, under the symbol “EYE.”</w:t>
      </w:r>
    </w:p>
    <w:p>
      <w:pPr>
        <w:spacing w:after="0" w:line="225" w:lineRule="exact"/>
        <w:rPr>
          <w:sz w:val="20"/>
          <w:szCs w:val="20"/>
          <w:color w:val="auto"/>
        </w:rPr>
      </w:pPr>
    </w:p>
    <w:p>
      <w:pPr>
        <w:ind w:right="20" w:firstLine="3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45">
        <w:r>
          <w:rPr>
            <w:rFonts w:ascii="Arial" w:cs="Arial" w:eastAsia="Arial" w:hAnsi="Arial"/>
            <w:sz w:val="17"/>
            <w:szCs w:val="17"/>
            <w:b w:val="1"/>
            <w:bCs w:val="1"/>
            <w:i w:val="1"/>
            <w:iCs w:val="1"/>
            <w:u w:val="single" w:color="auto"/>
            <w:color w:val="0000EE"/>
          </w:rPr>
          <w:t>4</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of this prospectus and the risk factors in any applicable prospectus supplement and in any documents we incorporate by reference herein or therein to read about factors you should consider before buying shares of our common stock.</w:t>
      </w:r>
    </w:p>
    <w:p>
      <w:pPr>
        <w:spacing w:after="0" w:line="16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980" w:type="dxa"/>
            <w:vAlign w:val="bottom"/>
            <w:gridSpan w:val="15"/>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4"/>
          </w:tcPr>
          <w:p>
            <w:pPr>
              <w:jc w:val="right"/>
              <w:ind w:right="41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About This Prospectus</w:t>
              </w:r>
            </w:hyperlink>
          </w:p>
        </w:tc>
        <w:tc>
          <w:tcPr>
            <w:tcW w:w="2340" w:type="dxa"/>
            <w:vAlign w:val="bottom"/>
            <w:gridSpan w:val="6"/>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National Vision Holdings, Inc.</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Risk Factors</w:t>
              </w:r>
            </w:hyperlink>
          </w:p>
        </w:tc>
        <w:tc>
          <w:tcPr>
            <w:tcW w:w="3080" w:type="dxa"/>
            <w:vAlign w:val="bottom"/>
            <w:gridSpan w:val="12"/>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Special Note Regarding Forward-Looking Statements</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Use of Proceeds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Capital Stock</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Selling Stockholders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60" w:type="dxa"/>
            <w:vAlign w:val="bottom"/>
            <w:gridSpan w:val="6"/>
          </w:tcPr>
          <w:p>
            <w:pPr>
              <w:spacing w:after="0" w:line="189"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Plan of Distribution</w:t>
              </w:r>
            </w:hyperlink>
          </w:p>
        </w:tc>
        <w:tc>
          <w:tcPr>
            <w:tcW w:w="2500" w:type="dxa"/>
            <w:vAlign w:val="bottom"/>
            <w:gridSpan w:val="8"/>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spacing w:after="0" w:line="189"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Legal Matters</w:t>
              </w:r>
            </w:hyperlink>
          </w:p>
        </w:tc>
        <w:tc>
          <w:tcPr>
            <w:tcW w:w="2980" w:type="dxa"/>
            <w:vAlign w:val="bottom"/>
            <w:gridSpan w:val="11"/>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2980" w:type="dxa"/>
            <w:vAlign w:val="bottom"/>
            <w:gridSpan w:val="11"/>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2"/>
            <w:shd w:val="clear" w:color="auto" w:fill="CCEEFF"/>
          </w:tcPr>
          <w:p>
            <w:pPr>
              <w:spacing w:after="0" w:line="189"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Where You Can Find More Information</w:t>
              </w:r>
            </w:hyperlink>
          </w:p>
        </w:tc>
        <w:tc>
          <w:tcPr>
            <w:tcW w:w="11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Incorporation by Reference</w:t>
              </w:r>
            </w:hyperlink>
          </w:p>
        </w:tc>
        <w:tc>
          <w:tcPr>
            <w:tcW w:w="880" w:type="dxa"/>
            <w:vAlign w:val="bottom"/>
            <w:gridSpan w:val="3"/>
          </w:tcPr>
          <w:p>
            <w:pPr>
              <w:spacing w:after="0"/>
              <w:rPr>
                <w:sz w:val="16"/>
                <w:szCs w:val="16"/>
                <w:color w:val="auto"/>
              </w:rPr>
            </w:pPr>
          </w:p>
        </w:tc>
        <w:tc>
          <w:tcPr>
            <w:tcW w:w="11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This prospectus is part of a registration statement on Form S-3 that we filed with the SEC using a “shelf” registration process. Under this shelf registration process, certain selling stockholders may, from time to time, offer and/or sell shares of our common stock in one or more offerings or resales. This prospectus provides you with a general description of the shares of our common stock that such selling stockholders may offer. Each time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may also add, update, change or clarify information contained in or incorporated by reference in this prospectus. If there is any inconsistency between the information in this prospectus and the information in the prospectus supplement, you should rely on the information in the prospectus supplement.</w:t>
      </w:r>
    </w:p>
    <w:p>
      <w:pPr>
        <w:spacing w:after="0" w:line="57" w:lineRule="exact"/>
        <w:rPr>
          <w:sz w:val="20"/>
          <w:szCs w:val="20"/>
          <w:color w:val="auto"/>
        </w:rPr>
      </w:pPr>
    </w:p>
    <w:p>
      <w:pPr>
        <w:ind w:right="740" w:firstLine="360"/>
        <w:spacing w:after="0" w:line="282" w:lineRule="auto"/>
        <w:rPr>
          <w:sz w:val="20"/>
          <w:szCs w:val="20"/>
          <w:color w:val="auto"/>
        </w:rPr>
      </w:pPr>
      <w:r>
        <w:rPr>
          <w:rFonts w:ascii="Arial" w:cs="Arial" w:eastAsia="Arial" w:hAnsi="Arial"/>
          <w:sz w:val="18"/>
          <w:szCs w:val="18"/>
          <w:b w:val="1"/>
          <w:bCs w:val="1"/>
          <w:color w:val="auto"/>
        </w:rPr>
        <w:t>THIS PROSPECTUS MAY NOT BE USED TO SELL ANY SHARES OF OUR COMMON STOCK UNLESS ACCOMPANIED BY A PROSPECTUS SUPPLEMENT.</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5" w:lineRule="exact"/>
        <w:rPr>
          <w:sz w:val="20"/>
          <w:szCs w:val="20"/>
          <w:color w:val="auto"/>
        </w:rPr>
      </w:pPr>
    </w:p>
    <w:p>
      <w:pPr>
        <w:ind w:right="200" w:firstLine="360"/>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in any prospectus supplement or free writing prospectus that we authorize to be delivered to you. Neither we nor any selling stockholders have authorized anyone to provide any information or to make any representations other than those contained, or incorporated by reference, in this prospectus or in any prospectus supplement or free writing prospectus we have prepared. Neither we nor any selling stockholders take responsibility for, or can provide assurance as to the reliability of, any other information that others may provide you. We and any selling stockholders are offering to sell, and seeking offers to buy, securities only in jurisdictions where offers and sales are permitted. You should assume that the information contained, or incorporated by reference, in this prospectus and in any prospectus supplement or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65"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In this prospectus,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we have not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Reports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Neither we nor the selling stockholders can guarantee the accuracy or completeness of any such information contained, or incorporated by reference,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and any applicable prospectus supplement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and any applicable prospectus supplement (or in documents we have incorporated by reference) are the property of their respective owners.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to bolster its e-commerce platform.</w:t>
      </w:r>
    </w:p>
    <w:p>
      <w:pPr>
        <w:spacing w:after="0" w:line="6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 by affiliates of KKR Sponsor in March 2014.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An investment in our common stock involves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December 30, 2017, or the Annual Report, and “Management’s Discussion and Analysis of Financial Condition and Results of Operations” and our unaudited condensed consolidated financial statements and related notes thereto in our Quarterly Reports on Form 10-Q for the quarterly periods ended March 31, 2018, June 30, 2018 and September 29, 2018, or our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common stock pursuant to this prospectus. Any of these risks could materially and adversely affect our business, financial condition, or results of operations.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Certain matters we discuss in this prospectus and in any prospectus supplement or free writing prospectus that we may provide to you in connection with an offering of our common stock described in this prospectus, and in the documents we incorporate or are deemed to be incorporated by reference by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and any prospectus supplement. Such risks, uncertainties, and other important factors include, among others, the risks, uncertainties and factors set forth under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“Risk Factors” and “Management’s Discussion and Analysis of Financial Condition and Results of Operations” in our Annual Report and “Management’s Discussion and Analysis of Financial Condition and Results of Operations” in our Quarterly Reports, which are incorporated herein by reference. You should evaluate all forward-looking statements made, or incorporated by reference, in this prospectus in the context of these risks and uncertainties.</w:t>
      </w:r>
    </w:p>
    <w:p>
      <w:pPr>
        <w:spacing w:after="0" w:line="64"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not receive any of the proceeds from a sale of shares of our common stock by any selling stockholders.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or Board of Directors, determines otherwise, we will issue all shares of our capital stock in uncertificated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57"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KKR Sponsor and Berkshire, or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the Sponsors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requires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12" w:lineRule="auto"/>
        <w:rPr>
          <w:sz w:val="20"/>
          <w:szCs w:val="20"/>
          <w:color w:val="auto"/>
        </w:rPr>
      </w:pPr>
      <w:r>
        <w:rPr>
          <w:rFonts w:ascii="Arial" w:cs="Arial" w:eastAsia="Arial" w:hAnsi="Arial"/>
          <w:sz w:val="18"/>
          <w:szCs w:val="18"/>
          <w:color w:val="auto"/>
        </w:rPr>
        <w:t>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 for stockholders to amend our amended and restated bylaws;</w:t>
      </w:r>
    </w:p>
    <w:p>
      <w:pPr>
        <w:spacing w:after="0" w:line="111"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w:t>
      </w:r>
    </w:p>
    <w:p>
      <w:pPr>
        <w:spacing w:after="0" w:line="11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selling stockholders may sell the shares of our common stock covered by this prospectus in any of the following ways (or in any combination):</w:t>
      </w:r>
    </w:p>
    <w:p>
      <w:pPr>
        <w:spacing w:after="0" w:line="62"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underwriters, brokers or dealers (acting as agent or principal);</w:t>
      </w:r>
    </w:p>
    <w:p>
      <w:pPr>
        <w:spacing w:after="0" w:line="117" w:lineRule="exact"/>
        <w:rPr>
          <w:rFonts w:ascii="Arial" w:cs="Arial" w:eastAsia="Arial" w:hAnsi="Arial"/>
          <w:sz w:val="18"/>
          <w:szCs w:val="18"/>
          <w:color w:val="auto"/>
        </w:rPr>
      </w:pPr>
    </w:p>
    <w:p>
      <w:pPr>
        <w:ind w:left="700" w:right="160" w:hanging="356"/>
        <w:spacing w:after="0" w:line="308"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one or more purchasers, including through a specific bidding or auction process or otherwise;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w:t>
      </w:r>
    </w:p>
    <w:p>
      <w:pPr>
        <w:spacing w:after="0" w:line="62"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Each time that the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73" w:lineRule="exact"/>
        <w:rPr>
          <w:sz w:val="20"/>
          <w:szCs w:val="20"/>
          <w:color w:val="auto"/>
        </w:rPr>
      </w:pPr>
    </w:p>
    <w:p>
      <w:pPr>
        <w:ind w:left="700" w:right="12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shares underwritten or purchased by each of them;</w:t>
      </w:r>
    </w:p>
    <w:p>
      <w:pPr>
        <w:spacing w:after="0" w:line="62" w:lineRule="exact"/>
        <w:rPr>
          <w:rFonts w:ascii="Arial" w:cs="Arial" w:eastAsia="Arial" w:hAnsi="Arial"/>
          <w:sz w:val="18"/>
          <w:szCs w:val="18"/>
          <w:color w:val="auto"/>
        </w:rPr>
      </w:pPr>
    </w:p>
    <w:p>
      <w:pPr>
        <w:jc w:val="both"/>
        <w:ind w:left="700" w:right="40" w:hanging="356"/>
        <w:spacing w:after="0" w:line="26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from the selling stockholders;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securities exchange or market on which the shares may be listed or traded.</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The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selling stockholders may use underwriters with whom we have a material relationship. We will describe the nature of any such relationship in the prospectus supplement, naming the underwriter or underwriters.</w:t>
      </w:r>
    </w:p>
    <w:p>
      <w:pPr>
        <w:spacing w:after="0" w:line="8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 the market offerings into an existing trading market in accordance with Rule 415(a)(4) under the Securities Act. The selling stockholders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3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under the symbol “EYE.”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at the time of any offering made under this prospectus a member of the Financial Industry Regulatory Authority, Inc., or FINRA, participating in the offering has a “conflict of interest” as defined in FINRA’s Rule 5121, or Rule 5121, that offering will be conducted in accordance with the relevant provisions of Rule 5121.</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all or any of the shares of common stock offered by this prospectus.</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99" w:firstLine="360"/>
        <w:spacing w:after="0" w:line="264" w:lineRule="auto"/>
        <w:rPr>
          <w:sz w:val="20"/>
          <w:szCs w:val="20"/>
          <w:color w:val="auto"/>
        </w:rPr>
      </w:pPr>
      <w:r>
        <w:rPr>
          <w:rFonts w:ascii="Arial" w:cs="Arial" w:eastAsia="Arial" w:hAnsi="Arial"/>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73" w:lineRule="exact"/>
        <w:rPr>
          <w:sz w:val="20"/>
          <w:szCs w:val="20"/>
          <w:color w:val="auto"/>
        </w:rPr>
      </w:pPr>
    </w:p>
    <w:p>
      <w:pPr>
        <w:jc w:val="both"/>
        <w:ind w:right="119" w:firstLine="360"/>
        <w:spacing w:after="0" w:line="277" w:lineRule="auto"/>
        <w:rPr>
          <w:sz w:val="20"/>
          <w:szCs w:val="20"/>
          <w:color w:val="auto"/>
        </w:rPr>
      </w:pPr>
      <w:r>
        <w:rPr>
          <w:rFonts w:ascii="Arial" w:cs="Arial" w:eastAsia="Arial" w:hAnsi="Arial"/>
          <w:sz w:val="18"/>
          <w:szCs w:val="18"/>
          <w:color w:val="auto"/>
        </w:rPr>
        <w:t>The specific terms of the lock-up provisions in respect of any given offering will be described in the applicable prospectus supplement.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Unless we state otherwise in the applicable prospectus supplement, the validity of the shares of common stock offered by this prospectus will be passed upon for us and the selling stockholders by Simpson Thacher &amp; Bartlett LLP, New York, New York.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consolidated financial statements incorporated in this prospectus by reference from the Company’s Annual Report on Form 10-K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and all documents that we subsequently file with the SEC under Sections 13(a), 13(c), 14 or 15(d) of the Exchange Act prior to the termination of the offering of shares by means of this prospectus but excluding any documents furnished to, rather than filed with, the SEC, will also be incorporated by reference in this prospectus and deemed to be part of this prospectus, from their respective filing dates:</w:t>
      </w:r>
    </w:p>
    <w:p>
      <w:pPr>
        <w:spacing w:after="0" w:line="58"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on May 15, 2018, June 30, 2018, filed on August 14, 2018, and September 29, 2018, filed on November 13, 2018;</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June 7, 2018, July 30, 2018, September 10, 2018 and October 9, 2018; and</w:t>
      </w:r>
    </w:p>
    <w:p>
      <w:pPr>
        <w:spacing w:after="0" w:line="62" w:lineRule="exact"/>
        <w:rPr>
          <w:rFonts w:ascii="Arial" w:cs="Arial" w:eastAsia="Arial" w:hAnsi="Arial"/>
          <w:sz w:val="18"/>
          <w:szCs w:val="18"/>
          <w:color w:val="auto"/>
        </w:rPr>
      </w:pPr>
    </w:p>
    <w:p>
      <w:pPr>
        <w:ind w:left="700" w:right="340" w:hanging="356"/>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739140</wp:posOffset>
            </wp:positionV>
            <wp:extent cx="1449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right"/>
        <w:ind w:right="3899"/>
        <w:spacing w:after="0"/>
        <w:rPr>
          <w:sz w:val="20"/>
          <w:szCs w:val="20"/>
          <w:color w:val="auto"/>
        </w:rPr>
      </w:pPr>
      <w:r>
        <w:rPr>
          <w:rFonts w:ascii="Arial" w:cs="Arial" w:eastAsia="Arial" w:hAnsi="Arial"/>
          <w:sz w:val="25"/>
          <w:szCs w:val="2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149225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0"/>
          <w:szCs w:val="20"/>
          <w:color w:val="auto"/>
        </w:rPr>
      </w:pPr>
    </w:p>
    <w:p>
      <w:pPr>
        <w:ind w:left="580"/>
        <w:spacing w:after="0"/>
        <w:tabs>
          <w:tab w:leader="none" w:pos="65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071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0718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520700</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2"/>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4"/>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2019-12-08T15:55:30Z</dcterms:created>
  <dcterms:modified xsi:type="dcterms:W3CDTF">2019-12-08T15:55:30Z</dcterms:modified>
</cp:coreProperties>
</file>