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6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auto"/>
              </w:rPr>
              <w:t>SEC Form 3</w:t>
            </w:r>
          </w:p>
        </w:tc>
        <w:tc>
          <w:tcPr>
            <w:tcW w:w="6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160" w:type="dxa"/>
            <w:vAlign w:val="bottom"/>
          </w:tcPr>
          <w:p>
            <w:pPr>
              <w:ind w:left="760"/>
              <w:spacing w:after="0" w:line="2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b w:val="1"/>
                <w:bCs w:val="1"/>
                <w:color w:val="auto"/>
              </w:rPr>
              <w:t>FORM 3</w:t>
            </w:r>
          </w:p>
        </w:tc>
        <w:tc>
          <w:tcPr>
            <w:tcW w:w="6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700" w:type="dxa"/>
            <w:vAlign w:val="bottom"/>
            <w:vMerge w:val="restart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INITIAL STATEMENT OF BENEFICIAL OWNERSHIP OF SECURITIES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OMB Number: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3235-0104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Estimated average burden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hours per response: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7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7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6930390</wp:posOffset>
            </wp:positionH>
            <wp:positionV relativeFrom="paragraph">
              <wp:posOffset>-505460</wp:posOffset>
            </wp:positionV>
            <wp:extent cx="51435" cy="51879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" cy="518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5614670</wp:posOffset>
            </wp:positionH>
            <wp:positionV relativeFrom="paragraph">
              <wp:posOffset>-505460</wp:posOffset>
            </wp:positionV>
            <wp:extent cx="51435" cy="51879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" cy="518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-10160</wp:posOffset>
            </wp:positionH>
            <wp:positionV relativeFrom="paragraph">
              <wp:posOffset>19685</wp:posOffset>
            </wp:positionV>
            <wp:extent cx="7019290" cy="26244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19290" cy="26244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20"/>
          </w:cols>
          <w:pgMar w:left="440" w:top="202" w:right="439" w:bottom="1440" w:gutter="0" w:footer="0" w:header="0"/>
        </w:sectPr>
      </w:pPr>
    </w:p>
    <w:p>
      <w:pPr>
        <w:spacing w:after="0" w:line="42" w:lineRule="exact"/>
        <w:rPr>
          <w:sz w:val="24"/>
          <w:szCs w:val="24"/>
          <w:color w:val="auto"/>
        </w:rPr>
      </w:pPr>
    </w:p>
    <w:tbl>
      <w:tblPr>
        <w:tblLayout w:type="fixed"/>
        <w:tblInd w:w="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31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17"/>
                <w:szCs w:val="17"/>
                <w:color w:val="auto"/>
                <w:vertAlign w:val="superscript"/>
              </w:rPr>
              <w:t>*</w:t>
            </w: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2. Date of Event Requiring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spacing w:after="0" w:line="187" w:lineRule="exact"/>
              <w:rPr>
                <w:rFonts w:ascii="Times New Roman" w:cs="Times New Roman" w:eastAsia="Times New Roman" w:hAnsi="Times New Roman"/>
                <w:sz w:val="17"/>
                <w:szCs w:val="17"/>
                <w:color w:val="0000EE"/>
                <w:w w:val="95"/>
              </w:rPr>
            </w:pPr>
            <w:hyperlink r:id="rId11">
              <w:r>
                <w:rPr>
                  <w:rFonts w:ascii="Times New Roman" w:cs="Times New Roman" w:eastAsia="Times New Roman" w:hAnsi="Times New Roman"/>
                  <w:sz w:val="17"/>
                  <w:szCs w:val="17"/>
                  <w:color w:val="0000EE"/>
                  <w:w w:val="95"/>
                </w:rPr>
                <w:t>Nicholson Michael J</w:t>
              </w:r>
            </w:hyperlink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 w:line="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Statement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0000EE"/>
            </w:tcBorders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80" w:type="dxa"/>
            <w:vAlign w:val="bottom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03/17/2025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3. Issuer Name </w:t>
      </w:r>
      <w:r>
        <w:rPr>
          <w:rFonts w:ascii="Arial" w:cs="Arial" w:eastAsia="Arial" w:hAnsi="Arial"/>
          <w:sz w:val="10"/>
          <w:szCs w:val="10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Ticker or Trading Symbol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16"/>
          <w:szCs w:val="16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16"/>
            <w:szCs w:val="16"/>
            <w:u w:val="single" w:color="auto"/>
            <w:color w:val="0000EE"/>
          </w:rPr>
          <w:t>National Vision Holdings, Inc.</w:t>
        </w:r>
        <w:r>
          <w:rPr>
            <w:rFonts w:ascii="Times New Roman" w:cs="Times New Roman" w:eastAsia="Times New Roman" w:hAnsi="Times New Roman"/>
            <w:sz w:val="16"/>
            <w:szCs w:val="16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16"/>
          <w:szCs w:val="16"/>
          <w:color w:val="000000"/>
        </w:rPr>
        <w:t>[</w:t>
      </w:r>
      <w:r>
        <w:rPr>
          <w:rFonts w:ascii="Times New Roman" w:cs="Times New Roman" w:eastAsia="Times New Roman" w:hAnsi="Times New Roman"/>
          <w:sz w:val="16"/>
          <w:szCs w:val="16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2"/>
          <w:szCs w:val="12"/>
          <w:color w:val="0000FF"/>
        </w:rPr>
        <w:t>EYE</w:t>
      </w:r>
      <w:r>
        <w:rPr>
          <w:rFonts w:ascii="Times New Roman" w:cs="Times New Roman" w:eastAsia="Times New Roman" w:hAnsi="Times New Roman"/>
          <w:sz w:val="16"/>
          <w:szCs w:val="16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00"/>
        </w:rPr>
        <w:t>]</w:t>
      </w:r>
    </w:p>
    <w:p>
      <w:pPr>
        <w:spacing w:after="0" w:line="3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660" w:space="340"/>
            <w:col w:w="6020"/>
          </w:cols>
          <w:pgMar w:left="440" w:top="202" w:right="439" w:bottom="1440" w:gutter="0" w:footer="0" w:header="0"/>
          <w:type w:val="continuous"/>
        </w:sectPr>
      </w:pPr>
    </w:p>
    <w:tbl>
      <w:tblPr>
        <w:tblLayout w:type="fixed"/>
        <w:tblInd w:w="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(Last)</w:t>
            </w:r>
          </w:p>
        </w:tc>
        <w:tc>
          <w:tcPr>
            <w:tcW w:w="9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(First)</w:t>
            </w:r>
          </w:p>
        </w:tc>
        <w:tc>
          <w:tcPr>
            <w:tcW w:w="14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(Middle)</w:t>
            </w:r>
          </w:p>
        </w:tc>
      </w:tr>
      <w:tr>
        <w:trPr>
          <w:trHeight w:val="2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1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2435 COMMERCE AVENUE, BLDG 2200</w:t>
            </w: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08"/>
        </w:trPr>
        <w:tc>
          <w:tcPr>
            <w:tcW w:w="8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1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DULUTH</w:t>
            </w:r>
          </w:p>
        </w:tc>
        <w:tc>
          <w:tcPr>
            <w:tcW w:w="9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GA</w:t>
            </w:r>
          </w:p>
        </w:tc>
        <w:tc>
          <w:tcPr>
            <w:tcW w:w="14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30096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ind w:left="-7" w:right="880" w:firstLine="7"/>
        <w:spacing w:after="0" w:line="281" w:lineRule="auto"/>
        <w:tabs>
          <w:tab w:leader="none" w:pos="108" w:val="left"/>
        </w:tabs>
        <w:numPr>
          <w:ilvl w:val="0"/>
          <w:numId w:val="1"/>
        </w:numPr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Relationship of Reporting Person(s) to Issuer (Check all applicable)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tbl>
      <w:tblPr>
        <w:tblLayout w:type="fixed"/>
        <w:tblInd w:w="51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6"/>
        </w:trPr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Director</w:t>
            </w:r>
          </w:p>
        </w:tc>
        <w:tc>
          <w:tcPr>
            <w:tcW w:w="13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Officer (give title</w:t>
            </w:r>
          </w:p>
        </w:tc>
        <w:tc>
          <w:tcPr>
            <w:tcW w:w="138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  <w:w w:val="99"/>
              </w:rPr>
              <w:t>Other (specify 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11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below)</w:t>
            </w: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ind w:left="118" w:hanging="118"/>
        <w:spacing w:after="0"/>
        <w:tabs>
          <w:tab w:leader="none" w:pos="118" w:val="left"/>
        </w:tabs>
        <w:numPr>
          <w:ilvl w:val="0"/>
          <w:numId w:val="2"/>
        </w:numPr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If Amendment, Date of Original Filed (Month/Day/Year)</w:t>
      </w:r>
    </w:p>
    <w:p>
      <w:pPr>
        <w:spacing w:after="0" w:line="247" w:lineRule="exact"/>
        <w:rPr>
          <w:rFonts w:ascii="Arial" w:cs="Arial" w:eastAsia="Arial" w:hAnsi="Arial"/>
          <w:sz w:val="10"/>
          <w:szCs w:val="10"/>
          <w:color w:val="auto"/>
        </w:rPr>
      </w:pPr>
    </w:p>
    <w:p>
      <w:pPr>
        <w:ind w:left="118" w:hanging="118"/>
        <w:spacing w:after="0"/>
        <w:tabs>
          <w:tab w:leader="none" w:pos="118" w:val="left"/>
        </w:tabs>
        <w:numPr>
          <w:ilvl w:val="0"/>
          <w:numId w:val="2"/>
        </w:numPr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Individual or Joint/Group Filing (Check Applicable Line)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438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Form filed by One Reporting Person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438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Form filed by More than One Reporting Person</w:t>
      </w:r>
    </w:p>
    <w:p>
      <w:pPr>
        <w:spacing w:after="0" w:line="27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87" w:space="720"/>
            <w:col w:w="3073" w:space="222"/>
            <w:col w:w="2718"/>
          </w:cols>
          <w:pgMar w:left="440" w:top="202" w:right="439" w:bottom="1440" w:gutter="0" w:footer="0" w:header="0"/>
          <w:type w:val="continuous"/>
        </w:sectPr>
      </w:pP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10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0"/>
          <w:szCs w:val="10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0"/>
          <w:szCs w:val="10"/>
          <w:color w:val="auto"/>
        </w:rPr>
        <w:t>(Zip)</w:t>
      </w:r>
    </w:p>
    <w:p>
      <w:pPr>
        <w:spacing w:after="0" w:line="153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Table I - Non-Derivative Securities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1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700" w:type="dxa"/>
            <w:vAlign w:val="bottom"/>
          </w:tcPr>
          <w:p>
            <w:pPr>
              <w:ind w:left="1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2. Amount of Securities Beneficially</w:t>
            </w:r>
          </w:p>
        </w:tc>
        <w:tc>
          <w:tcPr>
            <w:tcW w:w="12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3. Ownership Form:</w:t>
            </w:r>
          </w:p>
        </w:tc>
        <w:tc>
          <w:tcPr>
            <w:tcW w:w="2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4. Nature of Indirect Beneficial Ownership (Instr. 5)</w:t>
            </w: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00" w:type="dxa"/>
            <w:vAlign w:val="bottom"/>
          </w:tcPr>
          <w:p>
            <w:pPr>
              <w:ind w:left="17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Owned (Instr. 4)</w:t>
            </w:r>
          </w:p>
        </w:tc>
        <w:tc>
          <w:tcPr>
            <w:tcW w:w="1260" w:type="dxa"/>
            <w:vAlign w:val="bottom"/>
          </w:tcPr>
          <w:p>
            <w:pPr>
              <w:ind w:left="1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Direct (D) or Indirect</w:t>
            </w:r>
          </w:p>
        </w:tc>
        <w:tc>
          <w:tcPr>
            <w:tcW w:w="2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7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0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Table II - Derivative Securities Beneficially Owned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9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15"/>
        </w:trPr>
        <w:tc>
          <w:tcPr>
            <w:tcW w:w="3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3. Title and Amount of Securities Underlying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5. Ownership</w:t>
            </w:r>
          </w:p>
        </w:tc>
        <w:tc>
          <w:tcPr>
            <w:tcW w:w="1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6. Nature of 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3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620" w:type="dxa"/>
            <w:vAlign w:val="bottom"/>
          </w:tcPr>
          <w:p>
            <w:pPr>
              <w:ind w:left="4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Derivative Security (Instr. 4)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10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580" w:type="dxa"/>
            <w:vAlign w:val="bottom"/>
          </w:tcPr>
          <w:p>
            <w:pPr>
              <w:ind w:left="2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Ownership (Instr. 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3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10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3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60" w:type="dxa"/>
            <w:vAlign w:val="bottom"/>
            <w:gridSpan w:val="3"/>
            <w:vMerge w:val="restart"/>
          </w:tcPr>
          <w:p>
            <w:pPr>
              <w:ind w:left="10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3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3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0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3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6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Title</w:t>
            </w:r>
          </w:p>
        </w:tc>
        <w:tc>
          <w:tcPr>
            <w:tcW w:w="1140" w:type="dxa"/>
            <w:vAlign w:val="bottom"/>
          </w:tcPr>
          <w:p>
            <w:pPr>
              <w:ind w:left="54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3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Date</w:t>
            </w:r>
          </w:p>
        </w:tc>
        <w:tc>
          <w:tcPr>
            <w:tcW w:w="16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3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3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3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Remarks: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3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No securities are beneficially owned.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3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/s/ Jared Brandman, as Attorney-in-Fact 03/24/2025</w:t>
            </w: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3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top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** Signature of Reporting Person</w:t>
            </w:r>
          </w:p>
        </w:tc>
        <w:tc>
          <w:tcPr>
            <w:tcW w:w="3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Date</w:t>
            </w: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Reminder: Report on a separate line for each class of securities beneficially owned directly or indirectly.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Instruction 5 (b)(v).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jc w:val="both"/>
        <w:ind w:left="40" w:right="5000" w:hanging="6"/>
        <w:spacing w:after="0" w:line="324" w:lineRule="auto"/>
        <w:tabs>
          <w:tab w:leader="none" w:pos="149" w:val="left"/>
        </w:tabs>
        <w:numPr>
          <w:ilvl w:val="0"/>
          <w:numId w:val="3"/>
        </w:numPr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p>
      <w:pPr>
        <w:sectPr>
          <w:pgSz w:w="11900" w:h="16838" w:orient="portrait"/>
          <w:cols w:equalWidth="0" w:num="1">
            <w:col w:w="11020"/>
          </w:cols>
          <w:pgMar w:left="440" w:top="202" w:right="439" w:bottom="144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383540</wp:posOffset>
            </wp:positionH>
            <wp:positionV relativeFrom="page">
              <wp:posOffset>299720</wp:posOffset>
            </wp:positionV>
            <wp:extent cx="6944360" cy="91027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4360" cy="91027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3" Type="http://schemas.openxmlformats.org/officeDocument/2006/relationships/image" Target="media/image4.png"/><Relationship Id="rId11" Type="http://schemas.openxmlformats.org/officeDocument/2006/relationships/hyperlink" Target="http://www.sec.gov/cgi-bin/browse-edgar?action=getcompany&amp;CIK=0001412597" TargetMode="External"/><Relationship Id="rId12" Type="http://schemas.openxmlformats.org/officeDocument/2006/relationships/hyperlink" Target="http://www.sec.gov/cgi-bin/browse-edgar?action=getcompany&amp;CIK=000171015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2025-03-24T16:02:33Z</dcterms:created>
  <dcterms:modified xsi:type="dcterms:W3CDTF">2025-03-24T16:02:33Z</dcterms:modified>
</cp:coreProperties>
</file>