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June 3, 2021 (June 2, 2021)</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940" w:type="dxa"/>
        <w:tblCellMar>
          <w:top w:w="0" w:type="dxa"/>
          <w:left w:w="0" w:type="dxa"/>
          <w:bottom w:w="0" w:type="dxa"/>
          <w:right w:w="0" w:type="dxa"/>
        </w:tblCellMar>
      </w:tblPr>
      <w:tr>
        <w:trPr>
          <w:trHeight w:val="210"/>
        </w:trPr>
        <w:tc>
          <w:tcPr>
            <w:tcW w:w="5460" w:type="dxa"/>
            <w:vAlign w:val="bottom"/>
          </w:tcPr>
          <w:p>
            <w:pPr>
              <w:jc w:val="center"/>
              <w:ind w:left="181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460" w:type="dxa"/>
            <w:vAlign w:val="bottom"/>
          </w:tcPr>
          <w:p>
            <w:pPr>
              <w:jc w:val="center"/>
              <w:ind w:right="277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351"/>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3"/>
              </w:rPr>
              <w:t>Duluth,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66"/>
        </w:trPr>
        <w:tc>
          <w:tcPr>
            <w:tcW w:w="5460" w:type="dxa"/>
            <w:vAlign w:val="bottom"/>
          </w:tcPr>
          <w:p>
            <w:pPr>
              <w:jc w:val="center"/>
              <w:ind w:left="183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3"/>
                <w:szCs w:val="23"/>
                <w:color w:val="auto"/>
              </w:rPr>
            </w:pPr>
          </w:p>
        </w:tc>
      </w:tr>
      <w:tr>
        <w:trPr>
          <w:trHeight w:val="206"/>
        </w:trPr>
        <w:tc>
          <w:tcPr>
            <w:tcW w:w="5460" w:type="dxa"/>
            <w:vAlign w:val="bottom"/>
          </w:tcPr>
          <w:p>
            <w:pPr>
              <w:jc w:val="center"/>
              <w:ind w:left="181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4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On June 2, 2021 (the “Closing Date”), National Vision Holdings, Inc., a Delaware corporation (the “Company”), Nautilus Acquisition Holdings, Inc., a Delaware corporation (“Holdings”), and National Vision, Inc., a Georgia corporation (“NVI”), entered into Amendment No. 2 (the “Amendment”) to the Amended and Restated Credit Agreement, dated as of July 18, 2019, (as previously amended, the “Existing Credit Agreement”) with Bank of America, N.A., as administrative agent and collateral agent, and the lenders party thereto. Capitalized terms used but not defined herein shall have the meanings assigned to such terms in the Credit Agreement.</w:t>
      </w:r>
    </w:p>
    <w:p>
      <w:pPr>
        <w:spacing w:after="0" w:line="205" w:lineRule="exact"/>
        <w:rPr>
          <w:sz w:val="20"/>
          <w:szCs w:val="20"/>
          <w:color w:val="auto"/>
        </w:rPr>
      </w:pPr>
    </w:p>
    <w:p>
      <w:pPr>
        <w:ind w:right="60" w:firstLine="648"/>
        <w:spacing w:after="0"/>
        <w:rPr>
          <w:sz w:val="20"/>
          <w:szCs w:val="20"/>
          <w:color w:val="auto"/>
        </w:rPr>
      </w:pPr>
      <w:r>
        <w:rPr>
          <w:rFonts w:ascii="Arial" w:cs="Arial" w:eastAsia="Arial" w:hAnsi="Arial"/>
          <w:sz w:val="17"/>
          <w:szCs w:val="17"/>
          <w:color w:val="auto"/>
        </w:rPr>
        <w:t>Pursuant to the Amendment, the Existing Credit Agreement was amended to, among other things, (i) prepay term loans outstanding under the Existing Credit Agreement, such that after giving effect to such prepayment, the aggregate amount of senior secured first lien term loans (“Term A Loans”) outstanding as of the Closing Date is $200,000,000, (ii) add customary LIBOR replacement provisions, (iii) as set forth below, modify the Applicable Margins used to calculate the rate of interest payable on the first lien term loans thereunder, (iv) as set forth below, modify certain financial covenants related to maximum leverage and minimum interest coverage and (v) remove the LIBOR floor, such that LIBOR shall be deemed to be no less than 0.00% per annum (instead of 1.00% per annum under the Existing Credit Agreement).</w:t>
      </w:r>
    </w:p>
    <w:p>
      <w:pPr>
        <w:spacing w:after="0" w:line="20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new Applicable Margins are (i) 1.25% for the first lien term loans that are LIBOR loans and (ii) 0.25% for first lien term loans that are ABR loans. In addition, following the Closing Date, the above Applicable Margins for the first lien term loans will based on NVI’s total leverage ratio according to the following schedule:</w:t>
      </w:r>
    </w:p>
    <w:p>
      <w:pPr>
        <w:spacing w:after="0" w:line="237" w:lineRule="exact"/>
        <w:rPr>
          <w:sz w:val="20"/>
          <w:szCs w:val="20"/>
          <w:color w:val="auto"/>
        </w:rPr>
      </w:pPr>
    </w:p>
    <w:tbl>
      <w:tblPr>
        <w:tblLayout w:type="fixed"/>
        <w:tblInd w:w="870" w:type="dxa"/>
        <w:tblCellMar>
          <w:top w:w="0" w:type="dxa"/>
          <w:left w:w="0" w:type="dxa"/>
          <w:bottom w:w="0" w:type="dxa"/>
          <w:right w:w="0" w:type="dxa"/>
        </w:tblCellMar>
      </w:tblPr>
      <w:tr>
        <w:trPr>
          <w:trHeight w:val="198"/>
        </w:trPr>
        <w:tc>
          <w:tcPr>
            <w:tcW w:w="3400" w:type="dxa"/>
            <w:vAlign w:val="bottom"/>
            <w:tcBorders>
              <w:top w:val="single" w:sz="8" w:color="auto"/>
              <w:left w:val="single" w:sz="8" w:color="auto"/>
              <w:right w:val="single" w:sz="8" w:color="auto"/>
            </w:tcBorders>
            <w:gridSpan w:val="5"/>
          </w:tcPr>
          <w:p>
            <w:pPr>
              <w:jc w:val="center"/>
              <w:ind w:left="530"/>
              <w:spacing w:after="0" w:line="198" w:lineRule="exact"/>
              <w:rPr>
                <w:sz w:val="20"/>
                <w:szCs w:val="20"/>
                <w:color w:val="auto"/>
              </w:rPr>
            </w:pPr>
            <w:r>
              <w:rPr>
                <w:rFonts w:ascii="Arial" w:cs="Arial" w:eastAsia="Arial" w:hAnsi="Arial"/>
                <w:sz w:val="18"/>
                <w:szCs w:val="18"/>
                <w:b w:val="1"/>
                <w:bCs w:val="1"/>
                <w:color w:val="auto"/>
                <w:w w:val="89"/>
              </w:rPr>
              <w:t>Consolidated Total Debt to</w:t>
            </w:r>
          </w:p>
        </w:tc>
        <w:tc>
          <w:tcPr>
            <w:tcW w:w="3400" w:type="dxa"/>
            <w:vAlign w:val="bottom"/>
            <w:tcBorders>
              <w:top w:val="single" w:sz="8" w:color="auto"/>
              <w:right w:val="single" w:sz="8" w:color="auto"/>
            </w:tcBorders>
            <w:vMerge w:val="restart"/>
          </w:tcPr>
          <w:p>
            <w:pPr>
              <w:jc w:val="center"/>
              <w:ind w:left="530"/>
              <w:spacing w:after="0"/>
              <w:rPr>
                <w:sz w:val="20"/>
                <w:szCs w:val="20"/>
                <w:color w:val="auto"/>
              </w:rPr>
            </w:pPr>
            <w:r>
              <w:rPr>
                <w:rFonts w:ascii="Arial" w:cs="Arial" w:eastAsia="Arial" w:hAnsi="Arial"/>
                <w:sz w:val="18"/>
                <w:szCs w:val="18"/>
                <w:b w:val="1"/>
                <w:bCs w:val="1"/>
                <w:color w:val="auto"/>
                <w:w w:val="96"/>
              </w:rPr>
              <w:t>LIBOR Loans</w:t>
            </w:r>
          </w:p>
        </w:tc>
        <w:tc>
          <w:tcPr>
            <w:tcW w:w="3420" w:type="dxa"/>
            <w:vAlign w:val="bottom"/>
            <w:tcBorders>
              <w:top w:val="single" w:sz="8" w:color="auto"/>
              <w:right w:val="single" w:sz="8" w:color="auto"/>
            </w:tcBorders>
            <w:vMerge w:val="restart"/>
          </w:tcPr>
          <w:p>
            <w:pPr>
              <w:jc w:val="center"/>
              <w:ind w:left="510"/>
              <w:spacing w:after="0"/>
              <w:rPr>
                <w:sz w:val="20"/>
                <w:szCs w:val="20"/>
                <w:color w:val="auto"/>
              </w:rPr>
            </w:pPr>
            <w:r>
              <w:rPr>
                <w:rFonts w:ascii="Arial" w:cs="Arial" w:eastAsia="Arial" w:hAnsi="Arial"/>
                <w:sz w:val="18"/>
                <w:szCs w:val="18"/>
                <w:b w:val="1"/>
                <w:bCs w:val="1"/>
                <w:color w:val="auto"/>
                <w:w w:val="92"/>
              </w:rPr>
              <w:t>ABR Loans</w:t>
            </w:r>
          </w:p>
        </w:tc>
        <w:tc>
          <w:tcPr>
            <w:tcW w:w="0" w:type="dxa"/>
            <w:vAlign w:val="bottom"/>
          </w:tcPr>
          <w:p>
            <w:pPr>
              <w:spacing w:after="0"/>
              <w:rPr>
                <w:sz w:val="1"/>
                <w:szCs w:val="1"/>
                <w:color w:val="auto"/>
              </w:rPr>
            </w:pPr>
          </w:p>
        </w:tc>
      </w:tr>
      <w:tr>
        <w:trPr>
          <w:trHeight w:val="140"/>
        </w:trPr>
        <w:tc>
          <w:tcPr>
            <w:tcW w:w="3400" w:type="dxa"/>
            <w:vAlign w:val="bottom"/>
            <w:tcBorders>
              <w:left w:val="single" w:sz="8" w:color="auto"/>
              <w:right w:val="single" w:sz="8" w:color="auto"/>
            </w:tcBorders>
            <w:gridSpan w:val="5"/>
            <w:vMerge w:val="restart"/>
          </w:tcPr>
          <w:p>
            <w:pPr>
              <w:ind w:left="580"/>
              <w:spacing w:after="0"/>
              <w:rPr>
                <w:sz w:val="20"/>
                <w:szCs w:val="20"/>
                <w:color w:val="auto"/>
              </w:rPr>
            </w:pPr>
            <w:r>
              <w:rPr>
                <w:rFonts w:ascii="Arial" w:cs="Arial" w:eastAsia="Arial" w:hAnsi="Arial"/>
                <w:sz w:val="18"/>
                <w:szCs w:val="18"/>
                <w:b w:val="1"/>
                <w:bCs w:val="1"/>
                <w:color w:val="auto"/>
              </w:rPr>
              <w:t>Consolidated EBITDA Ratio</w:t>
            </w:r>
          </w:p>
        </w:tc>
        <w:tc>
          <w:tcPr>
            <w:tcW w:w="3400" w:type="dxa"/>
            <w:vAlign w:val="bottom"/>
            <w:tcBorders>
              <w:right w:val="single" w:sz="8" w:color="auto"/>
            </w:tcBorders>
            <w:vMerge w:val="continue"/>
          </w:tcPr>
          <w:p>
            <w:pPr>
              <w:spacing w:after="0"/>
              <w:rPr>
                <w:sz w:val="12"/>
                <w:szCs w:val="12"/>
                <w:color w:val="auto"/>
              </w:rPr>
            </w:pPr>
          </w:p>
        </w:tc>
        <w:tc>
          <w:tcPr>
            <w:tcW w:w="34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400" w:type="dxa"/>
            <w:vAlign w:val="bottom"/>
            <w:tcBorders>
              <w:left w:val="single" w:sz="8" w:color="auto"/>
              <w:bottom w:val="single" w:sz="8" w:color="auto"/>
              <w:right w:val="single" w:sz="8" w:color="auto"/>
            </w:tcBorders>
            <w:gridSpan w:val="5"/>
            <w:vMerge w:val="continue"/>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00" w:type="dxa"/>
            <w:vAlign w:val="bottom"/>
            <w:tcBorders>
              <w:left w:val="single" w:sz="8" w:color="auto"/>
              <w:bottom w:val="single" w:sz="8" w:color="auto"/>
              <w:right w:val="single" w:sz="8" w:color="auto"/>
            </w:tcBorders>
            <w:gridSpan w:val="5"/>
            <w:shd w:val="clear" w:color="auto" w:fill="F2F2F2"/>
          </w:tcPr>
          <w:p>
            <w:pPr>
              <w:jc w:val="center"/>
              <w:ind w:left="530"/>
              <w:spacing w:after="0"/>
              <w:rPr>
                <w:sz w:val="20"/>
                <w:szCs w:val="20"/>
                <w:color w:val="auto"/>
              </w:rPr>
            </w:pPr>
            <w:r>
              <w:rPr>
                <w:rFonts w:ascii="Arial" w:cs="Arial" w:eastAsia="Arial" w:hAnsi="Arial"/>
                <w:sz w:val="18"/>
                <w:szCs w:val="18"/>
                <w:color w:val="auto"/>
                <w:w w:val="91"/>
              </w:rPr>
              <w:t>&gt;2.50:1.00</w:t>
            </w:r>
          </w:p>
        </w:tc>
        <w:tc>
          <w:tcPr>
            <w:tcW w:w="3400" w:type="dxa"/>
            <w:vAlign w:val="bottom"/>
            <w:tcBorders>
              <w:bottom w:val="single" w:sz="8" w:color="auto"/>
              <w:right w:val="single" w:sz="8" w:color="auto"/>
            </w:tcBorders>
            <w:shd w:val="clear" w:color="auto" w:fill="F2F2F2"/>
          </w:tcPr>
          <w:p>
            <w:pPr>
              <w:jc w:val="center"/>
              <w:ind w:left="530"/>
              <w:spacing w:after="0"/>
              <w:rPr>
                <w:sz w:val="20"/>
                <w:szCs w:val="20"/>
                <w:color w:val="auto"/>
              </w:rPr>
            </w:pPr>
            <w:r>
              <w:rPr>
                <w:rFonts w:ascii="Arial" w:cs="Arial" w:eastAsia="Arial" w:hAnsi="Arial"/>
                <w:sz w:val="18"/>
                <w:szCs w:val="18"/>
                <w:color w:val="auto"/>
                <w:w w:val="90"/>
              </w:rPr>
              <w:t>2.00%</w:t>
            </w:r>
          </w:p>
        </w:tc>
        <w:tc>
          <w:tcPr>
            <w:tcW w:w="3420" w:type="dxa"/>
            <w:vAlign w:val="bottom"/>
            <w:tcBorders>
              <w:bottom w:val="single" w:sz="8" w:color="auto"/>
              <w:right w:val="single" w:sz="8" w:color="auto"/>
            </w:tcBorders>
            <w:shd w:val="clear" w:color="auto" w:fill="F2F2F2"/>
          </w:tcPr>
          <w:p>
            <w:pPr>
              <w:jc w:val="center"/>
              <w:ind w:left="51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2320" w:type="dxa"/>
            <w:vAlign w:val="bottom"/>
            <w:tcBorders>
              <w:right w:val="single" w:sz="8" w:color="auto"/>
            </w:tcBorders>
            <w:gridSpan w:val="4"/>
          </w:tcPr>
          <w:p>
            <w:pPr>
              <w:jc w:val="center"/>
              <w:ind w:right="440"/>
              <w:spacing w:after="0" w:line="189" w:lineRule="exact"/>
              <w:rPr>
                <w:sz w:val="20"/>
                <w:szCs w:val="20"/>
                <w:color w:val="auto"/>
              </w:rPr>
            </w:pPr>
            <w:r>
              <w:rPr>
                <w:rFonts w:ascii="Arial" w:cs="Arial" w:eastAsia="Arial" w:hAnsi="Arial"/>
                <w:sz w:val="18"/>
                <w:szCs w:val="18"/>
                <w:color w:val="auto"/>
                <w:w w:val="91"/>
              </w:rPr>
              <w:t>&lt;2.50:1.00 but &gt;1.75:1.00</w:t>
            </w:r>
          </w:p>
        </w:tc>
        <w:tc>
          <w:tcPr>
            <w:tcW w:w="3400" w:type="dxa"/>
            <w:vAlign w:val="bottom"/>
            <w:tcBorders>
              <w:right w:val="single" w:sz="8" w:color="auto"/>
            </w:tcBorders>
          </w:tcPr>
          <w:p>
            <w:pPr>
              <w:jc w:val="center"/>
              <w:ind w:left="530"/>
              <w:spacing w:after="0" w:line="189" w:lineRule="exact"/>
              <w:rPr>
                <w:sz w:val="20"/>
                <w:szCs w:val="20"/>
                <w:color w:val="auto"/>
              </w:rPr>
            </w:pPr>
            <w:r>
              <w:rPr>
                <w:rFonts w:ascii="Arial" w:cs="Arial" w:eastAsia="Arial" w:hAnsi="Arial"/>
                <w:sz w:val="18"/>
                <w:szCs w:val="18"/>
                <w:color w:val="auto"/>
                <w:w w:val="90"/>
              </w:rPr>
              <w:t>1.75%</w:t>
            </w:r>
          </w:p>
        </w:tc>
        <w:tc>
          <w:tcPr>
            <w:tcW w:w="3420" w:type="dxa"/>
            <w:vAlign w:val="bottom"/>
            <w:tcBorders>
              <w:right w:val="single" w:sz="8" w:color="auto"/>
            </w:tcBorders>
          </w:tcPr>
          <w:p>
            <w:pPr>
              <w:jc w:val="center"/>
              <w:ind w:left="510"/>
              <w:spacing w:after="0" w:line="189" w:lineRule="exact"/>
              <w:rPr>
                <w:sz w:val="20"/>
                <w:szCs w:val="20"/>
                <w:color w:val="auto"/>
              </w:rPr>
            </w:pPr>
            <w:r>
              <w:rPr>
                <w:rFonts w:ascii="Arial" w:cs="Arial" w:eastAsia="Arial" w:hAnsi="Arial"/>
                <w:sz w:val="18"/>
                <w:szCs w:val="18"/>
                <w:color w:val="auto"/>
                <w:w w:val="90"/>
              </w:rPr>
              <w:t>0.75%</w:t>
            </w:r>
          </w:p>
        </w:tc>
        <w:tc>
          <w:tcPr>
            <w:tcW w:w="0" w:type="dxa"/>
            <w:vAlign w:val="bottom"/>
          </w:tcPr>
          <w:p>
            <w:pPr>
              <w:spacing w:after="0"/>
              <w:rPr>
                <w:sz w:val="1"/>
                <w:szCs w:val="1"/>
                <w:color w:val="auto"/>
              </w:rPr>
            </w:pPr>
          </w:p>
        </w:tc>
      </w:tr>
      <w:tr>
        <w:trPr>
          <w:trHeight w:val="34"/>
        </w:trPr>
        <w:tc>
          <w:tcPr>
            <w:tcW w:w="1080" w:type="dxa"/>
            <w:vAlign w:val="bottom"/>
            <w:tcBorders>
              <w:left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bottom w:val="single" w:sz="8" w:color="auto"/>
            </w:tcBorders>
            <w:shd w:val="clear" w:color="auto" w:fill="F2F2F2"/>
          </w:tcPr>
          <w:p>
            <w:pPr>
              <w:spacing w:after="0"/>
              <w:rPr>
                <w:sz w:val="20"/>
                <w:szCs w:val="20"/>
                <w:color w:val="auto"/>
              </w:rPr>
            </w:pPr>
          </w:p>
        </w:tc>
        <w:tc>
          <w:tcPr>
            <w:tcW w:w="2320" w:type="dxa"/>
            <w:vAlign w:val="bottom"/>
            <w:tcBorders>
              <w:bottom w:val="single" w:sz="8" w:color="auto"/>
              <w:right w:val="single" w:sz="8" w:color="auto"/>
            </w:tcBorders>
            <w:gridSpan w:val="4"/>
            <w:shd w:val="clear" w:color="auto" w:fill="F2F2F2"/>
          </w:tcPr>
          <w:p>
            <w:pPr>
              <w:jc w:val="center"/>
              <w:ind w:right="440"/>
              <w:spacing w:after="0" w:line="182" w:lineRule="exact"/>
              <w:rPr>
                <w:sz w:val="20"/>
                <w:szCs w:val="20"/>
                <w:color w:val="auto"/>
              </w:rPr>
            </w:pPr>
            <w:r>
              <w:rPr>
                <w:rFonts w:ascii="Arial" w:cs="Arial" w:eastAsia="Arial" w:hAnsi="Arial"/>
                <w:sz w:val="18"/>
                <w:szCs w:val="18"/>
                <w:color w:val="auto"/>
                <w:w w:val="91"/>
              </w:rPr>
              <w:t>&lt;1.75:1.00 but &gt;1.00:1.00</w:t>
            </w:r>
          </w:p>
        </w:tc>
        <w:tc>
          <w:tcPr>
            <w:tcW w:w="3400" w:type="dxa"/>
            <w:vAlign w:val="bottom"/>
            <w:tcBorders>
              <w:bottom w:val="single" w:sz="8" w:color="auto"/>
              <w:right w:val="single" w:sz="8" w:color="auto"/>
            </w:tcBorders>
            <w:shd w:val="clear" w:color="auto" w:fill="F2F2F2"/>
          </w:tcPr>
          <w:p>
            <w:pPr>
              <w:jc w:val="center"/>
              <w:ind w:left="530"/>
              <w:spacing w:after="0" w:line="182" w:lineRule="exact"/>
              <w:rPr>
                <w:sz w:val="20"/>
                <w:szCs w:val="20"/>
                <w:color w:val="auto"/>
              </w:rPr>
            </w:pPr>
            <w:r>
              <w:rPr>
                <w:rFonts w:ascii="Arial" w:cs="Arial" w:eastAsia="Arial" w:hAnsi="Arial"/>
                <w:sz w:val="18"/>
                <w:szCs w:val="18"/>
                <w:color w:val="auto"/>
                <w:w w:val="90"/>
              </w:rPr>
              <w:t>1.50%</w:t>
            </w:r>
          </w:p>
        </w:tc>
        <w:tc>
          <w:tcPr>
            <w:tcW w:w="3420" w:type="dxa"/>
            <w:vAlign w:val="bottom"/>
            <w:tcBorders>
              <w:bottom w:val="single" w:sz="8" w:color="auto"/>
              <w:right w:val="single" w:sz="8" w:color="auto"/>
            </w:tcBorders>
            <w:shd w:val="clear" w:color="auto" w:fill="F2F2F2"/>
          </w:tcPr>
          <w:p>
            <w:pPr>
              <w:jc w:val="center"/>
              <w:ind w:left="510"/>
              <w:spacing w:after="0" w:line="182" w:lineRule="exact"/>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183"/>
        </w:trPr>
        <w:tc>
          <w:tcPr>
            <w:tcW w:w="3400" w:type="dxa"/>
            <w:vAlign w:val="bottom"/>
            <w:tcBorders>
              <w:left w:val="single" w:sz="8" w:color="auto"/>
              <w:right w:val="single" w:sz="8" w:color="auto"/>
            </w:tcBorders>
            <w:gridSpan w:val="5"/>
          </w:tcPr>
          <w:p>
            <w:pPr>
              <w:jc w:val="center"/>
              <w:ind w:left="530"/>
              <w:spacing w:after="0" w:line="182" w:lineRule="exact"/>
              <w:rPr>
                <w:sz w:val="20"/>
                <w:szCs w:val="20"/>
                <w:color w:val="auto"/>
              </w:rPr>
            </w:pPr>
            <w:r>
              <w:rPr>
                <w:rFonts w:ascii="Arial" w:cs="Arial" w:eastAsia="Arial" w:hAnsi="Arial"/>
                <w:sz w:val="18"/>
                <w:szCs w:val="18"/>
                <w:color w:val="auto"/>
                <w:w w:val="91"/>
              </w:rPr>
              <w:t>&lt;1.00:1.00</w:t>
            </w:r>
          </w:p>
        </w:tc>
        <w:tc>
          <w:tcPr>
            <w:tcW w:w="3400" w:type="dxa"/>
            <w:vAlign w:val="bottom"/>
            <w:tcBorders>
              <w:right w:val="single" w:sz="8" w:color="auto"/>
            </w:tcBorders>
          </w:tcPr>
          <w:p>
            <w:pPr>
              <w:jc w:val="center"/>
              <w:ind w:left="530"/>
              <w:spacing w:after="0" w:line="182" w:lineRule="exact"/>
              <w:rPr>
                <w:sz w:val="20"/>
                <w:szCs w:val="20"/>
                <w:color w:val="auto"/>
              </w:rPr>
            </w:pPr>
            <w:r>
              <w:rPr>
                <w:rFonts w:ascii="Arial" w:cs="Arial" w:eastAsia="Arial" w:hAnsi="Arial"/>
                <w:sz w:val="18"/>
                <w:szCs w:val="18"/>
                <w:color w:val="auto"/>
                <w:w w:val="90"/>
              </w:rPr>
              <w:t>1.25%</w:t>
            </w:r>
          </w:p>
        </w:tc>
        <w:tc>
          <w:tcPr>
            <w:tcW w:w="3420" w:type="dxa"/>
            <w:vAlign w:val="bottom"/>
            <w:tcBorders>
              <w:right w:val="single" w:sz="8" w:color="auto"/>
            </w:tcBorders>
          </w:tcPr>
          <w:p>
            <w:pPr>
              <w:jc w:val="center"/>
              <w:ind w:left="510"/>
              <w:spacing w:after="0" w:line="182" w:lineRule="exact"/>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34"/>
        </w:trPr>
        <w:tc>
          <w:tcPr>
            <w:tcW w:w="108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Consistent with the Existing Credit Agreement, no amortization payments will be due with respect to the Term A Loans (since all amortization therefor has been previously prepaid) and the $200,000,000 balance will be payable upon the Term Loan A Maturity Date.</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In addition, pursuant to the Amendment, Holdings will not permit (i) the Consolidated Total Debt to Consolidated EBITDA Ratio to be negative or greater than (x) 4.50 to 1.00 with respect to the last day of Holdings’ second and third fiscal quarters of 2021 and (y) 4.25 to 1.00 from and after the last day of Holdings’ fourth fiscal quarter of 2021, subject to certain step-ups after the consummation of a Material Acquisition, or (ii) the Consolidated Interest Coverage Ratio of Holdings as of the last day of any fiscal quarter of Holdings to be less than 3.00 to 1.00.</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 copy of the Amendment, including the amended and restated Credit Agreement attached as Exhibit A thereto, is filed herewith as Exhibit 10.1 and incorporated herein by reference. The above description of the Amendment and Credit Agreement is qualified in its entirety by reference to such exhibit.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rFonts w:ascii="Arial" w:cs="Arial" w:eastAsia="Arial" w:hAnsi="Arial"/>
                <w:sz w:val="18"/>
                <w:szCs w:val="18"/>
                <w:color w:val="0000FF"/>
              </w:rPr>
            </w:pPr>
            <w:hyperlink w:anchor="page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0"/>
              </w:rPr>
              <w:t>Amendment No. 2, dated June 2, 2021, the Amended and Restated Credit Agreement, dated as of July, 18, 2019, by and among</w:t>
            </w:r>
          </w:p>
        </w:tc>
      </w:tr>
      <w:tr>
        <w:trPr>
          <w:trHeight w:val="168"/>
        </w:trPr>
        <w:tc>
          <w:tcPr>
            <w:tcW w:w="4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320" w:type="dxa"/>
            <w:vAlign w:val="bottom"/>
            <w:gridSpan w:val="2"/>
          </w:tcPr>
          <w:p>
            <w:pPr>
              <w:spacing w:after="0" w:line="168" w:lineRule="exact"/>
              <w:rPr>
                <w:sz w:val="20"/>
                <w:szCs w:val="20"/>
                <w:color w:val="auto"/>
              </w:rPr>
            </w:pPr>
            <w:r>
              <w:rPr>
                <w:rFonts w:ascii="Arial" w:cs="Arial" w:eastAsia="Arial" w:hAnsi="Arial"/>
                <w:sz w:val="18"/>
                <w:szCs w:val="18"/>
                <w:color w:val="auto"/>
                <w:w w:val="94"/>
              </w:rPr>
              <w:t>Nautilus Acquisition Holdings, Inc., National Vision, Inc., certain subsidiaries of National Vision, Inc., as guarantors, Bank of</w:t>
            </w: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America, N.A., as administrative agent and collateral agent, and the lenders from time to time party thereto.</w:t>
            </w:r>
          </w:p>
        </w:tc>
      </w:tr>
      <w:tr>
        <w:trPr>
          <w:trHeight w:val="257"/>
        </w:trPr>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303"/>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740" w:type="dxa"/>
            <w:vAlign w:val="bottom"/>
          </w:tcPr>
          <w:p>
            <w:pPr>
              <w:spacing w:after="0"/>
              <w:rPr>
                <w:sz w:val="20"/>
                <w:szCs w:val="20"/>
                <w:color w:val="auto"/>
              </w:rPr>
            </w:pPr>
            <w:r>
              <w:rPr>
                <w:rFonts w:ascii="Arial" w:cs="Arial" w:eastAsia="Arial" w:hAnsi="Arial"/>
                <w:sz w:val="18"/>
                <w:szCs w:val="18"/>
                <w:color w:val="auto"/>
              </w:rPr>
              <w:t>Date: June 3, 2021</w:t>
            </w:r>
          </w:p>
        </w:tc>
        <w:tc>
          <w:tcPr>
            <w:tcW w:w="2720" w:type="dxa"/>
            <w:vAlign w:val="bottom"/>
          </w:tcPr>
          <w:p>
            <w:pPr>
              <w:ind w:left="13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2740" w:type="dxa"/>
            <w:vAlign w:val="bottom"/>
          </w:tcPr>
          <w:p>
            <w:pPr>
              <w:spacing w:after="0"/>
              <w:rPr>
                <w:sz w:val="19"/>
                <w:szCs w:val="19"/>
                <w:color w:val="auto"/>
              </w:rPr>
            </w:pPr>
          </w:p>
        </w:tc>
        <w:tc>
          <w:tcPr>
            <w:tcW w:w="2720" w:type="dxa"/>
            <w:vAlign w:val="bottom"/>
          </w:tcPr>
          <w:p>
            <w:pPr>
              <w:ind w:left="138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2740" w:type="dxa"/>
            <w:vAlign w:val="bottom"/>
          </w:tcPr>
          <w:p>
            <w:pPr>
              <w:spacing w:after="0"/>
              <w:rPr>
                <w:sz w:val="20"/>
                <w:szCs w:val="20"/>
                <w:color w:val="auto"/>
              </w:rPr>
            </w:pPr>
          </w:p>
        </w:tc>
        <w:tc>
          <w:tcPr>
            <w:tcW w:w="2720" w:type="dxa"/>
            <w:vAlign w:val="bottom"/>
          </w:tcPr>
          <w:p>
            <w:pPr>
              <w:ind w:left="138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AMENDMENT NO. 2, dated as of June 2, 2021 (this “</w:t>
      </w:r>
      <w:r>
        <w:rPr>
          <w:rFonts w:ascii="Arial" w:cs="Arial" w:eastAsia="Arial" w:hAnsi="Arial"/>
          <w:sz w:val="18"/>
          <w:szCs w:val="18"/>
          <w:u w:val="single" w:color="auto"/>
          <w:color w:val="auto"/>
        </w:rPr>
        <w:t>Amendment No. 2</w:t>
      </w:r>
      <w:r>
        <w:rPr>
          <w:rFonts w:ascii="Arial" w:cs="Arial" w:eastAsia="Arial" w:hAnsi="Arial"/>
          <w:sz w:val="18"/>
          <w:szCs w:val="18"/>
          <w:color w:val="auto"/>
        </w:rPr>
        <w:t>”), by and among NAUTILUS ACQUISITION HOLDINGS, INC., a Delaware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NATIONAL VISION, INC., a Georgia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subsidiaries of the Borrower party hereto, as guarantors (together, with Holdings, the “</w:t>
      </w:r>
      <w:r>
        <w:rPr>
          <w:rFonts w:ascii="Arial" w:cs="Arial" w:eastAsia="Arial" w:hAnsi="Arial"/>
          <w:sz w:val="18"/>
          <w:szCs w:val="18"/>
          <w:u w:val="single" w:color="auto"/>
          <w:color w:val="auto"/>
        </w:rPr>
        <w:t>Guarantors</w:t>
      </w:r>
      <w:r>
        <w:rPr>
          <w:rFonts w:ascii="Arial" w:cs="Arial" w:eastAsia="Arial" w:hAnsi="Arial"/>
          <w:sz w:val="18"/>
          <w:szCs w:val="18"/>
          <w:color w:val="auto"/>
        </w:rPr>
        <w:t>”), each lender party 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w:t>
      </w:r>
      <w:r>
        <w:rPr>
          <w:rFonts w:ascii="Arial" w:cs="Arial" w:eastAsia="Arial" w:hAnsi="Arial"/>
          <w:sz w:val="18"/>
          <w:szCs w:val="18"/>
          <w:u w:val="single" w:color="auto"/>
          <w:color w:val="auto"/>
        </w:rPr>
        <w:t>Bank of America</w:t>
      </w:r>
      <w:r>
        <w:rPr>
          <w:rFonts w:ascii="Arial" w:cs="Arial" w:eastAsia="Arial" w:hAnsi="Arial"/>
          <w:sz w:val="18"/>
          <w:szCs w:val="18"/>
          <w:color w:val="auto"/>
        </w:rPr>
        <w:t>”), as Administrative Agent and Collateral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Unless otherwise indicated, capitalized terms used but not defined herein having the meanings provided in the Credit Agreement (as defined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98"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reference is hereby made to the Amended and Restated Credit Agreement, dated as of July 18, 2019 (as amended by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No. 1 dated May 5, 2020 as may be further amended, amended and restated,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Credit Agreement as amended by this Amendment No. 2,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 among Holdings, the Borrower, the lending institutions from time to time party thereto and Bank of America, N.A., as Administrative Agent, Collateral Agent and Swingline Lender;</w:t>
      </w:r>
    </w:p>
    <w:p>
      <w:pPr>
        <w:spacing w:after="0" w:line="110"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the Credit Agreement, the Borrower has requested that certain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 amended as set forth herein;</w:t>
      </w:r>
    </w:p>
    <w:p>
      <w:pPr>
        <w:spacing w:after="0" w:line="121"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Lender that executes and delivers a counterpart to this Amendment No. 2 will be deemed to have agreed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2 (each such Lender, a “</w:t>
      </w:r>
      <w:r>
        <w:rPr>
          <w:rFonts w:ascii="Arial" w:cs="Arial" w:eastAsia="Arial" w:hAnsi="Arial"/>
          <w:sz w:val="18"/>
          <w:szCs w:val="18"/>
          <w:u w:val="single" w:color="auto"/>
          <w:color w:val="auto"/>
        </w:rPr>
        <w:t>Consenting Lender</w:t>
      </w:r>
      <w:r>
        <w:rPr>
          <w:rFonts w:ascii="Arial" w:cs="Arial" w:eastAsia="Arial" w:hAnsi="Arial"/>
          <w:sz w:val="18"/>
          <w:szCs w:val="18"/>
          <w:color w:val="auto"/>
        </w:rPr>
        <w:t>”); and</w:t>
      </w:r>
    </w:p>
    <w:p>
      <w:pPr>
        <w:spacing w:after="0" w:line="135"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and the Lenders desire to amend the Credit Agreement to make certain changes as set forth in the form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Amended Credit Agreement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AMENDMENTS</w:t>
      </w:r>
    </w:p>
    <w:p>
      <w:pPr>
        <w:spacing w:after="0" w:line="202" w:lineRule="exact"/>
        <w:rPr>
          <w:sz w:val="20"/>
          <w:szCs w:val="20"/>
          <w:color w:val="auto"/>
        </w:rPr>
      </w:pPr>
    </w:p>
    <w:p>
      <w:pPr>
        <w:ind w:left="340" w:right="22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the occurrence of (and concurrently with) the Amendment No. 2 Effective Date (as defined below), each of the Consenting Lenders, the Borrower and the Administrative Agent hereby consents to the amendments to the Credit Agreement made pursuant to the terms of this Amendment No. 2.</w:t>
      </w:r>
    </w:p>
    <w:p>
      <w:pPr>
        <w:spacing w:after="0" w:line="200" w:lineRule="exact"/>
        <w:rPr>
          <w:rFonts w:ascii="Arial" w:cs="Arial" w:eastAsia="Arial" w:hAnsi="Arial"/>
          <w:sz w:val="18"/>
          <w:szCs w:val="18"/>
          <w:color w:val="auto"/>
        </w:rPr>
      </w:pPr>
    </w:p>
    <w:p>
      <w:pPr>
        <w:spacing w:after="0" w:line="361" w:lineRule="exact"/>
        <w:rPr>
          <w:rFonts w:ascii="Arial" w:cs="Arial" w:eastAsia="Arial" w:hAnsi="Arial"/>
          <w:sz w:val="18"/>
          <w:szCs w:val="18"/>
          <w:color w:val="auto"/>
        </w:rPr>
      </w:pPr>
    </w:p>
    <w:p>
      <w:pPr>
        <w:ind w:left="340" w:right="28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Effective as of the Amendment No. 2 Effective Date, the Credit Agreement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single-underlined text (indicated textually in the same manner as the following example: </w:t>
      </w:r>
      <w:r>
        <w:rPr>
          <w:rFonts w:ascii="Arial" w:cs="Arial" w:eastAsia="Arial" w:hAnsi="Arial"/>
          <w:sz w:val="18"/>
          <w:szCs w:val="18"/>
          <w:u w:val="single" w:color="auto"/>
          <w:color w:val="0000FF"/>
        </w:rPr>
        <w:t>single-underlined text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OTHER TERMS OF AMENDMENT NO. 2</w:t>
      </w:r>
    </w:p>
    <w:p>
      <w:pPr>
        <w:spacing w:after="0" w:line="18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The Borrower hereby represents and warrants that:</w:t>
      </w:r>
    </w:p>
    <w:p>
      <w:pPr>
        <w:spacing w:after="0" w:line="202" w:lineRule="exact"/>
        <w:rPr>
          <w:rFonts w:ascii="Arial" w:cs="Arial" w:eastAsia="Arial" w:hAnsi="Arial"/>
          <w:sz w:val="18"/>
          <w:szCs w:val="18"/>
          <w:color w:val="auto"/>
        </w:rPr>
      </w:pPr>
    </w:p>
    <w:p>
      <w:pPr>
        <w:ind w:left="1300" w:right="140" w:hanging="648"/>
        <w:spacing w:after="0" w:line="257" w:lineRule="auto"/>
        <w:rPr>
          <w:rFonts w:ascii="Arial" w:cs="Arial" w:eastAsia="Arial" w:hAnsi="Arial"/>
          <w:sz w:val="18"/>
          <w:szCs w:val="18"/>
          <w:color w:val="auto"/>
        </w:rPr>
      </w:pPr>
      <w:r>
        <w:rPr>
          <w:rFonts w:ascii="Arial" w:cs="Arial" w:eastAsia="Arial" w:hAnsi="Arial"/>
          <w:sz w:val="18"/>
          <w:szCs w:val="18"/>
          <w:color w:val="auto"/>
        </w:rPr>
        <w:t>a.This Amendment No. 2 has been duly authorized, executed and delivered by each Credit Party party hereto and constitutes the legal, valid and binding obligations of each such Credit Party enforceable against it in accordance with its terms, except that the enforceability hereof may be limited by bankruptcy, insolvency or similar laws affecting creditors’ rights generally and subject to general principles of equity. The execution, delivery and performance by each Credit Party of this Amendment No. 2 is within such Credit Party’s corporate powers, has been duly authorized</w:t>
      </w:r>
    </w:p>
    <w:p>
      <w:pPr>
        <w:sectPr>
          <w:pgSz w:w="11900" w:h="16838" w:orient="portrait"/>
          <w:cols w:equalWidth="0" w:num="1">
            <w:col w:w="11240"/>
          </w:cols>
          <w:pgMar w:left="320" w:top="121" w:right="339" w:bottom="1440" w:gutter="0" w:footer="0" w:header="0"/>
        </w:sectPr>
      </w:pPr>
    </w:p>
    <w:bookmarkStart w:id="5" w:name="page6"/>
    <w:bookmarkEnd w:id="5"/>
    <w:p>
      <w:pPr>
        <w:spacing w:after="0" w:line="306" w:lineRule="exact"/>
        <w:rPr>
          <w:sz w:val="20"/>
          <w:szCs w:val="20"/>
          <w:color w:val="auto"/>
        </w:rPr>
      </w:pPr>
    </w:p>
    <w:p>
      <w:pPr>
        <w:ind w:left="1292" w:right="60"/>
        <w:spacing w:after="0" w:line="271" w:lineRule="auto"/>
        <w:rPr>
          <w:sz w:val="20"/>
          <w:szCs w:val="20"/>
          <w:color w:val="auto"/>
        </w:rPr>
      </w:pPr>
      <w:r>
        <w:rPr>
          <w:rFonts w:ascii="Arial" w:cs="Arial" w:eastAsia="Arial" w:hAnsi="Arial"/>
          <w:sz w:val="17"/>
          <w:szCs w:val="17"/>
          <w:color w:val="auto"/>
        </w:rPr>
        <w:t>by all necessary corporate or other organizational action, and does not and will not (a) conflict with or contravene the terms of any Credit Party’s organizational documents, (b) result in any breach or contravention of, or the creation of any Lien under (other than under the Credit Documents), or require any payment to be made under (i) any Contractual Requirement to which any Credit Party is a party or affecting any Credit Party or the properties of the Borrower or any of its Subsidiaries or (ii) any order, injunction, writ or decree of any Governmental Authority or any arbitral award to which any Credit Party or its property is subject; or (c) violate any applicable law; except with respect to any conflict, breach or contravention or payment or violation (but not creation of Liens) referred to in clauses (b) or (c), to the extent that such conflict, breach, contravention or payment or violation could not, individually or in the aggregate, reasonably be expected to have a Material Adverse Effect.</w:t>
      </w:r>
    </w:p>
    <w:p>
      <w:pPr>
        <w:spacing w:after="0" w:line="138" w:lineRule="exact"/>
        <w:rPr>
          <w:sz w:val="20"/>
          <w:szCs w:val="20"/>
          <w:color w:val="auto"/>
        </w:rPr>
      </w:pPr>
    </w:p>
    <w:p>
      <w:pPr>
        <w:ind w:left="1292" w:hanging="644"/>
        <w:spacing w:after="0" w:line="277" w:lineRule="auto"/>
        <w:tabs>
          <w:tab w:leader="none" w:pos="12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of the Amendment No. 2 Effective Date, the information included in any Beneficial Ownership Certification (as defined below) is true and correct in all respects.</w:t>
      </w:r>
    </w:p>
    <w:p>
      <w:pPr>
        <w:spacing w:after="0" w:line="125" w:lineRule="exact"/>
        <w:rPr>
          <w:rFonts w:ascii="Arial" w:cs="Arial" w:eastAsia="Arial" w:hAnsi="Arial"/>
          <w:sz w:val="18"/>
          <w:szCs w:val="18"/>
          <w:color w:val="auto"/>
        </w:rPr>
      </w:pPr>
    </w:p>
    <w:p>
      <w:pPr>
        <w:ind w:left="652" w:right="220" w:hanging="652"/>
        <w:spacing w:after="0" w:line="266"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Borrower and Guarantor Certifications</w:t>
      </w:r>
      <w:r>
        <w:rPr>
          <w:rFonts w:ascii="Arial" w:cs="Arial" w:eastAsia="Arial" w:hAnsi="Arial"/>
          <w:sz w:val="18"/>
          <w:szCs w:val="18"/>
          <w:color w:val="auto"/>
        </w:rPr>
        <w:t>. By its execution of this Amendment No. 2, each undersigned officer of the Borrower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party hereto, to the best of his or her knowledge, and the Borrower and Guarantors hereby certify that (the “Borrower and Guarantor Certifications”):</w:t>
      </w:r>
    </w:p>
    <w:p>
      <w:pPr>
        <w:spacing w:after="0" w:line="152" w:lineRule="exact"/>
        <w:rPr>
          <w:rFonts w:ascii="Arial" w:cs="Arial" w:eastAsia="Arial" w:hAnsi="Arial"/>
          <w:sz w:val="18"/>
          <w:szCs w:val="18"/>
          <w:color w:val="auto"/>
        </w:rPr>
      </w:pPr>
    </w:p>
    <w:p>
      <w:pPr>
        <w:ind w:left="1292" w:right="1000" w:hanging="644"/>
        <w:spacing w:after="0" w:line="277" w:lineRule="auto"/>
        <w:tabs>
          <w:tab w:leader="none" w:pos="1282" w:val="left"/>
        </w:tabs>
        <w:numPr>
          <w:ilvl w:val="1"/>
          <w:numId w:val="6"/>
        </w:numPr>
        <w:rPr>
          <w:rFonts w:ascii="Arial" w:cs="Arial" w:eastAsia="Arial" w:hAnsi="Arial"/>
          <w:sz w:val="18"/>
          <w:szCs w:val="18"/>
          <w:color w:val="auto"/>
        </w:rPr>
      </w:pPr>
      <w:r>
        <w:rPr>
          <w:rFonts w:ascii="Arial" w:cs="Arial" w:eastAsia="Arial" w:hAnsi="Arial"/>
          <w:sz w:val="18"/>
          <w:szCs w:val="18"/>
          <w:color w:val="auto"/>
        </w:rPr>
        <w:t>no Default or Event of Default exists on the date hereof before or after giving effect to the consummation of the transactions contemplated by this Amendment No. 2; and</w:t>
      </w:r>
    </w:p>
    <w:p>
      <w:pPr>
        <w:spacing w:after="0" w:line="129" w:lineRule="exact"/>
        <w:rPr>
          <w:rFonts w:ascii="Arial" w:cs="Arial" w:eastAsia="Arial" w:hAnsi="Arial"/>
          <w:sz w:val="18"/>
          <w:szCs w:val="18"/>
          <w:color w:val="auto"/>
        </w:rPr>
      </w:pPr>
    </w:p>
    <w:p>
      <w:pPr>
        <w:ind w:left="1292" w:right="60" w:hanging="644"/>
        <w:spacing w:after="0" w:line="254"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representations and warranties made by each Credit Party contained in the Credit Agreement, the Amended Credit Agreement or in the other Credit Documents are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representations and warranties which are qualified by materiality, material adverse effect or similar language shall be true and correct in all respects) on and as of the date hereof with the same effect as though made on and as of the date hereof, except where such representations and warranties expressly relate to an earlier date, in which case such representations and warranties were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representations and warranties which are qualified by materiality, material adverse effect or similar language shall be true and correct in all respects) as of such earlier date.</w:t>
      </w:r>
    </w:p>
    <w:p>
      <w:pPr>
        <w:spacing w:after="0" w:line="150" w:lineRule="exact"/>
        <w:rPr>
          <w:rFonts w:ascii="Arial" w:cs="Arial" w:eastAsia="Arial" w:hAnsi="Arial"/>
          <w:sz w:val="18"/>
          <w:szCs w:val="18"/>
          <w:color w:val="auto"/>
        </w:rPr>
      </w:pPr>
    </w:p>
    <w:p>
      <w:pPr>
        <w:ind w:left="652" w:right="460" w:hanging="652"/>
        <w:spacing w:after="0" w:line="282" w:lineRule="auto"/>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Amendment No. 2 Effective Date Conditions</w:t>
      </w:r>
      <w:r>
        <w:rPr>
          <w:rFonts w:ascii="Arial" w:cs="Arial" w:eastAsia="Arial" w:hAnsi="Arial"/>
          <w:sz w:val="18"/>
          <w:szCs w:val="18"/>
          <w:color w:val="auto"/>
        </w:rPr>
        <w:t>. This Amendment No. 2 will become effective on the date (the “Amendment No. 2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on which each of the following conditions (the “Amendment No. 2 Effective Date Conditions”) is satisfied:</w:t>
      </w:r>
    </w:p>
    <w:p>
      <w:pPr>
        <w:spacing w:after="0" w:line="138" w:lineRule="exact"/>
        <w:rPr>
          <w:rFonts w:ascii="Arial" w:cs="Arial" w:eastAsia="Arial" w:hAnsi="Arial"/>
          <w:sz w:val="18"/>
          <w:szCs w:val="18"/>
          <w:color w:val="auto"/>
        </w:rPr>
      </w:pPr>
    </w:p>
    <w:p>
      <w:pPr>
        <w:ind w:left="1292" w:right="60" w:hanging="644"/>
        <w:spacing w:after="0" w:line="263" w:lineRule="auto"/>
        <w:tabs>
          <w:tab w:leader="none" w:pos="1282"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from the Borrower, each Guarantor and each Consenting Lender a counterpart of this Amendment No. 2 signed on behalf of such party with such Consenting Lenders constituting all Lenders listed on Annex B and Annex C </w:t>
      </w:r>
      <w:r>
        <w:rPr>
          <w:rFonts w:ascii="Arial" w:cs="Arial" w:eastAsia="Arial" w:hAnsi="Arial"/>
          <w:sz w:val="18"/>
          <w:szCs w:val="18"/>
          <w:u w:val="single" w:color="auto"/>
          <w:color w:val="auto"/>
        </w:rPr>
        <w:t>hereto</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left="1292" w:right="100" w:hanging="644"/>
        <w:spacing w:after="0" w:line="311" w:lineRule="auto"/>
        <w:tabs>
          <w:tab w:leader="none" w:pos="1292"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Administrative Agent and each Consenting Lender shall have received the executed legal opinion of (i) Simpson Thacher &amp; Bartlett LLP, special New York counsel to the Credit Parties and (ii) Kilpatrick Townsend &amp; Stockton LLP, special Georgia counsel to the Credit Parties. The Borrower, the other Credit Parties and the Administrative Agent hereby instruct such counsel to deliver such legal opinions;</w:t>
      </w:r>
    </w:p>
    <w:p>
      <w:pPr>
        <w:spacing w:after="0" w:line="108" w:lineRule="exact"/>
        <w:rPr>
          <w:rFonts w:ascii="Arial" w:cs="Arial" w:eastAsia="Arial" w:hAnsi="Arial"/>
          <w:sz w:val="16"/>
          <w:szCs w:val="16"/>
          <w:color w:val="auto"/>
        </w:rPr>
      </w:pPr>
    </w:p>
    <w:p>
      <w:pPr>
        <w:ind w:left="1292" w:right="320" w:hanging="644"/>
        <w:spacing w:after="0" w:line="263" w:lineRule="auto"/>
        <w:tabs>
          <w:tab w:leader="none" w:pos="128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Borrower shall have paid all fees, reasonable costs and expenses (including, without limitation the reasonable fees, charges and disbursements of Cahill Gordon &amp; Reindel llp, counsel for the Administrative Agent) of the Administrative Agent for which invoices have been presented prior to the Amendment No. 2 Effective Date;</w:t>
      </w:r>
    </w:p>
    <w:p>
      <w:pPr>
        <w:spacing w:after="0" w:line="156" w:lineRule="exact"/>
        <w:rPr>
          <w:rFonts w:ascii="Arial" w:cs="Arial" w:eastAsia="Arial" w:hAnsi="Arial"/>
          <w:sz w:val="18"/>
          <w:szCs w:val="18"/>
          <w:color w:val="auto"/>
        </w:rPr>
      </w:pPr>
    </w:p>
    <w:p>
      <w:pPr>
        <w:ind w:left="1292" w:right="220" w:hanging="644"/>
        <w:spacing w:after="0" w:line="263"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At least three Business Days prior to the Amendment No. 2 Effective Date, if the Borrower qualifies as a “legal entity customer” under 31 C.F.R. § 1010.230 (the “</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then the Borrower shall deliver to the Administrative Agent and each Lender that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32"/>
          </w:cols>
          <w:pgMar w:left="328" w:top="1440" w:right="339" w:bottom="1440" w:gutter="0" w:footer="0" w:header="0"/>
        </w:sectPr>
      </w:pPr>
    </w:p>
    <w:bookmarkStart w:id="6" w:name="page7"/>
    <w:bookmarkEnd w:id="6"/>
    <w:p>
      <w:pPr>
        <w:spacing w:after="0" w:line="306" w:lineRule="exact"/>
        <w:rPr>
          <w:sz w:val="20"/>
          <w:szCs w:val="20"/>
          <w:color w:val="auto"/>
        </w:rPr>
      </w:pPr>
    </w:p>
    <w:p>
      <w:pPr>
        <w:ind w:left="1292" w:right="180"/>
        <w:spacing w:after="0" w:line="277" w:lineRule="auto"/>
        <w:rPr>
          <w:sz w:val="20"/>
          <w:szCs w:val="20"/>
          <w:color w:val="auto"/>
        </w:rPr>
      </w:pPr>
      <w:r>
        <w:rPr>
          <w:rFonts w:ascii="Arial" w:cs="Arial" w:eastAsia="Arial" w:hAnsi="Arial"/>
          <w:sz w:val="18"/>
          <w:szCs w:val="18"/>
          <w:color w:val="auto"/>
        </w:rPr>
        <w:t>requests a certification regarding beneficial ownership as required by the Beneficial Ownership Regulation (the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Certification</w:t>
      </w:r>
      <w:r>
        <w:rPr>
          <w:rFonts w:ascii="Arial" w:cs="Arial" w:eastAsia="Arial" w:hAnsi="Arial"/>
          <w:sz w:val="18"/>
          <w:szCs w:val="18"/>
          <w:color w:val="auto"/>
        </w:rPr>
        <w:t>”) in relation to the Borrower;</w:t>
      </w:r>
    </w:p>
    <w:p>
      <w:pPr>
        <w:spacing w:after="0" w:line="130" w:lineRule="exact"/>
        <w:rPr>
          <w:sz w:val="20"/>
          <w:szCs w:val="20"/>
          <w:color w:val="auto"/>
        </w:rPr>
      </w:pPr>
    </w:p>
    <w:p>
      <w:pPr>
        <w:ind w:left="1292" w:right="20" w:hanging="644"/>
        <w:spacing w:after="0" w:line="259" w:lineRule="auto"/>
        <w:tabs>
          <w:tab w:leader="none" w:pos="128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Administrative Agent and the Consenting Lenders shall have received all documentation and other information reasonably requested by them at least three Business Days prior to the Amendment No. 2 Effective Date that is required to be obtained or maintained by them by regulatory authorities under applicable “know your customer” and anti-money laundering or terrorist financing rules and regulations, including the USA PATRIOT Act;</w:t>
      </w:r>
    </w:p>
    <w:p>
      <w:pPr>
        <w:spacing w:after="0" w:line="146" w:lineRule="exact"/>
        <w:rPr>
          <w:rFonts w:ascii="Arial" w:cs="Arial" w:eastAsia="Arial" w:hAnsi="Arial"/>
          <w:sz w:val="18"/>
          <w:szCs w:val="18"/>
          <w:color w:val="auto"/>
        </w:rPr>
      </w:pPr>
    </w:p>
    <w:p>
      <w:pPr>
        <w:ind w:left="1292" w:hanging="644"/>
        <w:spacing w:after="0"/>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Borrower and Guarantor Certifications are true and correct; and</w:t>
      </w:r>
    </w:p>
    <w:p>
      <w:pPr>
        <w:spacing w:after="0" w:line="198" w:lineRule="exact"/>
        <w:rPr>
          <w:rFonts w:ascii="Arial" w:cs="Arial" w:eastAsia="Arial" w:hAnsi="Arial"/>
          <w:sz w:val="18"/>
          <w:szCs w:val="18"/>
          <w:color w:val="auto"/>
        </w:rPr>
      </w:pPr>
    </w:p>
    <w:p>
      <w:pPr>
        <w:ind w:left="1292" w:right="20" w:hanging="644"/>
        <w:spacing w:after="0" w:line="259"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for the account of each Lender that has provided an executed signature to this Amendment No. 2 on or prior to 12:00 p.m., New York time on May 25, 2021, a consent fee equal to 0.10% of the aggregate principal amount of such Lender’s Revolving Credit Commitment and Term A Loan under the Credit Agreement on the Amendment No. 2 Effective Date.</w:t>
      </w:r>
    </w:p>
    <w:p>
      <w:pPr>
        <w:spacing w:after="0" w:line="146" w:lineRule="exact"/>
        <w:rPr>
          <w:rFonts w:ascii="Arial" w:cs="Arial" w:eastAsia="Arial" w:hAnsi="Arial"/>
          <w:sz w:val="18"/>
          <w:szCs w:val="18"/>
          <w:color w:val="auto"/>
        </w:rPr>
      </w:pPr>
    </w:p>
    <w:p>
      <w:pPr>
        <w:ind w:left="1292" w:right="120" w:hanging="644"/>
        <w:spacing w:after="0" w:line="273" w:lineRule="auto"/>
        <w:tabs>
          <w:tab w:leader="none" w:pos="1292"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Borrower shall have paid to (i) each Lender holding Revolving Credit Commitments immediately prior to the Amendment No. 2 Effective Date, (x) all accrued and unpaid fees on the Revolving Credit Commitments held by such Lender to, but not including, the Amendment No. 2 Effective Date, and (y) all accrued and unpaid participation fees with respect to L/C Participations to, but not including, the Amendment No. 2 Effective Date and (ii) each Lender holding Revolving Credit Loans and Term A Loans immediately prior to the Amendment No. 2 Effective Date, all accrued and unpaid interest on the Revolving Credit Loans and Term A Loans held by such Lender to, but not including, the Amendment No. 2 Effective Date.</w:t>
      </w:r>
    </w:p>
    <w:p>
      <w:pPr>
        <w:spacing w:after="0" w:line="137" w:lineRule="exact"/>
        <w:rPr>
          <w:rFonts w:ascii="Arial" w:cs="Arial" w:eastAsia="Arial" w:hAnsi="Arial"/>
          <w:sz w:val="17"/>
          <w:szCs w:val="17"/>
          <w:color w:val="auto"/>
        </w:rPr>
      </w:pPr>
    </w:p>
    <w:p>
      <w:pPr>
        <w:ind w:left="1292" w:right="340" w:hanging="644"/>
        <w:spacing w:after="0" w:line="286" w:lineRule="auto"/>
        <w:tabs>
          <w:tab w:leader="none" w:pos="1279"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Borrower shall have prepaid Term A Loans outstanding under the Credit Agreement immediately prior to the Amendment No. 2 Effective Date in an aggregate principal amount such that, after giving effect to such prepayment, there are $200,000,000 aggregate principal amount of Term A Loans outstanding under the Amended Credit Agreement.</w:t>
      </w:r>
    </w:p>
    <w:p>
      <w:pPr>
        <w:spacing w:after="0" w:line="134" w:lineRule="exact"/>
        <w:rPr>
          <w:rFonts w:ascii="Arial" w:cs="Arial" w:eastAsia="Arial" w:hAnsi="Arial"/>
          <w:sz w:val="17"/>
          <w:szCs w:val="17"/>
          <w:color w:val="auto"/>
        </w:rPr>
      </w:pPr>
    </w:p>
    <w:p>
      <w:pPr>
        <w:ind w:left="652" w:right="780" w:hanging="652"/>
        <w:spacing w:after="0" w:line="282"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Amendment, Modification and Waiver</w:t>
      </w:r>
      <w:r>
        <w:rPr>
          <w:rFonts w:ascii="Arial" w:cs="Arial" w:eastAsia="Arial" w:hAnsi="Arial"/>
          <w:sz w:val="18"/>
          <w:szCs w:val="18"/>
          <w:color w:val="auto"/>
        </w:rPr>
        <w:t>. This Amendment No. 2 may not be amended, modified or waived except by an instrument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in writing signed and delivered on behalf of each of the parties hereto.</w:t>
      </w:r>
    </w:p>
    <w:p>
      <w:pPr>
        <w:spacing w:after="0" w:line="121" w:lineRule="exact"/>
        <w:rPr>
          <w:rFonts w:ascii="Arial" w:cs="Arial" w:eastAsia="Arial" w:hAnsi="Arial"/>
          <w:sz w:val="18"/>
          <w:szCs w:val="18"/>
          <w:color w:val="auto"/>
        </w:rPr>
      </w:pPr>
    </w:p>
    <w:p>
      <w:pPr>
        <w:ind w:left="652" w:right="120" w:hanging="652"/>
        <w:spacing w:after="0" w:line="266"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Amendment No. 2, the Amended Credit Agreement and the other Credit Documents constitute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parties with respect to the subject matter hereof and thereof and supersede all other prior agreements and understandings, both written and verbal, among the parties or any of them with respect to the subject matter hereof.</w:t>
      </w:r>
    </w:p>
    <w:p>
      <w:pPr>
        <w:spacing w:after="0" w:line="135"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GOVERNING LAW; SUBMISSION TO JURISDICTION</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NO. 2 AND THE RIGHTS AND OBLIGATIONS OF</w:t>
      </w:r>
    </w:p>
    <w:p>
      <w:pPr>
        <w:spacing w:after="0" w:line="27" w:lineRule="exact"/>
        <w:rPr>
          <w:rFonts w:ascii="Arial" w:cs="Arial" w:eastAsia="Arial" w:hAnsi="Arial"/>
          <w:sz w:val="18"/>
          <w:szCs w:val="18"/>
          <w:color w:val="auto"/>
        </w:rPr>
      </w:pPr>
    </w:p>
    <w:p>
      <w:pPr>
        <w:ind w:left="652" w:right="18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THE PARTIES HEREUNDER SHALL BE GOVERNED BY, AND SHALL BE CONSTRUED AND ENFORCED IN ACCORDANCE WITH THE LAWS OF THE STATE OF NEW YORK. </w:t>
      </w:r>
      <w:r>
        <w:rPr>
          <w:rFonts w:ascii="Arial" w:cs="Arial" w:eastAsia="Arial" w:hAnsi="Arial"/>
          <w:sz w:val="18"/>
          <w:szCs w:val="18"/>
          <w:color w:val="auto"/>
        </w:rPr>
        <w:t>Section 13.13 of the Amended Credit Agreement is hereby incorporated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No. 2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ind w:left="652" w:hanging="652"/>
        <w:spacing w:after="0" w:line="258"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Any term or provision of this Amendment No. 2 which is invalid or unenforceable in any jurisdiction shall, as to that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invalidity or unenforceability without rendering invalid or unenforceable the remaining terms and provisions of this Amendment No. 2 or affecting the validity or enforceability of any of the terms or provisions of this Amendment No. 2 in any other jurisdiction. If any provision of this Amendment No. 2 is so broad as to be unenforceable, the provision shall be interpreted to be only as broad as would be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92"/>
          </w:cols>
          <w:pgMar w:left="328" w:top="1440" w:right="379" w:bottom="1440" w:gutter="0" w:footer="0" w:header="0"/>
        </w:sectPr>
      </w:pPr>
    </w:p>
    <w:bookmarkStart w:id="7" w:name="page8"/>
    <w:bookmarkEnd w:id="7"/>
    <w:p>
      <w:pPr>
        <w:spacing w:after="0" w:line="302" w:lineRule="exact"/>
        <w:rPr>
          <w:sz w:val="20"/>
          <w:szCs w:val="20"/>
          <w:color w:val="auto"/>
        </w:rPr>
      </w:pPr>
    </w:p>
    <w:p>
      <w:pPr>
        <w:ind w:left="652" w:right="20" w:hanging="652"/>
        <w:spacing w:after="0" w:line="254"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No. 2 may be executed in counterparts (including by facsimile or other electronic transmission),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an original, but all of which shall constitute one and the same agreement. The words “execution,” “signed,” “signature,” “delivery,” and words of like import in or relating to this Amendment No. 2 and/or any document to be signed in connection with this Amendment No. 2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w:t>
      </w:r>
    </w:p>
    <w:p>
      <w:pPr>
        <w:spacing w:after="0" w:line="151" w:lineRule="exact"/>
        <w:rPr>
          <w:rFonts w:ascii="Arial" w:cs="Arial" w:eastAsia="Arial" w:hAnsi="Arial"/>
          <w:sz w:val="18"/>
          <w:szCs w:val="18"/>
          <w:color w:val="auto"/>
        </w:rPr>
      </w:pPr>
    </w:p>
    <w:p>
      <w:pPr>
        <w:ind w:left="652" w:right="140" w:hanging="652"/>
        <w:spacing w:after="0" w:line="266"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EACH OF THE PARTIES HERETO IRREVOCABLY WAIVES THE RIGHT TO TRIAL BY JURY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PROCEEDING, CLAIM OR COUNTERCLAIM BROUGHT BY OR ON BEHALF OF ANY PARTY RELATED TO OR ARISING OUT OF THIS AMENDMENT NO. 2 OR THE PERFORMANCE OF SERVICES HEREUNDER.</w:t>
      </w:r>
    </w:p>
    <w:p>
      <w:pPr>
        <w:spacing w:after="0" w:line="135" w:lineRule="exact"/>
        <w:rPr>
          <w:rFonts w:ascii="Arial" w:cs="Arial" w:eastAsia="Arial" w:hAnsi="Arial"/>
          <w:sz w:val="18"/>
          <w:szCs w:val="18"/>
          <w:color w:val="auto"/>
        </w:rPr>
      </w:pPr>
    </w:p>
    <w:p>
      <w:pPr>
        <w:ind w:left="652" w:right="600" w:hanging="652"/>
        <w:spacing w:after="0" w:line="266" w:lineRule="auto"/>
        <w:tabs>
          <w:tab w:leader="none" w:pos="65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Credit Document</w:t>
      </w:r>
      <w:r>
        <w:rPr>
          <w:rFonts w:ascii="Arial" w:cs="Arial" w:eastAsia="Arial" w:hAnsi="Arial"/>
          <w:sz w:val="18"/>
          <w:szCs w:val="18"/>
          <w:color w:val="auto"/>
        </w:rPr>
        <w:t>. On and after the Amendment No. 2 Effective Date, this Amendment No. 2 shall constitute a “Credit Document”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the Amended Credit Agreement and the other Credit Documents (it being understood that, for the avoidance of doubt, this Amendment No. 2 may be amended or waived solely by the parties hereto as set forth herein).</w:t>
      </w:r>
    </w:p>
    <w:p>
      <w:pPr>
        <w:spacing w:after="0" w:line="148" w:lineRule="exact"/>
        <w:rPr>
          <w:rFonts w:ascii="Arial" w:cs="Arial" w:eastAsia="Arial" w:hAnsi="Arial"/>
          <w:sz w:val="18"/>
          <w:szCs w:val="18"/>
          <w:color w:val="auto"/>
        </w:rPr>
      </w:pPr>
    </w:p>
    <w:p>
      <w:pPr>
        <w:ind w:left="652" w:hanging="652"/>
        <w:spacing w:after="0" w:line="289" w:lineRule="auto"/>
        <w:tabs>
          <w:tab w:leader="none" w:pos="647"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Reaffirmation</w:t>
      </w:r>
      <w:r>
        <w:rPr>
          <w:rFonts w:ascii="Arial" w:cs="Arial" w:eastAsia="Arial" w:hAnsi="Arial"/>
          <w:sz w:val="16"/>
          <w:szCs w:val="16"/>
          <w:color w:val="auto"/>
        </w:rPr>
        <w:t>. Each Credit Party hereby expressly acknowledges the terms of this Amendment No. 2 and reaffirms, as of the date hereof, (i) the</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guarantees, pledges, grants of Liens and agreements or other commitments contained in each Credit Document to which it is a party, including, in each case, such covenants, guarantees, pledges, grants of Liens and agreements or other commitments as in effect immediately after giving effect to this Amendment No. 2 and the transactions contemplated hereby, (ii) its guarantee of the Obligations under each Guarantee, as applicable, (iii) its grant of Liens on the Collateral to secure the Obligations pursuant to the Security Documents and (iv) agrees that after giving effect to this Amendment No. 2 and the transactions contemplated hereby (A) each Credit Document to which it is a party shall continue to be in full force and effect and (B) all guarantees, pledges, grants of Liens, covenants, agreements and other commitments by such Credit Party under the Credit Documents shall continue to be in full force and effect and shall accrue to the benefit of the Secured Parties and shall not be affected, impaired or discharged hereby or by the transactions contemplated in this Amendment No. 2.</w:t>
      </w:r>
    </w:p>
    <w:p>
      <w:pPr>
        <w:spacing w:after="0" w:line="125" w:lineRule="exact"/>
        <w:rPr>
          <w:rFonts w:ascii="Arial" w:cs="Arial" w:eastAsia="Arial" w:hAnsi="Arial"/>
          <w:sz w:val="16"/>
          <w:szCs w:val="16"/>
          <w:color w:val="auto"/>
        </w:rPr>
      </w:pPr>
    </w:p>
    <w:p>
      <w:pPr>
        <w:ind w:left="652" w:hanging="652"/>
        <w:spacing w:after="0" w:line="287" w:lineRule="auto"/>
        <w:tabs>
          <w:tab w:leader="none" w:pos="641"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Effect of Amendment No. 2</w:t>
      </w:r>
      <w:r>
        <w:rPr>
          <w:rFonts w:ascii="Arial" w:cs="Arial" w:eastAsia="Arial" w:hAnsi="Arial"/>
          <w:sz w:val="16"/>
          <w:szCs w:val="16"/>
          <w:color w:val="auto"/>
        </w:rPr>
        <w:t>. Except as expressly set forth herein, this Amendment No. 2 shall not by implication or otherwise limit, impair,</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waiver of, or otherwise affect the rights and remedies of, the Lenders or the Administrative Agent under the Credit Agreement, the Amended Credit Agreement or any other Credit Document, and shall not alter, modify, amend or in any way affect any of the terms, conditions, obligations, covenants or agreements contained in the Credit Agreement, the Amended Credit Agreement or any other Credit Document, all of which are ratified and affirmed in all respects and shall continue in full force and effect. The parties hereto acknowledge and agree that the amendment of the Credit Agreement pursuant to this Amendment No. 2 and all other Credit Documents amended and/or executed and delivered in connection herewith shall not constitute a novation of the Credit Agreement and the other Credit Documents as in effect prior to the date hereof. Nothing herein shall be deemed to establish a precedent for purposes of interpreting the provisions of the Credit Agreement or the Amended Credit Agreement or entitle any Credit Party to a consent to, or a waiver, amendment, modification or other change of, any of the terms, conditions, obligations, covenants or agreements contained in the Credit Agreement, the Amended Credit Agreement or any other Credit Document in similar or different circumstances. This Amendment No. 2 shall apply to and be effective only with respect to the provisions of the Credit Agreement, the Amended Credit Agreement and the other Credit Documents specifically referred to herein.</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12"/>
          </w:cols>
          <w:pgMar w:left="328" w:top="1440" w:right="35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undersigned has caused its duly authorized officer to execute and deliver this Amendment No. 2 as of the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date first set forth above.</w:t>
            </w:r>
          </w:p>
        </w:tc>
        <w:tc>
          <w:tcPr>
            <w:tcW w:w="5460" w:type="dxa"/>
            <w:vAlign w:val="bottom"/>
          </w:tcPr>
          <w:p>
            <w:pPr>
              <w:spacing w:after="0"/>
              <w:rPr>
                <w:sz w:val="20"/>
                <w:szCs w:val="20"/>
                <w:color w:val="auto"/>
              </w:rPr>
            </w:pPr>
          </w:p>
        </w:tc>
      </w:tr>
      <w:tr>
        <w:trPr>
          <w:trHeight w:val="620"/>
        </w:trPr>
        <w:tc>
          <w:tcPr>
            <w:tcW w:w="57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NAUTILUS ACQUISITION HOLDINGS, INC.</w:t>
            </w:r>
            <w:r>
              <w:rPr>
                <w:rFonts w:ascii="Arial" w:cs="Arial" w:eastAsia="Arial" w:hAnsi="Arial"/>
                <w:sz w:val="18"/>
                <w:szCs w:val="18"/>
                <w:color w:val="auto"/>
              </w:rPr>
              <w:t>, as Holdings</w:t>
            </w:r>
          </w:p>
        </w:tc>
      </w:tr>
      <w:tr>
        <w:trPr>
          <w:trHeight w:val="391"/>
        </w:trPr>
        <w:tc>
          <w:tcPr>
            <w:tcW w:w="5780" w:type="dxa"/>
            <w:vAlign w:val="bottom"/>
          </w:tcPr>
          <w:p>
            <w:pPr>
              <w:ind w:left="43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r>
      <w:tr>
        <w:trPr>
          <w:trHeight w:val="222"/>
        </w:trPr>
        <w:tc>
          <w:tcPr>
            <w:tcW w:w="5780" w:type="dxa"/>
            <w:vAlign w:val="bottom"/>
          </w:tcPr>
          <w:p>
            <w:pPr>
              <w:ind w:left="438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30"/>
        </w:trPr>
        <w:tc>
          <w:tcPr>
            <w:tcW w:w="5780" w:type="dxa"/>
            <w:vAlign w:val="bottom"/>
          </w:tcPr>
          <w:p>
            <w:pPr>
              <w:ind w:left="438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594"/>
        </w:trPr>
        <w:tc>
          <w:tcPr>
            <w:tcW w:w="57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NATIONAL VISION, INC.</w:t>
            </w:r>
            <w:r>
              <w:rPr>
                <w:rFonts w:ascii="Arial" w:cs="Arial" w:eastAsia="Arial" w:hAnsi="Arial"/>
                <w:sz w:val="18"/>
                <w:szCs w:val="18"/>
                <w:color w:val="auto"/>
              </w:rPr>
              <w:t>, as Borrower</w:t>
            </w:r>
          </w:p>
        </w:tc>
      </w:tr>
      <w:tr>
        <w:trPr>
          <w:trHeight w:val="392"/>
        </w:trPr>
        <w:tc>
          <w:tcPr>
            <w:tcW w:w="5780" w:type="dxa"/>
            <w:vAlign w:val="bottom"/>
          </w:tcPr>
          <w:p>
            <w:pPr>
              <w:ind w:left="43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r>
      <w:tr>
        <w:trPr>
          <w:trHeight w:val="222"/>
        </w:trPr>
        <w:tc>
          <w:tcPr>
            <w:tcW w:w="5780" w:type="dxa"/>
            <w:vAlign w:val="bottom"/>
          </w:tcPr>
          <w:p>
            <w:pPr>
              <w:ind w:left="438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30"/>
        </w:trPr>
        <w:tc>
          <w:tcPr>
            <w:tcW w:w="5780" w:type="dxa"/>
            <w:vAlign w:val="bottom"/>
          </w:tcPr>
          <w:p>
            <w:pPr>
              <w:ind w:left="438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837"/>
        </w:trPr>
        <w:tc>
          <w:tcPr>
            <w:tcW w:w="57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OPTI-VISION FINANCE SERVICES, LLC</w:t>
            </w:r>
            <w:r>
              <w:rPr>
                <w:rFonts w:ascii="Arial" w:cs="Arial" w:eastAsia="Arial" w:hAnsi="Arial"/>
                <w:sz w:val="18"/>
                <w:szCs w:val="18"/>
                <w:color w:val="auto"/>
              </w:rPr>
              <w:t>, as Subsidiary Guarantor</w:t>
            </w:r>
          </w:p>
        </w:tc>
      </w:tr>
      <w:tr>
        <w:trPr>
          <w:trHeight w:val="418"/>
        </w:trPr>
        <w:tc>
          <w:tcPr>
            <w:tcW w:w="5780" w:type="dxa"/>
            <w:vAlign w:val="bottom"/>
          </w:tcPr>
          <w:p>
            <w:pPr>
              <w:ind w:left="43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r>
      <w:tr>
        <w:trPr>
          <w:trHeight w:val="222"/>
        </w:trPr>
        <w:tc>
          <w:tcPr>
            <w:tcW w:w="5780" w:type="dxa"/>
            <w:vAlign w:val="bottom"/>
          </w:tcPr>
          <w:p>
            <w:pPr>
              <w:ind w:left="438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30"/>
        </w:trPr>
        <w:tc>
          <w:tcPr>
            <w:tcW w:w="5780" w:type="dxa"/>
            <w:vAlign w:val="bottom"/>
          </w:tcPr>
          <w:p>
            <w:pPr>
              <w:ind w:left="438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809"/>
        </w:trPr>
        <w:tc>
          <w:tcPr>
            <w:tcW w:w="57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ARLINGTON CONTACT LENS SERVICE, INC.</w:t>
            </w:r>
            <w:r>
              <w:rPr>
                <w:rFonts w:ascii="Arial" w:cs="Arial" w:eastAsia="Arial" w:hAnsi="Arial"/>
                <w:sz w:val="18"/>
                <w:szCs w:val="18"/>
                <w:color w:val="auto"/>
              </w:rPr>
              <w:t>, as Subsidiary</w:t>
            </w:r>
          </w:p>
        </w:tc>
      </w:tr>
      <w:tr>
        <w:trPr>
          <w:trHeight w:val="230"/>
        </w:trPr>
        <w:tc>
          <w:tcPr>
            <w:tcW w:w="57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Guarantor</w:t>
            </w:r>
          </w:p>
        </w:tc>
      </w:tr>
      <w:tr>
        <w:trPr>
          <w:trHeight w:val="418"/>
        </w:trPr>
        <w:tc>
          <w:tcPr>
            <w:tcW w:w="5780" w:type="dxa"/>
            <w:vAlign w:val="bottom"/>
          </w:tcPr>
          <w:p>
            <w:pPr>
              <w:ind w:left="43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r>
      <w:tr>
        <w:trPr>
          <w:trHeight w:val="222"/>
        </w:trPr>
        <w:tc>
          <w:tcPr>
            <w:tcW w:w="5780" w:type="dxa"/>
            <w:vAlign w:val="bottom"/>
          </w:tcPr>
          <w:p>
            <w:pPr>
              <w:ind w:left="438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30"/>
        </w:trPr>
        <w:tc>
          <w:tcPr>
            <w:tcW w:w="5780" w:type="dxa"/>
            <w:vAlign w:val="bottom"/>
          </w:tcPr>
          <w:p>
            <w:pPr>
              <w:ind w:left="438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823"/>
        </w:trPr>
        <w:tc>
          <w:tcPr>
            <w:tcW w:w="57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VC IV, LLC</w:t>
            </w:r>
            <w:r>
              <w:rPr>
                <w:rFonts w:ascii="Arial" w:cs="Arial" w:eastAsia="Arial" w:hAnsi="Arial"/>
                <w:sz w:val="18"/>
                <w:szCs w:val="18"/>
                <w:color w:val="auto"/>
              </w:rPr>
              <w:t>, as Subsidiary Guarantor</w:t>
            </w:r>
          </w:p>
        </w:tc>
      </w:tr>
      <w:tr>
        <w:trPr>
          <w:trHeight w:val="418"/>
        </w:trPr>
        <w:tc>
          <w:tcPr>
            <w:tcW w:w="5780" w:type="dxa"/>
            <w:vAlign w:val="bottom"/>
          </w:tcPr>
          <w:p>
            <w:pPr>
              <w:ind w:left="43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r>
      <w:tr>
        <w:trPr>
          <w:trHeight w:val="222"/>
        </w:trPr>
        <w:tc>
          <w:tcPr>
            <w:tcW w:w="5780" w:type="dxa"/>
            <w:vAlign w:val="bottom"/>
          </w:tcPr>
          <w:p>
            <w:pPr>
              <w:ind w:left="438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30"/>
        </w:trPr>
        <w:tc>
          <w:tcPr>
            <w:tcW w:w="5780" w:type="dxa"/>
            <w:vAlign w:val="bottom"/>
          </w:tcPr>
          <w:p>
            <w:pPr>
              <w:ind w:left="438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837"/>
        </w:trPr>
        <w:tc>
          <w:tcPr>
            <w:tcW w:w="57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NVAL HEALTHCARE SYSTEMS, INC.</w:t>
            </w:r>
            <w:r>
              <w:rPr>
                <w:rFonts w:ascii="Arial" w:cs="Arial" w:eastAsia="Arial" w:hAnsi="Arial"/>
                <w:sz w:val="18"/>
                <w:szCs w:val="18"/>
                <w:color w:val="auto"/>
              </w:rPr>
              <w:t>, as Subsidiary Guarantor</w:t>
            </w:r>
          </w:p>
        </w:tc>
      </w:tr>
      <w:tr>
        <w:trPr>
          <w:trHeight w:val="418"/>
        </w:trPr>
        <w:tc>
          <w:tcPr>
            <w:tcW w:w="5780" w:type="dxa"/>
            <w:vAlign w:val="bottom"/>
          </w:tcPr>
          <w:p>
            <w:pPr>
              <w:ind w:left="43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r>
      <w:tr>
        <w:trPr>
          <w:trHeight w:val="222"/>
        </w:trPr>
        <w:tc>
          <w:tcPr>
            <w:tcW w:w="5780" w:type="dxa"/>
            <w:vAlign w:val="bottom"/>
          </w:tcPr>
          <w:p>
            <w:pPr>
              <w:ind w:left="438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30"/>
        </w:trPr>
        <w:tc>
          <w:tcPr>
            <w:tcW w:w="5780" w:type="dxa"/>
            <w:vAlign w:val="bottom"/>
          </w:tcPr>
          <w:p>
            <w:pPr>
              <w:ind w:left="438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11240"/>
          </w:cols>
          <w:pgMar w:left="320" w:top="1417"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376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INTERNATIONAL VISION</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ASSOCIATES, LTD</w:t>
            </w:r>
            <w:r>
              <w:rPr>
                <w:rFonts w:ascii="Arial" w:cs="Arial" w:eastAsia="Arial" w:hAnsi="Arial"/>
                <w:sz w:val="18"/>
                <w:szCs w:val="18"/>
                <w:color w:val="auto"/>
              </w:rPr>
              <w:t>, as Subsidiary</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Guarantor</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tcPr>
          <w:p>
            <w:pPr>
              <w:ind w:left="20"/>
              <w:spacing w:after="0"/>
              <w:rPr>
                <w:sz w:val="20"/>
                <w:szCs w:val="20"/>
                <w:color w:val="auto"/>
              </w:rPr>
            </w:pPr>
            <w:r>
              <w:rPr>
                <w:rFonts w:ascii="Arial" w:cs="Arial" w:eastAsia="Arial" w:hAnsi="Arial"/>
                <w:sz w:val="18"/>
                <w:szCs w:val="18"/>
                <w:color w:val="auto"/>
              </w:rPr>
              <w:t>Patrick R. Moore</w:t>
            </w:r>
          </w:p>
        </w:tc>
        <w:tc>
          <w:tcPr>
            <w:tcW w:w="0" w:type="dxa"/>
            <w:vAlign w:val="bottom"/>
          </w:tcPr>
          <w:p>
            <w:pPr>
              <w:spacing w:after="0"/>
              <w:rPr>
                <w:sz w:val="1"/>
                <w:szCs w:val="1"/>
                <w:color w:val="auto"/>
              </w:rPr>
            </w:pPr>
          </w:p>
        </w:tc>
      </w:tr>
      <w:tr>
        <w:trPr>
          <w:trHeight w:val="176"/>
        </w:trPr>
        <w:tc>
          <w:tcPr>
            <w:tcW w:w="8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260" w:type="dxa"/>
            <w:vAlign w:val="bottom"/>
          </w:tcPr>
          <w:p>
            <w:pPr>
              <w:ind w:left="20"/>
              <w:spacing w:after="0" w:line="176" w:lineRule="exact"/>
              <w:rPr>
                <w:sz w:val="20"/>
                <w:szCs w:val="20"/>
                <w:color w:val="auto"/>
              </w:rPr>
            </w:pPr>
            <w:r>
              <w:rPr>
                <w:rFonts w:ascii="Arial" w:cs="Arial" w:eastAsia="Arial" w:hAnsi="Arial"/>
                <w:sz w:val="18"/>
                <w:szCs w:val="18"/>
                <w:color w:val="auto"/>
                <w:w w:val="96"/>
              </w:rPr>
              <w:t>Senior Vice President and Chief Financial</w:t>
            </w:r>
          </w:p>
        </w:tc>
        <w:tc>
          <w:tcPr>
            <w:tcW w:w="0" w:type="dxa"/>
            <w:vAlign w:val="bottom"/>
          </w:tcPr>
          <w:p>
            <w:pPr>
              <w:spacing w:after="0"/>
              <w:rPr>
                <w:sz w:val="1"/>
                <w:szCs w:val="1"/>
                <w:color w:val="auto"/>
              </w:rPr>
            </w:pPr>
          </w:p>
        </w:tc>
      </w:tr>
      <w:tr>
        <w:trPr>
          <w:trHeight w:val="230"/>
        </w:trPr>
        <w:tc>
          <w:tcPr>
            <w:tcW w:w="840" w:type="dxa"/>
            <w:vAlign w:val="bottom"/>
            <w:vMerge w:val="continue"/>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p>
    <w:p>
      <w:pPr>
        <w:spacing w:after="0" w:line="308" w:lineRule="exact"/>
        <w:rPr>
          <w:sz w:val="20"/>
          <w:szCs w:val="20"/>
          <w:color w:val="auto"/>
        </w:rPr>
      </w:pPr>
    </w:p>
    <w:tbl>
      <w:tblPr>
        <w:tblLayout w:type="fixed"/>
        <w:tblInd w:w="37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Agreed and Consented to by:</w:t>
            </w:r>
          </w:p>
        </w:tc>
      </w:tr>
      <w:tr>
        <w:trPr>
          <w:trHeight w:val="418"/>
        </w:trPr>
        <w:tc>
          <w:tcPr>
            <w:tcW w:w="86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w w:val="96"/>
              </w:rPr>
              <w:t>Administrative Agent and Collateral Agent</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Erik Truette</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Erik Truette</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w w:val="98"/>
              </w:rPr>
              <w:t>BANK OF AMERICA, N.A.</w:t>
            </w:r>
            <w:r>
              <w:rPr>
                <w:rFonts w:ascii="Arial" w:cs="Arial" w:eastAsia="Arial" w:hAnsi="Arial"/>
                <w:sz w:val="18"/>
                <w:szCs w:val="18"/>
                <w:color w:val="auto"/>
                <w:w w:val="98"/>
              </w:rPr>
              <w:t>, as a Term A</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Lender and Revolving Credit 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Hart</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Charles Hart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w w:val="91"/>
              </w:rPr>
              <w:t>JPMorgan Chase Bank, N.A.</w:t>
            </w:r>
            <w:r>
              <w:rPr>
                <w:rFonts w:ascii="Arial" w:cs="Arial" w:eastAsia="Arial" w:hAnsi="Arial"/>
                <w:sz w:val="18"/>
                <w:szCs w:val="18"/>
                <w:color w:val="auto"/>
                <w:w w:val="91"/>
              </w:rPr>
              <w:t>, as a Term A</w:t>
            </w:r>
          </w:p>
        </w:tc>
      </w:tr>
      <w:tr>
        <w:trPr>
          <w:trHeight w:val="216"/>
        </w:trPr>
        <w:tc>
          <w:tcPr>
            <w:tcW w:w="8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w w:val="98"/>
              </w:rPr>
              <w:t>Lender, a Revolving Credit Lender and a</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Letter of Credit Issuer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Rossman</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Andrew Rossman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w w:val="92"/>
              </w:rPr>
              <w:t>Wells Fargo Bank, National Association</w:t>
            </w:r>
            <w:r>
              <w:rPr>
                <w:rFonts w:ascii="Arial" w:cs="Arial" w:eastAsia="Arial" w:hAnsi="Arial"/>
                <w:sz w:val="18"/>
                <w:szCs w:val="18"/>
                <w:color w:val="auto"/>
                <w:w w:val="92"/>
              </w:rPr>
              <w:t>,</w:t>
            </w:r>
          </w:p>
        </w:tc>
      </w:tr>
      <w:tr>
        <w:trPr>
          <w:trHeight w:val="216"/>
        </w:trPr>
        <w:tc>
          <w:tcPr>
            <w:tcW w:w="8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w w:val="92"/>
              </w:rPr>
              <w:t>as a Term A Lender and a Revolving Credit</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Denis Waltrich</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Denis Waltrich</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w w:val="96"/>
              </w:rPr>
              <w:t>Fifth Third Bank, National Association</w:t>
            </w:r>
            <w:r>
              <w:rPr>
                <w:rFonts w:ascii="Arial" w:cs="Arial" w:eastAsia="Arial" w:hAnsi="Arial"/>
                <w:sz w:val="18"/>
                <w:szCs w:val="18"/>
                <w:color w:val="auto"/>
                <w:w w:val="96"/>
              </w:rPr>
              <w:t>,</w:t>
            </w:r>
          </w:p>
        </w:tc>
      </w:tr>
      <w:tr>
        <w:trPr>
          <w:trHeight w:val="216"/>
        </w:trPr>
        <w:tc>
          <w:tcPr>
            <w:tcW w:w="8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w w:val="92"/>
              </w:rPr>
              <w:t>as a Term A Lender and a Revolving Credit</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J. Ramsey</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Mary J. Ramsey</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w w:val="93"/>
              </w:rPr>
              <w:t>TRUIST BANK</w:t>
            </w:r>
            <w:r>
              <w:rPr>
                <w:rFonts w:ascii="Arial" w:cs="Arial" w:eastAsia="Arial" w:hAnsi="Arial"/>
                <w:sz w:val="18"/>
                <w:szCs w:val="18"/>
                <w:color w:val="auto"/>
                <w:w w:val="93"/>
              </w:rPr>
              <w:t>, as a Term A Lender and a</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Revolving Credit 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 Matthew Rowand</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J. Matthew Rowand</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SYNOVUS BANK</w:t>
            </w:r>
            <w:r>
              <w:rPr>
                <w:rFonts w:ascii="Arial" w:cs="Arial" w:eastAsia="Arial" w:hAnsi="Arial"/>
                <w:sz w:val="18"/>
                <w:szCs w:val="18"/>
                <w:color w:val="auto"/>
              </w:rPr>
              <w:t>, as a Term A Lender</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and a Revolving Credit 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Chandra Cockrell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Chandra Cockrell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Relationship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 xml:space="preserve">HANCOCK WHITNEY BANK, </w:t>
            </w:r>
            <w:r>
              <w:rPr>
                <w:rFonts w:ascii="Arial" w:cs="Arial" w:eastAsia="Arial" w:hAnsi="Arial"/>
                <w:sz w:val="18"/>
                <w:szCs w:val="18"/>
                <w:color w:val="auto"/>
              </w:rPr>
              <w:t>as a</w:t>
            </w:r>
          </w:p>
        </w:tc>
      </w:tr>
      <w:tr>
        <w:trPr>
          <w:trHeight w:val="216"/>
        </w:trPr>
        <w:tc>
          <w:tcPr>
            <w:tcW w:w="8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Term A Lender and Revolving Credit</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Woodnorth</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Micheal Woodnorth</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Vice President, Healthcare Banking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 xml:space="preserve">UNITED COMMUNITY BANK </w:t>
            </w:r>
            <w:r>
              <w:rPr>
                <w:rFonts w:ascii="Arial" w:cs="Arial" w:eastAsia="Arial" w:hAnsi="Arial"/>
                <w:sz w:val="18"/>
                <w:szCs w:val="18"/>
                <w:color w:val="auto"/>
              </w:rPr>
              <w:t>as a</w:t>
            </w:r>
          </w:p>
        </w:tc>
      </w:tr>
      <w:tr>
        <w:trPr>
          <w:trHeight w:val="216"/>
        </w:trPr>
        <w:tc>
          <w:tcPr>
            <w:tcW w:w="8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Term A Lender and Revolving Credit</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 Wilson</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Jeff Wilson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w w:val="95"/>
              </w:rPr>
              <w:t>Atlantic Capital Bank, N.A.</w:t>
            </w:r>
            <w:r>
              <w:rPr>
                <w:rFonts w:ascii="Arial" w:cs="Arial" w:eastAsia="Arial" w:hAnsi="Arial"/>
                <w:sz w:val="18"/>
                <w:szCs w:val="18"/>
                <w:color w:val="auto"/>
                <w:w w:val="95"/>
              </w:rPr>
              <w:t>, as a Term A</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Lender and Revolving Credit 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Dick Ridenhour</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Dick Ridenhour</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 as a</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Revolving Credit 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Mahesh Mohan</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Mahesh Mohan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w w:val="98"/>
              </w:rPr>
              <w:t>BARCLAYS BANK PLC</w:t>
            </w:r>
            <w:r>
              <w:rPr>
                <w:rFonts w:ascii="Arial" w:cs="Arial" w:eastAsia="Arial" w:hAnsi="Arial"/>
                <w:sz w:val="18"/>
                <w:szCs w:val="18"/>
                <w:color w:val="auto"/>
                <w:w w:val="98"/>
              </w:rPr>
              <w:t>, as a Revolving</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Credit 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M. Aitkin</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Christopher M. Aitkin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w w:val="96"/>
              </w:rPr>
              <w:t>Woodforest National Bank</w:t>
            </w:r>
            <w:r>
              <w:rPr>
                <w:rFonts w:ascii="Arial" w:cs="Arial" w:eastAsia="Arial" w:hAnsi="Arial"/>
                <w:sz w:val="18"/>
                <w:szCs w:val="18"/>
                <w:color w:val="auto"/>
                <w:w w:val="96"/>
              </w:rPr>
              <w:t>, as a Term A</w:t>
            </w:r>
          </w:p>
        </w:tc>
      </w:tr>
      <w:tr>
        <w:trPr>
          <w:trHeight w:val="230"/>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Crary</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Christopher Crary</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3" w:name="page24"/>
    <w:bookmarkEnd w:id="23"/>
    <w:p>
      <w:pPr>
        <w:spacing w:after="0" w:line="200" w:lineRule="exact"/>
        <w:rPr>
          <w:sz w:val="20"/>
          <w:szCs w:val="20"/>
          <w:color w:val="auto"/>
        </w:rPr>
      </w:pPr>
    </w:p>
    <w:p>
      <w:pPr>
        <w:spacing w:after="0" w:line="304" w:lineRule="exact"/>
        <w:rPr>
          <w:sz w:val="20"/>
          <w:szCs w:val="20"/>
          <w:color w:val="auto"/>
        </w:rPr>
      </w:pPr>
    </w:p>
    <w:tbl>
      <w:tblPr>
        <w:tblLayout w:type="fixed"/>
        <w:tblInd w:w="37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FLUSHING BANK</w:t>
            </w:r>
            <w:r>
              <w:rPr>
                <w:rFonts w:ascii="Arial" w:cs="Arial" w:eastAsia="Arial" w:hAnsi="Arial"/>
                <w:sz w:val="18"/>
                <w:szCs w:val="18"/>
                <w:color w:val="auto"/>
              </w:rPr>
              <w:t>, as a Term A Lender</w:t>
            </w: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Alan Harris</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ind w:left="20"/>
              <w:spacing w:after="0"/>
              <w:rPr>
                <w:sz w:val="20"/>
                <w:szCs w:val="20"/>
                <w:color w:val="auto"/>
              </w:rPr>
            </w:pPr>
            <w:r>
              <w:rPr>
                <w:rFonts w:ascii="Arial" w:cs="Arial" w:eastAsia="Arial" w:hAnsi="Arial"/>
                <w:sz w:val="18"/>
                <w:szCs w:val="18"/>
                <w:color w:val="auto"/>
              </w:rPr>
              <w:t>Alan Harris</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2</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Amendments to the Credit Agreement</w:t>
      </w:r>
    </w:p>
    <w:p>
      <w:pPr>
        <w:sectPr>
          <w:pgSz w:w="11900" w:h="16838" w:orient="portrait"/>
          <w:cols w:equalWidth="0" w:num="1">
            <w:col w:w="9019"/>
          </w:cols>
          <w:pgMar w:left="1440" w:top="1417"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Published CUSIP Number: 63845QAD1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Revolving Loan CUSIP Number: 63845QAE9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Term Loan CUSIP Number: 63845QAF6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July 18, 2019,</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amended by</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Amendment No. 1, dated as of May 5, 2020</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u w:val="single" w:color="auto"/>
          <w:color w:val="0000FF"/>
        </w:rPr>
        <w:t>Amendment No. 2, dated as of June 2, 2021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NAUTILUS ACQUISITION HOLDINGS,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NATIONAL VISION,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from Time to Time Parties Hereto,</w:t>
      </w:r>
    </w:p>
    <w:p>
      <w:pPr>
        <w:spacing w:after="0" w:line="200" w:lineRule="exact"/>
        <w:rPr>
          <w:sz w:val="20"/>
          <w:szCs w:val="20"/>
          <w:color w:val="auto"/>
        </w:rPr>
      </w:pPr>
    </w:p>
    <w:p>
      <w:pPr>
        <w:spacing w:after="0" w:line="227"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as the Administrative Agent, the Collateral Agent, the Swingline Lender and a Lender,</w:t>
      </w: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Letter of Credit Issuers Parties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KKR CAPITAL MARKETS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JPMORGAN CHASE BANK, N.A., and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Joint Lead Arrangers and Bookrunners,</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JPMORGAN CHASE BANK, N.A., and</w:t>
      </w:r>
    </w:p>
    <w:p>
      <w:pPr>
        <w:spacing w:after="0" w:line="23"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WELLS FARGO BANK, N.A., as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Syndication Agents</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FIFTH THIRD BANK, and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 xml:space="preserve">TRUIST BANK </w:t>
      </w:r>
      <w:r>
        <w:rPr>
          <w:rFonts w:ascii="Arial" w:cs="Arial" w:eastAsia="Arial" w:hAnsi="Arial"/>
          <w:sz w:val="18"/>
          <w:szCs w:val="18"/>
          <w:color w:val="FF0000"/>
        </w:rPr>
        <w:t>(as successor by merger to SunTrust Bank)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-62230</wp:posOffset>
            </wp:positionV>
            <wp:extent cx="1989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9455" cy="825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8"/>
          <w:szCs w:val="18"/>
          <w:color w:val="auto"/>
        </w:rPr>
        <w:t>as Documentation Agents</w:t>
      </w:r>
    </w:p>
    <w:p>
      <w:pPr>
        <w:sectPr>
          <w:pgSz w:w="11900" w:h="16838" w:orient="portrait"/>
          <w:cols w:equalWidth="0" w:num="1">
            <w:col w:w="10120"/>
          </w:cols>
          <w:pgMar w:left="144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5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Page</w:t>
            </w:r>
          </w:p>
        </w:tc>
      </w:tr>
      <w:tr>
        <w:trPr>
          <w:trHeight w:val="344"/>
        </w:trPr>
        <w:tc>
          <w:tcPr>
            <w:tcW w:w="854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323"/>
        </w:trPr>
        <w:tc>
          <w:tcPr>
            <w:tcW w:w="8540" w:type="dxa"/>
            <w:vAlign w:val="bottom"/>
          </w:tcPr>
          <w:p>
            <w:pPr>
              <w:ind w:left="20"/>
              <w:spacing w:after="0"/>
              <w:rPr>
                <w:sz w:val="20"/>
                <w:szCs w:val="20"/>
                <w:color w:val="auto"/>
              </w:rPr>
            </w:pPr>
            <w:r>
              <w:rPr>
                <w:rFonts w:ascii="Arial" w:cs="Arial" w:eastAsia="Arial" w:hAnsi="Arial"/>
                <w:sz w:val="18"/>
                <w:szCs w:val="18"/>
                <w:color w:val="auto"/>
              </w:rPr>
              <w:t>1.1Defined Terms</w:t>
            </w:r>
          </w:p>
        </w:tc>
        <w:tc>
          <w:tcPr>
            <w:tcW w:w="18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190"/>
        </w:trPr>
        <w:tc>
          <w:tcPr>
            <w:tcW w:w="8540" w:type="dxa"/>
            <w:vAlign w:val="bottom"/>
          </w:tcPr>
          <w:p>
            <w:pPr>
              <w:ind w:left="20"/>
              <w:spacing w:after="0" w:line="190" w:lineRule="exact"/>
              <w:rPr>
                <w:sz w:val="20"/>
                <w:szCs w:val="20"/>
                <w:color w:val="auto"/>
              </w:rPr>
            </w:pPr>
            <w:r>
              <w:rPr>
                <w:rFonts w:ascii="Arial" w:cs="Arial" w:eastAsia="Arial" w:hAnsi="Arial"/>
                <w:sz w:val="18"/>
                <w:szCs w:val="18"/>
                <w:color w:val="auto"/>
              </w:rPr>
              <w:t>1.2Other Interpretive Provisions</w:t>
            </w:r>
          </w:p>
        </w:tc>
        <w:tc>
          <w:tcPr>
            <w:tcW w:w="180" w:type="dxa"/>
            <w:vAlign w:val="bottom"/>
          </w:tcPr>
          <w:p>
            <w:pPr>
              <w:jc w:val="right"/>
              <w:spacing w:after="0" w:line="190" w:lineRule="exact"/>
              <w:rPr>
                <w:sz w:val="20"/>
                <w:szCs w:val="20"/>
                <w:color w:val="auto"/>
              </w:rPr>
            </w:pPr>
            <w:r>
              <w:rPr>
                <w:rFonts w:ascii="Arial" w:cs="Arial" w:eastAsia="Arial" w:hAnsi="Arial"/>
                <w:sz w:val="18"/>
                <w:szCs w:val="18"/>
                <w:color w:val="EE2724"/>
                <w:strike w:val="1"/>
                <w:w w:val="79"/>
              </w:rPr>
              <w:t>57</w:t>
            </w:r>
          </w:p>
        </w:tc>
        <w:tc>
          <w:tcPr>
            <w:tcW w:w="220" w:type="dxa"/>
            <w:vAlign w:val="bottom"/>
            <w:gridSpan w:val="2"/>
          </w:tcPr>
          <w:p>
            <w:pPr>
              <w:spacing w:after="0"/>
              <w:rPr>
                <w:sz w:val="16"/>
                <w:szCs w:val="16"/>
                <w:color w:val="auto"/>
              </w:rPr>
            </w:pPr>
          </w:p>
        </w:tc>
        <w:tc>
          <w:tcPr>
            <w:tcW w:w="180" w:type="dxa"/>
            <w:vAlign w:val="bottom"/>
            <w:tcBorders>
              <w:bottom w:val="single" w:sz="8" w:color="3051F2"/>
            </w:tcBorders>
          </w:tcPr>
          <w:p>
            <w:pPr>
              <w:jc w:val="right"/>
              <w:spacing w:after="0" w:line="190" w:lineRule="exact"/>
              <w:rPr>
                <w:sz w:val="20"/>
                <w:szCs w:val="20"/>
                <w:color w:val="auto"/>
              </w:rPr>
            </w:pPr>
            <w:r>
              <w:rPr>
                <w:rFonts w:ascii="Arial" w:cs="Arial" w:eastAsia="Arial" w:hAnsi="Arial"/>
                <w:sz w:val="18"/>
                <w:szCs w:val="18"/>
                <w:color w:val="3051F2"/>
                <w:w w:val="79"/>
              </w:rPr>
              <w:t>59</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1.3Accounting Terms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58</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60</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1.4Rounding</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58</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60</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1.5References to Agreements Laws, Etc</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58</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60</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1.6Exchange Rates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58</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60</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1.7Rates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61</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1.8Times of Day</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61</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1.9Timing of Payment or Performance</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61</w:t>
            </w: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1.10Certifications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61</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1.11Compliance with Certain Sections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61</w:t>
            </w: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1.12Pro Forma and Other Calculations.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59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61</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1.13Divisions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61</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63</w:t>
            </w: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1.14Amendment and Restatement</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61</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63</w:t>
            </w:r>
          </w:p>
        </w:tc>
      </w:tr>
      <w:tr>
        <w:trPr>
          <w:trHeight w:val="304"/>
        </w:trPr>
        <w:tc>
          <w:tcPr>
            <w:tcW w:w="8540" w:type="dxa"/>
            <w:vAlign w:val="bottom"/>
          </w:tcPr>
          <w:p>
            <w:pPr>
              <w:ind w:left="180"/>
              <w:spacing w:after="0"/>
              <w:rPr>
                <w:sz w:val="20"/>
                <w:szCs w:val="20"/>
                <w:color w:val="auto"/>
              </w:rPr>
            </w:pPr>
            <w:r>
              <w:rPr>
                <w:rFonts w:ascii="Arial" w:cs="Arial" w:eastAsia="Arial" w:hAnsi="Arial"/>
                <w:sz w:val="18"/>
                <w:szCs w:val="18"/>
                <w:color w:val="auto"/>
              </w:rPr>
              <w:t>Amount and Terms of Credit</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61</w:t>
            </w:r>
          </w:p>
        </w:tc>
        <w:tc>
          <w:tcPr>
            <w:tcW w:w="220" w:type="dxa"/>
            <w:vAlign w:val="bottom"/>
            <w:gridSpan w:val="2"/>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63</w:t>
            </w:r>
          </w:p>
        </w:tc>
      </w:tr>
      <w:tr>
        <w:trPr>
          <w:trHeight w:val="304"/>
        </w:trPr>
        <w:tc>
          <w:tcPr>
            <w:tcW w:w="8540" w:type="dxa"/>
            <w:vAlign w:val="bottom"/>
          </w:tcPr>
          <w:p>
            <w:pPr>
              <w:ind w:left="20"/>
              <w:spacing w:after="0"/>
              <w:rPr>
                <w:sz w:val="20"/>
                <w:szCs w:val="20"/>
                <w:color w:val="auto"/>
              </w:rPr>
            </w:pPr>
            <w:r>
              <w:rPr>
                <w:rFonts w:ascii="Arial" w:cs="Arial" w:eastAsia="Arial" w:hAnsi="Arial"/>
                <w:sz w:val="18"/>
                <w:szCs w:val="18"/>
                <w:color w:val="auto"/>
              </w:rPr>
              <w:t>2.1Commitments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61</w:t>
            </w:r>
          </w:p>
        </w:tc>
        <w:tc>
          <w:tcPr>
            <w:tcW w:w="220" w:type="dxa"/>
            <w:vAlign w:val="bottom"/>
            <w:gridSpan w:val="2"/>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63</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2.2Minimum Amount of Each Borrowing; Maximum Number of Borrowings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63</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65</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2.3Notice of Borrowing</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63</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65</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2.4Disbursement of Funds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64</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66</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2.5Repayment of Loans; Evidence of Debt</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65</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67</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2.6Conversions and Continuations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67</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69</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2.7Pro Rata Borrowings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68</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70</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2.8Interest</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68</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70</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2.9Interest Periods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71</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2.10Increased Costs, Illegality, Etc</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69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71</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2.11Compensation</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71</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74</w:t>
            </w: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2.12Change of Lending Office</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72</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74</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2.13Notice of Certain Costs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72</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74</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2.14Incremental Facilities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72</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74</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2.15[Reserved]</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76</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79</w:t>
            </w: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2.16Defaulting Lenders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76</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79</w:t>
            </w:r>
          </w:p>
        </w:tc>
      </w:tr>
      <w:tr>
        <w:trPr>
          <w:trHeight w:val="304"/>
        </w:trPr>
        <w:tc>
          <w:tcPr>
            <w:tcW w:w="854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78</w:t>
            </w:r>
          </w:p>
        </w:tc>
        <w:tc>
          <w:tcPr>
            <w:tcW w:w="220" w:type="dxa"/>
            <w:vAlign w:val="bottom"/>
            <w:gridSpan w:val="2"/>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80</w:t>
            </w:r>
          </w:p>
        </w:tc>
      </w:tr>
      <w:tr>
        <w:trPr>
          <w:trHeight w:val="304"/>
        </w:trPr>
        <w:tc>
          <w:tcPr>
            <w:tcW w:w="8540" w:type="dxa"/>
            <w:vAlign w:val="bottom"/>
          </w:tcPr>
          <w:p>
            <w:pPr>
              <w:ind w:left="20"/>
              <w:spacing w:after="0"/>
              <w:rPr>
                <w:sz w:val="20"/>
                <w:szCs w:val="20"/>
                <w:color w:val="auto"/>
              </w:rPr>
            </w:pPr>
            <w:r>
              <w:rPr>
                <w:rFonts w:ascii="Arial" w:cs="Arial" w:eastAsia="Arial" w:hAnsi="Arial"/>
                <w:sz w:val="18"/>
                <w:szCs w:val="18"/>
                <w:color w:val="auto"/>
              </w:rPr>
              <w:t>3.1Letters of Credit</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78</w:t>
            </w:r>
          </w:p>
        </w:tc>
        <w:tc>
          <w:tcPr>
            <w:tcW w:w="220" w:type="dxa"/>
            <w:vAlign w:val="bottom"/>
            <w:gridSpan w:val="2"/>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80</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3.2Letter of Credit Requests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79</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82</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3.3Letter of Credit Participations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80</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83</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3.4Agreement to Repay Letter of Credit Drawings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81</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84</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3.5Increased Costs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83</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86</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3.6New or Successor Letter of Credit Issuer</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84</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86</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3.7Role of Letter of Credit Issuer</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84</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87</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3.8Cash Collateral</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85</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88</w:t>
            </w:r>
          </w:p>
        </w:tc>
      </w:tr>
      <w:tr>
        <w:trPr>
          <w:trHeight w:val="209"/>
        </w:trPr>
        <w:tc>
          <w:tcPr>
            <w:tcW w:w="8540" w:type="dxa"/>
            <w:vAlign w:val="bottom"/>
          </w:tcPr>
          <w:p>
            <w:pPr>
              <w:ind w:left="20"/>
              <w:spacing w:after="0"/>
              <w:rPr>
                <w:sz w:val="20"/>
                <w:szCs w:val="20"/>
                <w:color w:val="auto"/>
              </w:rPr>
            </w:pPr>
            <w:r>
              <w:rPr>
                <w:rFonts w:ascii="Arial" w:cs="Arial" w:eastAsia="Arial" w:hAnsi="Arial"/>
                <w:sz w:val="18"/>
                <w:szCs w:val="18"/>
                <w:color w:val="auto"/>
              </w:rPr>
              <w:t>3.9Applicability of ISP</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86</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89</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3.10Conflict with Issuer Documents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86</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89</w:t>
            </w: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3.11Letters of Credit Issued for Restricted Subsidiaries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86</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89</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3.12Provisions Related to Extended Revolving Credit Commitments</w:t>
            </w:r>
          </w:p>
        </w:tc>
        <w:tc>
          <w:tcPr>
            <w:tcW w:w="180" w:type="dxa"/>
            <w:vAlign w:val="bottom"/>
          </w:tcPr>
          <w:p>
            <w:pPr>
              <w:jc w:val="right"/>
              <w:spacing w:after="0"/>
              <w:rPr>
                <w:sz w:val="20"/>
                <w:szCs w:val="20"/>
                <w:color w:val="auto"/>
              </w:rPr>
            </w:pPr>
            <w:r>
              <w:rPr>
                <w:rFonts w:ascii="Arial" w:cs="Arial" w:eastAsia="Arial" w:hAnsi="Arial"/>
                <w:sz w:val="18"/>
                <w:szCs w:val="18"/>
                <w:color w:val="EE2724"/>
                <w:strike w:val="1"/>
                <w:w w:val="79"/>
              </w:rPr>
              <w:t>86</w:t>
            </w:r>
          </w:p>
        </w:tc>
        <w:tc>
          <w:tcPr>
            <w:tcW w:w="220" w:type="dxa"/>
            <w:vAlign w:val="bottom"/>
            <w:gridSpan w:val="2"/>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89</w:t>
            </w:r>
          </w:p>
        </w:tc>
      </w:tr>
    </w:tbl>
    <w:p>
      <w:pPr>
        <w:spacing w:after="0" w:line="200" w:lineRule="exact"/>
        <w:rPr>
          <w:sz w:val="20"/>
          <w:szCs w:val="20"/>
          <w:color w:val="auto"/>
        </w:rPr>
      </w:pPr>
    </w:p>
    <w:p>
      <w:pPr>
        <w:sectPr>
          <w:pgSz w:w="11900" w:h="16838" w:orient="portrait"/>
          <w:cols w:equalWidth="0" w:num="1">
            <w:col w:w="10239"/>
          </w:cols>
          <w:pgMar w:left="220" w:top="1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239"/>
          </w:cols>
          <w:pgMar w:left="220" w:top="1417" w:right="1440" w:bottom="1440" w:gutter="0" w:footer="0" w:header="0"/>
          <w:type w:val="continuous"/>
        </w:sectPr>
      </w:pPr>
    </w:p>
    <w:bookmarkStart w:id="27" w:name="page28"/>
    <w:bookmarkEnd w:id="27"/>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90"/>
              </w:rPr>
              <w:t>Page</w:t>
            </w: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87</w:t>
            </w:r>
          </w:p>
        </w:tc>
        <w:tc>
          <w:tcPr>
            <w:tcW w:w="60" w:type="dxa"/>
            <w:vAlign w:val="bottom"/>
          </w:tcPr>
          <w:p>
            <w:pPr>
              <w:spacing w:after="0"/>
              <w:rPr>
                <w:sz w:val="24"/>
                <w:szCs w:val="24"/>
                <w:color w:val="auto"/>
              </w:rPr>
            </w:pPr>
          </w:p>
        </w:tc>
        <w:tc>
          <w:tcPr>
            <w:tcW w:w="160" w:type="dxa"/>
            <w:vAlign w:val="bottom"/>
            <w:tcBorders>
              <w:top w:val="single" w:sz="8" w:color="auto"/>
            </w:tcBorders>
            <w:gridSpan w:val="2"/>
          </w:tcPr>
          <w:p>
            <w:pPr>
              <w:spacing w:after="0"/>
              <w:rPr>
                <w:sz w:val="24"/>
                <w:szCs w:val="24"/>
                <w:color w:val="auto"/>
              </w:rPr>
            </w:pPr>
          </w:p>
        </w:tc>
        <w:tc>
          <w:tcPr>
            <w:tcW w:w="180" w:type="dxa"/>
            <w:vAlign w:val="bottom"/>
            <w:tcBorders>
              <w:top w:val="single" w:sz="8" w:color="auto"/>
              <w:bottom w:val="single" w:sz="8" w:color="3051F2"/>
            </w:tcBorders>
          </w:tcPr>
          <w:p>
            <w:pPr>
              <w:jc w:val="right"/>
              <w:spacing w:after="0"/>
              <w:rPr>
                <w:sz w:val="20"/>
                <w:szCs w:val="20"/>
                <w:color w:val="auto"/>
              </w:rPr>
            </w:pPr>
            <w:r>
              <w:rPr>
                <w:rFonts w:ascii="Arial" w:cs="Arial" w:eastAsia="Arial" w:hAnsi="Arial"/>
                <w:sz w:val="18"/>
                <w:szCs w:val="18"/>
                <w:color w:val="3051F2"/>
                <w:w w:val="79"/>
              </w:rPr>
              <w:t>89</w:t>
            </w:r>
          </w:p>
        </w:tc>
      </w:tr>
      <w:tr>
        <w:trPr>
          <w:trHeight w:val="304"/>
        </w:trPr>
        <w:tc>
          <w:tcPr>
            <w:tcW w:w="8440" w:type="dxa"/>
            <w:vAlign w:val="bottom"/>
          </w:tcPr>
          <w:p>
            <w:pPr>
              <w:ind w:left="20"/>
              <w:spacing w:after="0"/>
              <w:rPr>
                <w:sz w:val="20"/>
                <w:szCs w:val="20"/>
                <w:color w:val="auto"/>
              </w:rPr>
            </w:pPr>
            <w:r>
              <w:rPr>
                <w:rFonts w:ascii="Arial" w:cs="Arial" w:eastAsia="Arial" w:hAnsi="Arial"/>
                <w:sz w:val="18"/>
                <w:szCs w:val="18"/>
                <w:color w:val="auto"/>
              </w:rPr>
              <w:t>4.1Fees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87</w:t>
            </w:r>
          </w:p>
        </w:tc>
        <w:tc>
          <w:tcPr>
            <w:tcW w:w="220" w:type="dxa"/>
            <w:vAlign w:val="bottom"/>
            <w:gridSpan w:val="3"/>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89</w:t>
            </w: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4.2Voluntary Reduction of Revolving Credit Commitments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87</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90</w:t>
            </w: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4.3Mandatory Termination of Commitments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88</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91</w:t>
            </w: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88</w:t>
            </w:r>
          </w:p>
        </w:tc>
        <w:tc>
          <w:tcPr>
            <w:tcW w:w="220" w:type="dxa"/>
            <w:vAlign w:val="bottom"/>
            <w:gridSpan w:val="3"/>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91</w:t>
            </w:r>
          </w:p>
        </w:tc>
      </w:tr>
      <w:tr>
        <w:trPr>
          <w:trHeight w:val="304"/>
        </w:trPr>
        <w:tc>
          <w:tcPr>
            <w:tcW w:w="8440" w:type="dxa"/>
            <w:vAlign w:val="bottom"/>
          </w:tcPr>
          <w:p>
            <w:pPr>
              <w:ind w:left="20"/>
              <w:spacing w:after="0"/>
              <w:rPr>
                <w:sz w:val="20"/>
                <w:szCs w:val="20"/>
                <w:color w:val="auto"/>
              </w:rPr>
            </w:pPr>
            <w:r>
              <w:rPr>
                <w:rFonts w:ascii="Arial" w:cs="Arial" w:eastAsia="Arial" w:hAnsi="Arial"/>
                <w:sz w:val="18"/>
                <w:szCs w:val="18"/>
                <w:color w:val="auto"/>
              </w:rPr>
              <w:t>5.1Voluntary Prepayments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88</w:t>
            </w:r>
          </w:p>
        </w:tc>
        <w:tc>
          <w:tcPr>
            <w:tcW w:w="220" w:type="dxa"/>
            <w:vAlign w:val="bottom"/>
            <w:gridSpan w:val="3"/>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91</w:t>
            </w: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5.2Mandatory Prepayments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89</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92</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5.3Method and Place of Payment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91</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94</w:t>
            </w: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5.4Net Payments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91</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94</w:t>
            </w: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5.5Computations of Interest and Fees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94</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97</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5.6Limit on Rate of Interest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95</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97</w:t>
            </w: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Conditions Precedent to Initial Borrowing</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95</w:t>
            </w:r>
          </w:p>
        </w:tc>
        <w:tc>
          <w:tcPr>
            <w:tcW w:w="220" w:type="dxa"/>
            <w:vAlign w:val="bottom"/>
            <w:gridSpan w:val="3"/>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98</w:t>
            </w:r>
          </w:p>
        </w:tc>
      </w:tr>
      <w:tr>
        <w:trPr>
          <w:trHeight w:val="304"/>
        </w:trPr>
        <w:tc>
          <w:tcPr>
            <w:tcW w:w="8440" w:type="dxa"/>
            <w:vAlign w:val="bottom"/>
          </w:tcPr>
          <w:p>
            <w:pPr>
              <w:ind w:left="20"/>
              <w:spacing w:after="0"/>
              <w:rPr>
                <w:sz w:val="20"/>
                <w:szCs w:val="20"/>
                <w:color w:val="auto"/>
              </w:rPr>
            </w:pPr>
            <w:r>
              <w:rPr>
                <w:rFonts w:ascii="Arial" w:cs="Arial" w:eastAsia="Arial" w:hAnsi="Arial"/>
                <w:sz w:val="18"/>
                <w:szCs w:val="18"/>
                <w:color w:val="auto"/>
              </w:rPr>
              <w:t>6.1Credit Documents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95</w:t>
            </w:r>
          </w:p>
        </w:tc>
        <w:tc>
          <w:tcPr>
            <w:tcW w:w="220" w:type="dxa"/>
            <w:vAlign w:val="bottom"/>
            <w:gridSpan w:val="3"/>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98</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6.2Collateral</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95</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98</w:t>
            </w: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6.3Legal Opinions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96</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98</w:t>
            </w: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6.4Closing Certificates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96</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98</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6.5Authorization of Proceedings of the Credit Parties; Corporate Documents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96</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99</w:t>
            </w: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6.6Fees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96</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99</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6.7Representations and Warranties; No Default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96</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99</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6.8Solvency Certificate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96</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99</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6.9KYC Information</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96</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99</w:t>
            </w: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6.10Refinancing</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96</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99</w:t>
            </w: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6.11Notice of Term Loan Borrowing</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97</w:t>
            </w:r>
          </w:p>
        </w:tc>
        <w:tc>
          <w:tcPr>
            <w:tcW w:w="220" w:type="dxa"/>
            <w:vAlign w:val="bottom"/>
            <w:gridSpan w:val="3"/>
          </w:tcPr>
          <w:p>
            <w:pPr>
              <w:spacing w:after="0"/>
              <w:rPr>
                <w:sz w:val="18"/>
                <w:szCs w:val="18"/>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99</w:t>
            </w: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Conditions Precedent to All Credit Events on and after the Restatement Effective Date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97</w:t>
            </w:r>
          </w:p>
        </w:tc>
        <w:tc>
          <w:tcPr>
            <w:tcW w:w="220" w:type="dxa"/>
            <w:vAlign w:val="bottom"/>
            <w:gridSpan w:val="3"/>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Arial" w:cs="Arial" w:eastAsia="Arial" w:hAnsi="Arial"/>
                <w:sz w:val="18"/>
                <w:szCs w:val="18"/>
                <w:color w:val="3051F2"/>
                <w:w w:val="79"/>
              </w:rPr>
              <w:t>99</w:t>
            </w:r>
          </w:p>
        </w:tc>
      </w:tr>
      <w:tr>
        <w:trPr>
          <w:trHeight w:val="304"/>
        </w:trPr>
        <w:tc>
          <w:tcPr>
            <w:tcW w:w="8440" w:type="dxa"/>
            <w:vAlign w:val="bottom"/>
          </w:tcPr>
          <w:p>
            <w:pPr>
              <w:ind w:left="20"/>
              <w:spacing w:after="0"/>
              <w:rPr>
                <w:sz w:val="20"/>
                <w:szCs w:val="20"/>
                <w:color w:val="auto"/>
              </w:rPr>
            </w:pPr>
            <w:r>
              <w:rPr>
                <w:rFonts w:ascii="Arial" w:cs="Arial" w:eastAsia="Arial" w:hAnsi="Arial"/>
                <w:sz w:val="18"/>
                <w:szCs w:val="18"/>
                <w:color w:val="auto"/>
              </w:rPr>
              <w:t>7.1No Default;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97</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7.2Notice of Borrowing; Letter of Credit Request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97</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98</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304"/>
        </w:trPr>
        <w:tc>
          <w:tcPr>
            <w:tcW w:w="8440" w:type="dxa"/>
            <w:vAlign w:val="bottom"/>
          </w:tcPr>
          <w:p>
            <w:pPr>
              <w:ind w:left="20"/>
              <w:spacing w:after="0"/>
              <w:rPr>
                <w:sz w:val="20"/>
                <w:szCs w:val="20"/>
                <w:color w:val="auto"/>
              </w:rPr>
            </w:pPr>
            <w:r>
              <w:rPr>
                <w:rFonts w:ascii="Arial" w:cs="Arial" w:eastAsia="Arial" w:hAnsi="Arial"/>
                <w:sz w:val="18"/>
                <w:szCs w:val="18"/>
                <w:color w:val="auto"/>
              </w:rPr>
              <w:t>8.1Corporate Status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98</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8.2Corporate Power and Authority</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98</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8.3No Violation</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98</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8.4Litigation</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98</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8.5Margin Regulations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98</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8.6Governmental Approvals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98</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8.7Investment Company Act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99</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8.8True and Complete Disclosure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99</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8.9Financial Condition;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99</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102</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8.10Compliance with Laws; No Default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rPr>
              <w:t>99</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102</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8.11Anti-Corruption, Sanctions and Anti-Money Laundering Compliance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100</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102</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8.12Tax Matters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100</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102</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8.13Compliance with ERISA</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100</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102</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8.14Subsidiaries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100</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103</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8.15Intellectual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100</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103</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8.16Environmental Laws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100</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103</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8.17Properties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101</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103</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8.18Solvency</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101</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103</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8.19Patriot Act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101</w:t>
            </w:r>
          </w:p>
        </w:tc>
        <w:tc>
          <w:tcPr>
            <w:tcW w:w="400" w:type="dxa"/>
            <w:vAlign w:val="bottom"/>
            <w:gridSpan w:val="4"/>
          </w:tcPr>
          <w:p>
            <w:pPr>
              <w:jc w:val="right"/>
              <w:spacing w:after="0"/>
              <w:rPr>
                <w:sz w:val="20"/>
                <w:szCs w:val="20"/>
                <w:color w:val="auto"/>
              </w:rPr>
            </w:pPr>
            <w:r>
              <w:rPr>
                <w:rFonts w:ascii="Arial" w:cs="Arial" w:eastAsia="Arial" w:hAnsi="Arial"/>
                <w:sz w:val="18"/>
                <w:szCs w:val="18"/>
                <w:color w:val="3051F2"/>
              </w:rPr>
              <w:t>104</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39"/>
          </w:cols>
          <w:pgMar w:left="2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39"/>
          </w:cols>
          <w:pgMar w:left="220" w:top="1440" w:right="1440" w:bottom="1440" w:gutter="0" w:footer="0" w:header="0"/>
          <w:type w:val="continuous"/>
        </w:sectPr>
      </w:pPr>
    </w:p>
    <w:bookmarkStart w:id="28" w:name="page29"/>
    <w:bookmarkEnd w:id="28"/>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Page</w:t>
            </w: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8.20EEA Financial Institutions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101</w:t>
            </w:r>
          </w:p>
        </w:tc>
        <w:tc>
          <w:tcPr>
            <w:tcW w:w="60" w:type="dxa"/>
            <w:vAlign w:val="bottom"/>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051F2"/>
              </w:rPr>
              <w:t>104</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101</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104</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304"/>
        </w:trPr>
        <w:tc>
          <w:tcPr>
            <w:tcW w:w="8440" w:type="dxa"/>
            <w:vAlign w:val="bottom"/>
          </w:tcPr>
          <w:p>
            <w:pPr>
              <w:ind w:left="20"/>
              <w:spacing w:after="0"/>
              <w:rPr>
                <w:sz w:val="20"/>
                <w:szCs w:val="20"/>
                <w:color w:val="auto"/>
              </w:rPr>
            </w:pPr>
            <w:r>
              <w:rPr>
                <w:rFonts w:ascii="Arial" w:cs="Arial" w:eastAsia="Arial" w:hAnsi="Arial"/>
                <w:sz w:val="18"/>
                <w:szCs w:val="18"/>
                <w:color w:val="auto"/>
              </w:rPr>
              <w:t>9.1Information Covenants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101</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104</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9.2Books, Records, and Inspections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106</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9.3Maintenance of Insurance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9.4Payment of Taxes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9.5Preservation of Existence; Consolidated Corporate Franchises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9.6Compliance with Statutes, Regulations, Etc</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9.7ERISA</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9.8Maintenance of Properties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106</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9.9Transactions with Affiliates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106</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9.10End of Fiscal Years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106</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109</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9.11Additional Guarantors and Grantors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109</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9.12Pledge of Additional Stock and Evidence of Indebtedness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9.13Use of Proceeds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9.14Further Assurances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9.15Lines of Business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Negative Covenants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304"/>
        </w:trPr>
        <w:tc>
          <w:tcPr>
            <w:tcW w:w="8440" w:type="dxa"/>
            <w:vAlign w:val="bottom"/>
          </w:tcPr>
          <w:p>
            <w:pPr>
              <w:spacing w:after="0"/>
              <w:rPr>
                <w:sz w:val="20"/>
                <w:szCs w:val="20"/>
                <w:color w:val="auto"/>
              </w:rPr>
            </w:pPr>
            <w:r>
              <w:rPr>
                <w:rFonts w:ascii="Arial" w:cs="Arial" w:eastAsia="Arial" w:hAnsi="Arial"/>
                <w:sz w:val="18"/>
                <w:szCs w:val="18"/>
                <w:color w:val="auto"/>
              </w:rPr>
              <w:t>10.Limitation1 on Indebtedness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109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10.Limitation2 on Liens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113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116</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10.Limitation3 on Fundamental Changes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113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116</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10.Limitation4 on Sale of Assets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114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10.Limitation5 on Restricted Payments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115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119</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10.Limitation6 on Subsidiary Distributions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121</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125</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10.Financial7 Covenants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122</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126</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304"/>
        </w:trPr>
        <w:tc>
          <w:tcPr>
            <w:tcW w:w="8440" w:type="dxa"/>
            <w:vAlign w:val="bottom"/>
          </w:tcPr>
          <w:p>
            <w:pPr>
              <w:spacing w:after="0"/>
              <w:rPr>
                <w:sz w:val="20"/>
                <w:szCs w:val="20"/>
                <w:color w:val="auto"/>
              </w:rPr>
            </w:pPr>
            <w:r>
              <w:rPr>
                <w:rFonts w:ascii="Arial" w:cs="Arial" w:eastAsia="Arial" w:hAnsi="Arial"/>
                <w:sz w:val="18"/>
                <w:szCs w:val="18"/>
                <w:color w:val="auto"/>
              </w:rPr>
              <w:t>11.Payments1</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11.Representations,2 Etc</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11.Covenants3</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11.Default4 Under Other Agreements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127</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11.Bankruptcy,5 Etc</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11.ERISA6</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11.Guarantee7</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11.Pledge8 Agreement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11.Security9 Agreement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128</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1.10Judgments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129</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1.11Change of Control</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129</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1.12Remedies Upon Event of Default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129</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1.13Application of Proceeds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126</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129</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color w:val="auto"/>
              </w:rPr>
              <w:t>1.14Equity Cure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126</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304"/>
        </w:trPr>
        <w:tc>
          <w:tcPr>
            <w:tcW w:w="8440" w:type="dxa"/>
            <w:vAlign w:val="bottom"/>
          </w:tcPr>
          <w:p>
            <w:pPr>
              <w:ind w:left="180"/>
              <w:spacing w:after="0"/>
              <w:rPr>
                <w:sz w:val="20"/>
                <w:szCs w:val="20"/>
                <w:color w:val="auto"/>
              </w:rPr>
            </w:pPr>
            <w:r>
              <w:rPr>
                <w:rFonts w:ascii="Arial" w:cs="Arial" w:eastAsia="Arial" w:hAnsi="Arial"/>
                <w:sz w:val="18"/>
                <w:szCs w:val="18"/>
                <w:color w:val="auto"/>
              </w:rPr>
              <w:t>The Agents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304"/>
        </w:trPr>
        <w:tc>
          <w:tcPr>
            <w:tcW w:w="8440" w:type="dxa"/>
            <w:vAlign w:val="bottom"/>
          </w:tcPr>
          <w:p>
            <w:pPr>
              <w:spacing w:after="0"/>
              <w:rPr>
                <w:sz w:val="20"/>
                <w:szCs w:val="20"/>
                <w:color w:val="auto"/>
              </w:rPr>
            </w:pPr>
            <w:r>
              <w:rPr>
                <w:rFonts w:ascii="Arial" w:cs="Arial" w:eastAsia="Arial" w:hAnsi="Arial"/>
                <w:sz w:val="18"/>
                <w:szCs w:val="18"/>
                <w:color w:val="auto"/>
              </w:rPr>
              <w:t>12.Appointment1</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130</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12.Delegation2 of Duties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12.Exculpatory3 Provisions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128</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131</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12.Reliance4 by Agents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128</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132</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12.Notice5 of Default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132</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3051F2"/>
            </w:tcBorders>
            <w:gridSpan w:val="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12.Non6-Reliance on Administrative Agent, Collateral Agent, and Other Lenders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133</w:t>
            </w:r>
          </w:p>
        </w:tc>
      </w:tr>
      <w:tr>
        <w:trPr>
          <w:trHeight w:val="20"/>
        </w:trPr>
        <w:tc>
          <w:tcPr>
            <w:tcW w:w="8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3051F2"/>
            </w:tcBorders>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39"/>
          </w:cols>
          <w:pgMar w:left="2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39"/>
          </w:cols>
          <w:pgMar w:left="220" w:top="1440" w:right="1440" w:bottom="1440" w:gutter="0" w:footer="0" w:header="0"/>
          <w:type w:val="continuous"/>
        </w:sectPr>
      </w:pPr>
    </w:p>
    <w:bookmarkStart w:id="29" w:name="page30"/>
    <w:bookmarkEnd w:id="29"/>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Page</w:t>
            </w: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12.Indemnification7</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129</w:t>
            </w:r>
          </w:p>
        </w:tc>
        <w:tc>
          <w:tcPr>
            <w:tcW w:w="60" w:type="dxa"/>
            <w:vAlign w:val="bottom"/>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051F2"/>
              </w:rPr>
              <w:t>133</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color w:val="auto"/>
              </w:rPr>
              <w:t>12.Agents8 in Their Individual Capacities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130</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134</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12.Successor9 Agents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130</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134</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2.10Withholding Tax</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131</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135</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2.11Agents Under Security Documents and Guarantee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132</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135</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2.12Right to Realize on Collateral and Enforce Guarantee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132</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136</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2.13Intercreditor Agreements Govern</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137</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2.14Certain ERISA Matters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137</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ind w:left="20"/>
              <w:spacing w:after="0"/>
              <w:rPr>
                <w:sz w:val="20"/>
                <w:szCs w:val="20"/>
                <w:color w:val="auto"/>
              </w:rPr>
            </w:pPr>
            <w:r>
              <w:rPr>
                <w:rFonts w:ascii="Arial" w:cs="Arial" w:eastAsia="Arial" w:hAnsi="Arial"/>
                <w:sz w:val="18"/>
                <w:szCs w:val="18"/>
                <w:color w:val="0E32E1"/>
              </w:rPr>
              <w:t>2.15Recovery of Erroneous Payments</w:t>
            </w:r>
          </w:p>
        </w:tc>
        <w:tc>
          <w:tcPr>
            <w:tcW w:w="2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138</w:t>
            </w:r>
          </w:p>
        </w:tc>
      </w:tr>
      <w:tr>
        <w:trPr>
          <w:trHeight w:val="20"/>
        </w:trPr>
        <w:tc>
          <w:tcPr>
            <w:tcW w:w="2580" w:type="dxa"/>
            <w:vAlign w:val="bottom"/>
            <w:shd w:val="clear" w:color="auto" w:fill="0E32E1"/>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304"/>
        </w:trPr>
        <w:tc>
          <w:tcPr>
            <w:tcW w:w="258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5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138</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304"/>
        </w:trPr>
        <w:tc>
          <w:tcPr>
            <w:tcW w:w="8440" w:type="dxa"/>
            <w:vAlign w:val="bottom"/>
            <w:gridSpan w:val="2"/>
          </w:tcPr>
          <w:p>
            <w:pPr>
              <w:spacing w:after="0"/>
              <w:rPr>
                <w:sz w:val="20"/>
                <w:szCs w:val="20"/>
                <w:color w:val="auto"/>
              </w:rPr>
            </w:pPr>
            <w:r>
              <w:rPr>
                <w:rFonts w:ascii="Arial" w:cs="Arial" w:eastAsia="Arial" w:hAnsi="Arial"/>
                <w:sz w:val="18"/>
                <w:szCs w:val="18"/>
                <w:color w:val="auto"/>
              </w:rPr>
              <w:t>13.Amendments,1 Waivers, and Releases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138</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13.Notices2</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141</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color w:val="auto"/>
              </w:rPr>
              <w:t>13.No3 Waiver; Cumulative Remedies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138</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142</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13.Survival4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138</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142</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color w:val="auto"/>
              </w:rPr>
              <w:t>13.Payment5 of Expenses; Indemnification</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138</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142</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13.Successors6 and Assigns; Participations and Assignments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139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143</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13.Replacements7 of Lenders Under Certain Circumstances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143</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147</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color w:val="auto"/>
              </w:rPr>
              <w:t>13.Adjustments;8 Set-off</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148</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spacing w:after="0"/>
              <w:rPr>
                <w:sz w:val="20"/>
                <w:szCs w:val="20"/>
                <w:color w:val="auto"/>
              </w:rPr>
            </w:pPr>
            <w:r>
              <w:rPr>
                <w:rFonts w:ascii="Arial" w:cs="Arial" w:eastAsia="Arial" w:hAnsi="Arial"/>
                <w:sz w:val="18"/>
                <w:szCs w:val="18"/>
                <w:color w:val="auto"/>
              </w:rPr>
              <w:t>13.Counterparts9</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148</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3.10Severability</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148</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3.11Integration</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144</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148</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3.12GOVERNING LAW</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148</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3.13Submission to Jurisdiction; Waivers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149</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3.14Acknowledgments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145</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149</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3.15WAIVERS OF JURY TRIAL</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146</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150</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3.16Confidentiality</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146</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150</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3.17Direct Website Communications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147</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151</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3.18USA PATRIOT Act</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148</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152</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3.19[Reserved]</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152</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0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3.20Payments Set Aside</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153</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3.21No Fiduciary Duty</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153</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3.22Acknowledgement and Consent to Bail-In of Affected Financial Institutions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149</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153</w:t>
            </w:r>
          </w:p>
        </w:tc>
      </w:tr>
      <w:tr>
        <w:trPr>
          <w:trHeight w:val="20"/>
        </w:trPr>
        <w:tc>
          <w:tcPr>
            <w:tcW w:w="8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21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3.23Acknowledgement Regarding Any Supported QFCs</w:t>
            </w:r>
          </w:p>
        </w:tc>
        <w:tc>
          <w:tcPr>
            <w:tcW w:w="280" w:type="dxa"/>
            <w:vAlign w:val="bottom"/>
          </w:tcPr>
          <w:p>
            <w:pPr>
              <w:jc w:val="right"/>
              <w:spacing w:after="0"/>
              <w:rPr>
                <w:sz w:val="20"/>
                <w:szCs w:val="20"/>
                <w:color w:val="auto"/>
              </w:rPr>
            </w:pPr>
            <w:r>
              <w:rPr>
                <w:rFonts w:ascii="Arial" w:cs="Arial" w:eastAsia="Arial" w:hAnsi="Arial"/>
                <w:sz w:val="18"/>
                <w:szCs w:val="18"/>
                <w:color w:val="EE2724"/>
                <w:strike w:val="1"/>
                <w:w w:val="86"/>
              </w:rPr>
              <w:t>150</w:t>
            </w:r>
          </w:p>
        </w:tc>
        <w:tc>
          <w:tcPr>
            <w:tcW w:w="400" w:type="dxa"/>
            <w:vAlign w:val="bottom"/>
            <w:gridSpan w:val="3"/>
          </w:tcPr>
          <w:p>
            <w:pPr>
              <w:jc w:val="right"/>
              <w:spacing w:after="0"/>
              <w:rPr>
                <w:sz w:val="20"/>
                <w:szCs w:val="20"/>
                <w:color w:val="auto"/>
              </w:rPr>
            </w:pPr>
            <w:r>
              <w:rPr>
                <w:rFonts w:ascii="Arial" w:cs="Arial" w:eastAsia="Arial" w:hAnsi="Arial"/>
                <w:sz w:val="18"/>
                <w:szCs w:val="18"/>
                <w:color w:val="3051F2"/>
              </w:rPr>
              <w:t>154</w:t>
            </w:r>
          </w:p>
        </w:tc>
      </w:tr>
      <w:tr>
        <w:trPr>
          <w:trHeight w:val="20"/>
        </w:trPr>
        <w:tc>
          <w:tcPr>
            <w:tcW w:w="2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Mortgaged Properties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Commitments of Lenders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Existing Letters of Credit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Subsidiaries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Environmental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Post-Closing Actions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Restatement Effective Date Indebtedness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Restatement Effective Date Liens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Restatement Effective Date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Notice Addresses</w:t>
      </w:r>
    </w:p>
    <w:p>
      <w:pPr>
        <w:spacing w:after="0" w:line="200" w:lineRule="exact"/>
        <w:rPr>
          <w:sz w:val="20"/>
          <w:szCs w:val="20"/>
          <w:color w:val="auto"/>
        </w:rPr>
      </w:pPr>
    </w:p>
    <w:p>
      <w:pPr>
        <w:spacing w:after="0" w:line="3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Form of Joinder Agreement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[Reserved]</w:t>
      </w:r>
    </w:p>
    <w:p>
      <w:pPr>
        <w:sectPr>
          <w:pgSz w:w="11900" w:h="16838" w:orient="portrait"/>
          <w:cols w:equalWidth="0" w:num="1">
            <w:col w:w="10239"/>
          </w:cols>
          <w:pgMar w:left="2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39"/>
          </w:cols>
          <w:pgMar w:left="220" w:top="1440" w:right="1440" w:bottom="1440" w:gutter="0" w:footer="0" w:header="0"/>
          <w:type w:val="continuous"/>
        </w:sectPr>
      </w:pPr>
    </w:p>
    <w:bookmarkStart w:id="30" w:name="page31"/>
    <w:bookmarkEnd w:id="30"/>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Credit Party Restatement Effective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Promissory Note (Term A 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Promissory Note (Revolving Credit 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First Lien Intercreditor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Second Lien Intercreditor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Form of Non-Bank Tax Certificate</w:t>
      </w:r>
    </w:p>
    <w:p>
      <w:pPr>
        <w:ind w:left="1540"/>
        <w:spacing w:after="0"/>
        <w:rPr>
          <w:sz w:val="20"/>
          <w:szCs w:val="20"/>
          <w:color w:val="auto"/>
        </w:rPr>
      </w:pPr>
      <w:r>
        <w:rPr>
          <w:rFonts w:ascii="Arial" w:cs="Arial" w:eastAsia="Arial" w:hAnsi="Arial"/>
          <w:sz w:val="16"/>
          <w:szCs w:val="16"/>
          <w:color w:val="auto"/>
        </w:rPr>
        <w:t>(For Non-U.S. Lenders That Are Not Partnerships For U.S. Federal Income Tax Purposes)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Form of Non-Bank Tax Certificate</w:t>
      </w:r>
    </w:p>
    <w:p>
      <w:pPr>
        <w:ind w:left="1540"/>
        <w:spacing w:after="0"/>
        <w:rPr>
          <w:sz w:val="20"/>
          <w:szCs w:val="20"/>
          <w:color w:val="auto"/>
        </w:rPr>
      </w:pPr>
      <w:r>
        <w:rPr>
          <w:rFonts w:ascii="Arial" w:cs="Arial" w:eastAsia="Arial" w:hAnsi="Arial"/>
          <w:sz w:val="17"/>
          <w:szCs w:val="17"/>
          <w:color w:val="auto"/>
        </w:rPr>
        <w:t>(For Non-U.S. Lenders That Are Partnerships For U.S. Federal Income Tax Purposes)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Form of Non-Bank Tax Certificate</w:t>
      </w:r>
    </w:p>
    <w:p>
      <w:pPr>
        <w:ind w:right="1739" w:firstLine="1543"/>
        <w:spacing w:after="0" w:line="234" w:lineRule="auto"/>
        <w:rPr>
          <w:sz w:val="20"/>
          <w:szCs w:val="20"/>
          <w:color w:val="auto"/>
        </w:rPr>
      </w:pPr>
      <w:r>
        <w:rPr>
          <w:rFonts w:ascii="Arial" w:cs="Arial" w:eastAsia="Arial" w:hAnsi="Arial"/>
          <w:sz w:val="18"/>
          <w:szCs w:val="18"/>
          <w:color w:val="auto"/>
        </w:rPr>
        <w:t>(For Non-U.S. Participants That Are Not Partnerships For U.S. Federal Income Tax Purposes) Form of Non-Bank Tax Certificate</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(For Foreign Participants That Are Partnerships For U.S. Federal Income Tax Purposes)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 or Continuation or Conversion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of Credit Request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Hedge Bank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59"/>
          </w:cols>
          <w:pgMar w:left="400" w:top="1440" w:right="1440" w:bottom="1440" w:gutter="0" w:footer="0" w:header="0"/>
        </w:sectPr>
      </w:pPr>
    </w:p>
    <w:bookmarkStart w:id="31" w:name="page32"/>
    <w:bookmarkEnd w:id="31"/>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AMENDED AND RESTATED CREDIT AGREEMENT, dated as of July 18, 2019 (as amended, amended and restated, supplemented or otherwise modified from time to time), among NAUTILUS ACQUISITION HOLDINGS, INC., a Delaware corporation (“</w:t>
      </w:r>
      <w:r>
        <w:rPr>
          <w:rFonts w:ascii="Arial" w:cs="Arial" w:eastAsia="Arial" w:hAnsi="Arial"/>
          <w:sz w:val="16"/>
          <w:szCs w:val="16"/>
          <w:b w:val="1"/>
          <w:bCs w:val="1"/>
          <w:color w:val="auto"/>
        </w:rPr>
        <w:t>Holdings</w:t>
      </w:r>
      <w:r>
        <w:rPr>
          <w:rFonts w:ascii="Arial" w:cs="Arial" w:eastAsia="Arial" w:hAnsi="Arial"/>
          <w:sz w:val="16"/>
          <w:szCs w:val="16"/>
          <w:color w:val="auto"/>
        </w:rPr>
        <w:t>”), National Vision, Inc., a Georgia corporation (the “</w:t>
      </w:r>
      <w:r>
        <w:rPr>
          <w:rFonts w:ascii="Arial" w:cs="Arial" w:eastAsia="Arial" w:hAnsi="Arial"/>
          <w:sz w:val="16"/>
          <w:szCs w:val="16"/>
          <w:b w:val="1"/>
          <w:bCs w:val="1"/>
          <w:color w:val="auto"/>
        </w:rPr>
        <w:t>Borrower</w:t>
      </w:r>
      <w:r>
        <w:rPr>
          <w:rFonts w:ascii="Arial" w:cs="Arial" w:eastAsia="Arial" w:hAnsi="Arial"/>
          <w:sz w:val="16"/>
          <w:szCs w:val="16"/>
          <w:color w:val="auto"/>
        </w:rPr>
        <w:t>”), the lending institutions from time to time parties hereto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together with the Swingline Lender, the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BANK OF AMERICA, N.A., as the Swingline Lender, the Administrative Agent and the Collateral Agent (such terms and each other capitalized term used but not defined in this preamble having the meaning provided in </w:t>
      </w:r>
      <w:r>
        <w:rPr>
          <w:rFonts w:ascii="Arial" w:cs="Arial" w:eastAsia="Arial" w:hAnsi="Arial"/>
          <w:sz w:val="16"/>
          <w:szCs w:val="16"/>
          <w:u w:val="single" w:color="auto"/>
          <w:color w:val="auto"/>
        </w:rPr>
        <w:t>Section 1</w:t>
      </w:r>
      <w:r>
        <w:rPr>
          <w:rFonts w:ascii="Arial" w:cs="Arial" w:eastAsia="Arial" w:hAnsi="Arial"/>
          <w:sz w:val="16"/>
          <w:szCs w:val="16"/>
          <w:color w:val="auto"/>
        </w:rPr>
        <w:t>) and each Letter of Credit Issuer.</w:t>
      </w:r>
    </w:p>
    <w:p>
      <w:pPr>
        <w:spacing w:after="0" w:line="16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WHEREAS, the Borrower, Holdings, certain lenders and Goldman Sachs Bank USA, in its capacity as administrative agent and collateral agent (in such capacities, the “</w:t>
      </w:r>
      <w:r>
        <w:rPr>
          <w:rFonts w:ascii="Arial" w:cs="Arial" w:eastAsia="Arial" w:hAnsi="Arial"/>
          <w:sz w:val="18"/>
          <w:szCs w:val="18"/>
          <w:b w:val="1"/>
          <w:bCs w:val="1"/>
          <w:color w:val="auto"/>
        </w:rPr>
        <w:t>Former Agent</w:t>
      </w:r>
      <w:r>
        <w:rPr>
          <w:rFonts w:ascii="Arial" w:cs="Arial" w:eastAsia="Arial" w:hAnsi="Arial"/>
          <w:sz w:val="18"/>
          <w:szCs w:val="18"/>
          <w:color w:val="auto"/>
        </w:rPr>
        <w:t>”), entered into that certain First Lien Credit Agreement dated as of March 13, 2014 (as amended, supplemented or otherwise modified prior to the Restatement Effective Date, the “</w:t>
      </w:r>
      <w:r>
        <w:rPr>
          <w:rFonts w:ascii="Arial" w:cs="Arial" w:eastAsia="Arial" w:hAnsi="Arial"/>
          <w:sz w:val="18"/>
          <w:szCs w:val="18"/>
          <w:b w:val="1"/>
          <w:bCs w:val="1"/>
          <w:color w:val="auto"/>
        </w:rPr>
        <w:t>Original Credit Agreement</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WHEREAS, pursuant to the Restatement Agreement (as defined below), the Borrower has requested that the Required Lenders amend and restate the Original Credit Agreement and that the Lenders provide new Term A Loans in an aggregate principal amount of up to $420,000,000 and a new Revolving Credit Facility in an aggregate principal amount of up to $300,000,000, the proceeds of which are to be used (i) to redeem, defease, refinance or repay certain existing indebtedness of the Borrower and its Subsidiaries, including all amounts outstanding (other than contingent obligations) under the Original Credit Agreement immediately prior to the Restatement Effective Date (the “</w:t>
      </w:r>
      <w:r>
        <w:rPr>
          <w:rFonts w:ascii="Arial" w:cs="Arial" w:eastAsia="Arial" w:hAnsi="Arial"/>
          <w:sz w:val="17"/>
          <w:szCs w:val="17"/>
          <w:b w:val="1"/>
          <w:bCs w:val="1"/>
          <w:color w:val="auto"/>
        </w:rPr>
        <w:t>Restatement Date Refinancing</w:t>
      </w:r>
      <w:r>
        <w:rPr>
          <w:rFonts w:ascii="Arial" w:cs="Arial" w:eastAsia="Arial" w:hAnsi="Arial"/>
          <w:sz w:val="17"/>
          <w:szCs w:val="17"/>
          <w:color w:val="auto"/>
        </w:rPr>
        <w:t>”), (ii) to pay fees and expenses incurred in connection with the Transactions (as defined below) and (iii) for general corporate purposes;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the Lenders and Letter of Credit Issuers are willing to make available to the Borrower such term loan and revolving credit and letter of credit facilities upon the terms and subject to the conditions set forth herein;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Lenders party to the Restatement Agreement have consented to the amendment and restatement of the Original Credit Agreement and such Lenders are willing to provide the facilities described above, in each case, subject to terms and conditions set forth in the Restatement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it is the intent of the parties hereto that this Agreement amend and restate in its entirety the Original Credit Agreement; and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covenants and agreements contained herein, the parties hereto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As used herein, the following terms shall have the meanings specified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unless the context otherwise requires (it being understood that defined terms in this Agreement shall include in the singular number the plural and in the plural the singular):</w:t>
      </w:r>
    </w:p>
    <w:p>
      <w:pPr>
        <w:spacing w:after="0" w:line="12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xml:space="preserve">” shall mean for any day a fluctuating rate per annum equal to the highest of (i) the Federal Funds Effective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1/2 of 1%, (ii) the rate of interest in effect for such day as announced from time to time by the Administrative Agent as its “prime rate” at its principal office in New York City and (iii) the rate per annum determined in the manner set forth in clause (ii) of the definition of “LIBOR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in no event shall the ABR at any time be less than </w:t>
      </w:r>
      <w:r>
        <w:rPr>
          <w:rFonts w:ascii="Arial" w:cs="Arial" w:eastAsia="Arial" w:hAnsi="Arial"/>
          <w:sz w:val="17"/>
          <w:szCs w:val="17"/>
          <w:color w:val="FF0000"/>
          <w:strike w:val="1"/>
        </w:rPr>
        <w:t>2.00</w:t>
      </w:r>
      <w:r>
        <w:rPr>
          <w:rFonts w:ascii="Arial" w:cs="Arial" w:eastAsia="Arial" w:hAnsi="Arial"/>
          <w:sz w:val="17"/>
          <w:szCs w:val="17"/>
          <w:u w:val="single" w:color="auto"/>
          <w:color w:val="0000FF"/>
        </w:rPr>
        <w:t>1.00</w:t>
      </w:r>
      <w:r>
        <w:rPr>
          <w:rFonts w:ascii="Arial" w:cs="Arial" w:eastAsia="Arial" w:hAnsi="Arial"/>
          <w:sz w:val="17"/>
          <w:szCs w:val="17"/>
          <w:color w:val="auto"/>
        </w:rPr>
        <w:t>% per annum.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ectPr>
          <w:pgSz w:w="11900" w:h="16838" w:orient="portrait"/>
          <w:cols w:equalWidth="0" w:num="1">
            <w:col w:w="11220"/>
          </w:cols>
          <w:pgMar w:left="320" w:top="1440" w:right="359" w:bottom="1440" w:gutter="0" w:footer="0" w:header="0"/>
        </w:sectPr>
      </w:pPr>
    </w:p>
    <w:bookmarkStart w:id="32" w:name="page33"/>
    <w:bookmarkEnd w:id="32"/>
    <w:p>
      <w:pPr>
        <w:spacing w:after="0" w:line="200" w:lineRule="exact"/>
        <w:rPr>
          <w:sz w:val="20"/>
          <w:szCs w:val="20"/>
          <w:color w:val="auto"/>
        </w:rPr>
      </w:pPr>
    </w:p>
    <w:p>
      <w:pPr>
        <w:spacing w:after="0" w:line="3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If the ABR is being used as an alternate rate of interest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hereof, then the ABR shall, subject to the proviso in the first sentence of this definition, be the greater of clauses (i) and (ii) above and shall be determined without reference to clause (iii) above.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w:t>
      </w:r>
      <w:r>
        <w:rPr>
          <w:rFonts w:ascii="Arial" w:cs="Arial" w:eastAsia="Arial" w:hAnsi="Arial"/>
          <w:sz w:val="18"/>
          <w:szCs w:val="18"/>
          <w:color w:val="auto"/>
        </w:rPr>
        <w:t>” shall mean each Loan bearing interest based on the ABR.</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EBITDA</w:t>
      </w:r>
      <w:r>
        <w:rPr>
          <w:rFonts w:ascii="Arial" w:cs="Arial" w:eastAsia="Arial" w:hAnsi="Arial"/>
          <w:sz w:val="18"/>
          <w:szCs w:val="18"/>
          <w:color w:val="auto"/>
        </w:rPr>
        <w:t>” shall mean, with respect to any Acquired Entity or Business or any Converted Restricted Subsidiary (any of the foregoing, a “</w:t>
      </w:r>
      <w:r>
        <w:rPr>
          <w:rFonts w:ascii="Arial" w:cs="Arial" w:eastAsia="Arial" w:hAnsi="Arial"/>
          <w:sz w:val="18"/>
          <w:szCs w:val="18"/>
          <w:b w:val="1"/>
          <w:bCs w:val="1"/>
          <w:color w:val="auto"/>
        </w:rPr>
        <w:t>Pro Forma Entity</w:t>
      </w:r>
      <w:r>
        <w:rPr>
          <w:rFonts w:ascii="Arial" w:cs="Arial" w:eastAsia="Arial" w:hAnsi="Arial"/>
          <w:sz w:val="18"/>
          <w:szCs w:val="18"/>
          <w:color w:val="auto"/>
        </w:rPr>
        <w:t>”) for any period, the amount for such period of Consolidated EBITDA of such Pro Forma Entity (determined using such definitions as if references to Holdings and the Restricted Subsidiaries therein were to such Pro Forma Entity and its Restricted Subsidiaries), all as determined on a consolidated basis for such Pro Forma Entity in accordance with GAAP.</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xml:space="preserve">” shall have the meaning provided in the definition of </w:t>
      </w:r>
      <w:r>
        <w:rPr>
          <w:rFonts w:ascii="Arial" w:cs="Arial" w:eastAsia="Arial" w:hAnsi="Arial"/>
          <w:sz w:val="18"/>
          <w:szCs w:val="18"/>
          <w:color w:val="FF0000"/>
          <w:strike w:val="1"/>
        </w:rPr>
        <w:t>the term</w:t>
      </w:r>
      <w:r>
        <w:rPr>
          <w:rFonts w:ascii="Arial" w:cs="Arial" w:eastAsia="Arial" w:hAnsi="Arial"/>
          <w:sz w:val="18"/>
          <w:szCs w:val="18"/>
          <w:color w:val="auto"/>
        </w:rPr>
        <w:t xml:space="preserve"> “Consolidated EBITDA”.</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Indebtedness</w:t>
      </w:r>
      <w:r>
        <w:rPr>
          <w:rFonts w:ascii="Arial" w:cs="Arial" w:eastAsia="Arial" w:hAnsi="Arial"/>
          <w:sz w:val="18"/>
          <w:szCs w:val="18"/>
          <w:color w:val="auto"/>
        </w:rPr>
        <w:t>” shall mean, with respect to any specified Person, (i) Indebtedness of any other Person existing at the time such other Person is merged, consolidated, or amalgamated with or into or became a Restricted Subsidiary of such specified Person and (ii) Indebtedness secured by a Lien encumbering any asset acquired by such specified Person.</w:t>
      </w:r>
    </w:p>
    <w:p>
      <w:pPr>
        <w:spacing w:after="0" w:line="17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Additional Restrictions Period</w:t>
      </w:r>
      <w:r>
        <w:rPr>
          <w:rFonts w:ascii="Arial" w:cs="Arial" w:eastAsia="Arial" w:hAnsi="Arial"/>
          <w:sz w:val="18"/>
          <w:szCs w:val="18"/>
          <w:color w:val="FF0000"/>
          <w:strike w:val="1"/>
        </w:rPr>
        <w:t xml:space="preserve">” means the period commencing on the Amendment No. 1 Effective Date and ending on the earlier of (x) the last day of the Borrower's 2021 fiscal year and (y) any earlier date that a Responsible Officer of the Borrower delivers a certificate to the Administrative Agent electing to terminate the Additional Restrictions Period, so long as, in the case of this subclause (y), the Consolidated Total Debt to Consolidated EBITDA Ratio was equal to or less than 4.25 to 1.00 </w:t>
      </w:r>
      <w:r>
        <w:rPr>
          <w:rFonts w:ascii="Arial" w:cs="Arial" w:eastAsia="Arial" w:hAnsi="Arial"/>
          <w:sz w:val="18"/>
          <w:szCs w:val="18"/>
          <w:color w:val="008000"/>
          <w:strike w:val="1"/>
        </w:rPr>
        <w:t>as of the last day of</w:t>
      </w:r>
      <w:r>
        <w:rPr>
          <w:rFonts w:ascii="Arial" w:cs="Arial" w:eastAsia="Arial" w:hAnsi="Arial"/>
          <w:sz w:val="18"/>
          <w:szCs w:val="18"/>
          <w:color w:val="FF0000"/>
          <w:strike w:val="1"/>
        </w:rPr>
        <w:t xml:space="preserve"> the most recently ended fiscal quarter for which Section 9.1 Financials have been delivered..</w:t>
      </w:r>
    </w:p>
    <w:p>
      <w:pPr>
        <w:spacing w:after="0" w:line="18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Revolving Credit Commitment</w:t>
      </w:r>
      <w:r>
        <w:rPr>
          <w:rFonts w:ascii="Arial" w:cs="Arial" w:eastAsia="Arial" w:hAnsi="Arial"/>
          <w:sz w:val="18"/>
          <w:szCs w:val="18"/>
          <w:color w:val="auto"/>
        </w:rPr>
        <w:t>” shall mean at any time the Total Revolving Credit Commitment less the aggregate Revolving Credit Commitments of all Defaulting Lenders.</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A Loan Commitment</w:t>
      </w:r>
      <w:r>
        <w:rPr>
          <w:rFonts w:ascii="Arial" w:cs="Arial" w:eastAsia="Arial" w:hAnsi="Arial"/>
          <w:sz w:val="18"/>
          <w:szCs w:val="18"/>
          <w:color w:val="auto"/>
        </w:rPr>
        <w:t>” shall mean at any time the Total Term A Loan Commitment less the Term A Loan Commitments of all Defaulting Lenders.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Loan Commitment</w:t>
      </w:r>
      <w:r>
        <w:rPr>
          <w:rFonts w:ascii="Arial" w:cs="Arial" w:eastAsia="Arial" w:hAnsi="Arial"/>
          <w:sz w:val="18"/>
          <w:szCs w:val="18"/>
          <w:color w:val="auto"/>
        </w:rPr>
        <w:t>” shall mean at any time the Total Term Loan Commitment less the Term Loan Commitments of all Defaulting Lenders.</w:t>
      </w:r>
    </w:p>
    <w:p>
      <w:pPr>
        <w:spacing w:after="0" w:line="162"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mean Bank of America, N.A., as the administrative agent for the Lenders under this Agreement and the other Credit Documents, or any successor administrative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matters relating to the Original Credit Agreement or periods prior to the Restatement Effective Date, such term shall refer to the Former Agent.</w:t>
      </w:r>
    </w:p>
    <w:p>
      <w:pPr>
        <w:spacing w:after="0" w:line="17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shall mean the Administrative Agent’s address and, as appropriate, account as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13.6(b)(ii)(D)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rPr>
        <w:t>shall mean</w:t>
      </w:r>
      <w:r>
        <w:rPr>
          <w:rFonts w:ascii="Arial" w:cs="Arial" w:eastAsia="Arial" w:hAnsi="Arial"/>
          <w:sz w:val="18"/>
          <w:szCs w:val="18"/>
          <w:color w:val="auto"/>
        </w:rPr>
        <w:t xml:space="preserve"> (a) any EEA Financial Institution or (b) any UK Financial Institution.</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33" w:name="page34"/>
    <w:bookmarkEnd w:id="33"/>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management and policies of such other Person, whether through the ownership of voting securities, by contract or otherwise.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13.17(b)</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mean the Administrative Agent, the Collateral Agent and each Syndication Agent, Documentation Agent and Joint Lead Arranger and Bookrunner.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Credit Agreement.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1</w:t>
      </w:r>
      <w:r>
        <w:rPr>
          <w:rFonts w:ascii="Arial" w:cs="Arial" w:eastAsia="Arial" w:hAnsi="Arial"/>
          <w:sz w:val="18"/>
          <w:szCs w:val="18"/>
          <w:color w:val="auto"/>
        </w:rPr>
        <w:t>” shall mean that certain Amendment No. 1 dated as of the Amendment No.1 Effective Date by and among the Borrower, the Guarantors, the Lenders party thereto and the Administrative Agent and Collateral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1 Effective Date</w:t>
      </w:r>
      <w:r>
        <w:rPr>
          <w:rFonts w:ascii="Arial" w:cs="Arial" w:eastAsia="Arial" w:hAnsi="Arial"/>
          <w:sz w:val="18"/>
          <w:szCs w:val="18"/>
          <w:color w:val="auto"/>
        </w:rPr>
        <w:t>” shall have the meaning given to such term in Amendment No. 1.</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Amendment No. 2</w:t>
      </w:r>
      <w:r>
        <w:rPr>
          <w:rFonts w:ascii="Arial" w:cs="Arial" w:eastAsia="Arial" w:hAnsi="Arial"/>
          <w:sz w:val="18"/>
          <w:szCs w:val="18"/>
          <w:u w:val="single" w:color="auto"/>
          <w:color w:val="0000FF"/>
        </w:rPr>
        <w:t>” shall mean that certain Amendment No. 2 dated as of the Amendment No. 2 Effective Date by and among the Borrower, the Guarantors, the Lenders party thereto and the Administrative Agent and Collateral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Amendment No. 2 Effective Date</w:t>
      </w:r>
      <w:r>
        <w:rPr>
          <w:rFonts w:ascii="Arial" w:cs="Arial" w:eastAsia="Arial" w:hAnsi="Arial"/>
          <w:sz w:val="18"/>
          <w:szCs w:val="18"/>
          <w:u w:val="single" w:color="auto"/>
          <w:color w:val="0000FF"/>
        </w:rPr>
        <w:t>” shall have the meaning given to such term in Amendment No. 2.</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Amendment No. 2 Lead Arrangers</w:t>
      </w:r>
      <w:r>
        <w:rPr>
          <w:rFonts w:ascii="Arial" w:cs="Arial" w:eastAsia="Arial" w:hAnsi="Arial"/>
          <w:sz w:val="18"/>
          <w:szCs w:val="18"/>
          <w:u w:val="single" w:color="auto"/>
          <w:color w:val="0000FF"/>
        </w:rPr>
        <w:t>” shall mean BofA Securities Inc., JPMorgan Chase Bank, N.A. and Wells Fargo Securities, LLC, in their capacities as joint lead arrangers and bookrunners in connection with Amendment No. 2.</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shall mean all laws, rules, and regulations of any jurisdiction applicable to the Borrower or any of its Subsidiaries from time to time concerning or relating to bribery, money laundering or corruption, including the United States Foreign Corrupt Practices Act of 1977, as amended, and the rules and regulations promulgated thereunder.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a percentage per annum equal to:</w:t>
      </w:r>
    </w:p>
    <w:p>
      <w:pPr>
        <w:spacing w:after="0" w:line="229" w:lineRule="exact"/>
        <w:rPr>
          <w:sz w:val="20"/>
          <w:szCs w:val="20"/>
          <w:color w:val="auto"/>
        </w:rPr>
      </w:pPr>
    </w:p>
    <w:p>
      <w:pPr>
        <w:ind w:left="660" w:firstLine="644"/>
        <w:spacing w:after="0" w:line="291" w:lineRule="auto"/>
        <w:tabs>
          <w:tab w:leader="none" w:pos="1733"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until delivery of financial statements and a related Compliance Certificate for the period ending on </w:t>
      </w:r>
      <w:r>
        <w:rPr>
          <w:rFonts w:ascii="Arial" w:cs="Arial" w:eastAsia="Arial" w:hAnsi="Arial"/>
          <w:sz w:val="16"/>
          <w:szCs w:val="16"/>
          <w:color w:val="FF0000"/>
          <w:strike w:val="1"/>
        </w:rPr>
        <w:t>September</w:t>
      </w:r>
      <w:r>
        <w:rPr>
          <w:rFonts w:ascii="Arial" w:cs="Arial" w:eastAsia="Arial" w:hAnsi="Arial"/>
          <w:sz w:val="16"/>
          <w:szCs w:val="16"/>
          <w:u w:val="single" w:color="auto"/>
          <w:color w:val="0000FF"/>
        </w:rPr>
        <w:t>June</w:t>
      </w:r>
      <w:r>
        <w:rPr>
          <w:rFonts w:ascii="Arial" w:cs="Arial" w:eastAsia="Arial" w:hAnsi="Arial"/>
          <w:sz w:val="16"/>
          <w:szCs w:val="16"/>
          <w:color w:val="auto"/>
        </w:rPr>
        <w:t xml:space="preserve"> 30, </w:t>
      </w:r>
      <w:r>
        <w:rPr>
          <w:rFonts w:ascii="Arial" w:cs="Arial" w:eastAsia="Arial" w:hAnsi="Arial"/>
          <w:sz w:val="16"/>
          <w:szCs w:val="16"/>
          <w:color w:val="FF0000"/>
          <w:strike w:val="1"/>
        </w:rPr>
        <w:t>2019</w:t>
      </w:r>
      <w:r>
        <w:rPr>
          <w:rFonts w:ascii="Arial" w:cs="Arial" w:eastAsia="Arial" w:hAnsi="Arial"/>
          <w:sz w:val="16"/>
          <w:szCs w:val="16"/>
          <w:u w:val="single" w:color="auto"/>
          <w:color w:val="0000FF"/>
        </w:rPr>
        <w:t>2021</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(1) for LIBOR Loans, </w:t>
      </w:r>
      <w:r>
        <w:rPr>
          <w:rFonts w:ascii="Arial" w:cs="Arial" w:eastAsia="Arial" w:hAnsi="Arial"/>
          <w:sz w:val="16"/>
          <w:szCs w:val="16"/>
          <w:color w:val="FF0000"/>
          <w:strike w:val="1"/>
        </w:rPr>
        <w:t>1.50</w:t>
      </w:r>
      <w:r>
        <w:rPr>
          <w:rFonts w:ascii="Arial" w:cs="Arial" w:eastAsia="Arial" w:hAnsi="Arial"/>
          <w:sz w:val="16"/>
          <w:szCs w:val="16"/>
          <w:u w:val="single" w:color="auto"/>
          <w:color w:val="0000FF"/>
        </w:rPr>
        <w:t>1.25</w:t>
      </w:r>
      <w:r>
        <w:rPr>
          <w:rFonts w:ascii="Arial" w:cs="Arial" w:eastAsia="Arial" w:hAnsi="Arial"/>
          <w:sz w:val="16"/>
          <w:szCs w:val="16"/>
          <w:color w:val="auto"/>
        </w:rPr>
        <w:t xml:space="preserve">%, (2) for ABR Loans, </w:t>
      </w:r>
      <w:r>
        <w:rPr>
          <w:rFonts w:ascii="Arial" w:cs="Arial" w:eastAsia="Arial" w:hAnsi="Arial"/>
          <w:sz w:val="16"/>
          <w:szCs w:val="16"/>
          <w:color w:val="FF0000"/>
          <w:strike w:val="1"/>
        </w:rPr>
        <w:t>0.50</w:t>
      </w:r>
      <w:r>
        <w:rPr>
          <w:rFonts w:ascii="Arial" w:cs="Arial" w:eastAsia="Arial" w:hAnsi="Arial"/>
          <w:sz w:val="16"/>
          <w:szCs w:val="16"/>
          <w:u w:val="single" w:color="auto"/>
          <w:color w:val="0000FF"/>
        </w:rPr>
        <w:t>0.25</w:t>
      </w:r>
      <w:r>
        <w:rPr>
          <w:rFonts w:ascii="Arial" w:cs="Arial" w:eastAsia="Arial" w:hAnsi="Arial"/>
          <w:sz w:val="16"/>
          <w:szCs w:val="16"/>
          <w:color w:val="auto"/>
        </w:rPr>
        <w:t xml:space="preserve">%, (3) for Letter of Credit Fees, </w:t>
      </w:r>
      <w:r>
        <w:rPr>
          <w:rFonts w:ascii="Arial" w:cs="Arial" w:eastAsia="Arial" w:hAnsi="Arial"/>
          <w:sz w:val="16"/>
          <w:szCs w:val="16"/>
          <w:color w:val="FF0000"/>
          <w:strike w:val="1"/>
        </w:rPr>
        <w:t>1.50</w:t>
      </w:r>
      <w:r>
        <w:rPr>
          <w:rFonts w:ascii="Arial" w:cs="Arial" w:eastAsia="Arial" w:hAnsi="Arial"/>
          <w:sz w:val="16"/>
          <w:szCs w:val="16"/>
          <w:u w:val="single" w:color="auto"/>
          <w:color w:val="0000FF"/>
        </w:rPr>
        <w:t>1.25</w:t>
      </w:r>
      <w:r>
        <w:rPr>
          <w:rFonts w:ascii="Arial" w:cs="Arial" w:eastAsia="Arial" w:hAnsi="Arial"/>
          <w:sz w:val="16"/>
          <w:szCs w:val="16"/>
          <w:color w:val="auto"/>
        </w:rPr>
        <w:t>% per annum and</w:t>
      </w: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for Commitment Fees, </w:t>
      </w:r>
      <w:r>
        <w:rPr>
          <w:rFonts w:ascii="Arial" w:cs="Arial" w:eastAsia="Arial" w:hAnsi="Arial"/>
          <w:sz w:val="18"/>
          <w:szCs w:val="18"/>
          <w:color w:val="FF0000"/>
          <w:strike w:val="1"/>
        </w:rPr>
        <w:t>0.25</w:t>
      </w:r>
      <w:r>
        <w:rPr>
          <w:rFonts w:ascii="Arial" w:cs="Arial" w:eastAsia="Arial" w:hAnsi="Arial"/>
          <w:sz w:val="18"/>
          <w:szCs w:val="18"/>
          <w:u w:val="single" w:color="auto"/>
          <w:color w:val="0000FF"/>
        </w:rPr>
        <w:t>0.20</w:t>
      </w:r>
      <w:r>
        <w:rPr>
          <w:rFonts w:ascii="Arial" w:cs="Arial" w:eastAsia="Arial" w:hAnsi="Arial"/>
          <w:sz w:val="18"/>
          <w:szCs w:val="18"/>
          <w:color w:val="auto"/>
        </w:rPr>
        <w:t>% per annum and</w:t>
      </w:r>
    </w:p>
    <w:p>
      <w:pPr>
        <w:spacing w:after="0" w:line="210" w:lineRule="exact"/>
        <w:rPr>
          <w:rFonts w:ascii="Arial" w:cs="Arial" w:eastAsia="Arial" w:hAnsi="Arial"/>
          <w:sz w:val="18"/>
          <w:szCs w:val="18"/>
          <w:color w:val="auto"/>
        </w:rPr>
      </w:pPr>
    </w:p>
    <w:p>
      <w:pPr>
        <w:ind w:left="660" w:firstLine="644"/>
        <w:spacing w:after="0" w:line="270" w:lineRule="auto"/>
        <w:tabs>
          <w:tab w:leader="none" w:pos="1743"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thereafter, the percentages per annum set forth in the table below, based upon the Consolidated </w:t>
      </w:r>
      <w:r>
        <w:rPr>
          <w:rFonts w:ascii="Arial" w:cs="Arial" w:eastAsia="Arial" w:hAnsi="Arial"/>
          <w:sz w:val="17"/>
          <w:szCs w:val="17"/>
          <w:color w:val="FF0000"/>
          <w:strike w:val="1"/>
        </w:rPr>
        <w:t>First Lien Secured</w:t>
      </w:r>
      <w:r>
        <w:rPr>
          <w:rFonts w:ascii="Arial" w:cs="Arial" w:eastAsia="Arial" w:hAnsi="Arial"/>
          <w:sz w:val="17"/>
          <w:szCs w:val="17"/>
          <w:u w:val="single" w:color="auto"/>
          <w:color w:val="0000FF"/>
        </w:rPr>
        <w:t>Total</w:t>
      </w:r>
      <w:r>
        <w:rPr>
          <w:rFonts w:ascii="Arial" w:cs="Arial" w:eastAsia="Arial" w:hAnsi="Arial"/>
          <w:sz w:val="17"/>
          <w:szCs w:val="17"/>
          <w:color w:val="auto"/>
        </w:rPr>
        <w:t xml:space="preserve"> Debt to Consolidated EBITDA Ratio as set forth in the most recent Compliance Certificate received by the Administrative Agent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9.</w:t>
      </w:r>
      <w:r>
        <w:rPr>
          <w:rFonts w:ascii="Arial" w:cs="Arial" w:eastAsia="Arial" w:hAnsi="Arial"/>
          <w:sz w:val="17"/>
          <w:szCs w:val="17"/>
          <w:u w:val="single" w:color="auto"/>
          <w:color w:val="FF0000"/>
        </w:rPr>
        <w:t>1</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 xml:space="preserve">provided </w:t>
      </w:r>
      <w:r>
        <w:rPr>
          <w:rFonts w:ascii="Arial" w:cs="Arial" w:eastAsia="Arial" w:hAnsi="Arial"/>
          <w:sz w:val="17"/>
          <w:szCs w:val="17"/>
          <w:color w:val="FF0000"/>
          <w:strike w:val="1"/>
        </w:rPr>
        <w:t>that (x) if on the date that is 30 days after the Amendment No. 1 Effective Date less than $135,000,000 of Net Cash Proceeds has been</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 xml:space="preserve">generated from Capital Markets Prepayment Events consummated following the Amendment No. 1 Effective Date, each of the Applicable Margins set forth below shall be increased by 50 basis points until the date that at least $135,000,000 of Net Cash Proceeds has been generated from Capital Markets Prepayment Events consummated following the Amendment No. 1 Effective Date and (y) in addition to any increase pursuant to the foregoing clause (x), during any period when </w:t>
      </w:r>
      <w:r>
        <w:rPr>
          <w:rFonts w:ascii="Arial" w:cs="Arial" w:eastAsia="Arial" w:hAnsi="Arial"/>
          <w:sz w:val="17"/>
          <w:szCs w:val="17"/>
          <w:color w:val="008000"/>
          <w:strike w:val="1"/>
        </w:rPr>
        <w:t>Consolidated EBITDA for the most recently ended Test Period</w:t>
      </w:r>
      <w:r>
        <w:rPr>
          <w:rFonts w:ascii="Arial" w:cs="Arial" w:eastAsia="Arial" w:hAnsi="Arial"/>
          <w:sz w:val="17"/>
          <w:szCs w:val="17"/>
          <w:color w:val="FF0000"/>
          <w:strike w:val="1"/>
        </w:rPr>
        <w:t xml:space="preserve"> is less than $0, each of the Applicable Margins set forth below for Pricing Level I (other than the Commitment Fee Rate) shall be increased by 50 basis points from the levels set forth below:</w:t>
      </w:r>
      <w:r>
        <w:rPr>
          <w:rFonts w:ascii="Arial" w:cs="Arial" w:eastAsia="Arial" w:hAnsi="Arial"/>
          <w:sz w:val="17"/>
          <w:szCs w:val="17"/>
          <w:u w:val="single" w:color="auto"/>
          <w:color w:val="0000FF"/>
          <w:strike w:val="1"/>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40" w:right="379" w:bottom="1440" w:gutter="0" w:footer="0" w:header="0"/>
        </w:sectPr>
      </w:pPr>
    </w:p>
    <w:bookmarkStart w:id="34" w:name="page35"/>
    <w:bookmarkEnd w:id="34"/>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80" w:type="dxa"/>
            <w:vAlign w:val="bottom"/>
            <w:tcBorders>
              <w:top w:val="single" w:sz="8" w:color="auto"/>
              <w:left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w w:val="91"/>
              </w:rPr>
              <w:t>Consolidated</w:t>
            </w:r>
          </w:p>
        </w:tc>
        <w:tc>
          <w:tcPr>
            <w:tcW w:w="7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FF0000"/>
                <w:strike w:val="1"/>
                <w:w w:val="91"/>
              </w:rPr>
              <w:t>First Lien</w:t>
            </w:r>
          </w:p>
        </w:tc>
        <w:tc>
          <w:tcPr>
            <w:tcW w:w="140" w:type="dxa"/>
            <w:vAlign w:val="bottom"/>
            <w:tcBorders>
              <w:top w:val="single" w:sz="8" w:color="auto"/>
              <w:right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8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900" w:type="dxa"/>
            <w:vAlign w:val="bottom"/>
            <w:gridSpan w:val="7"/>
          </w:tcPr>
          <w:p>
            <w:pPr>
              <w:jc w:val="center"/>
              <w:ind w:left="30"/>
              <w:spacing w:after="0" w:line="194" w:lineRule="exact"/>
              <w:rPr>
                <w:sz w:val="20"/>
                <w:szCs w:val="20"/>
                <w:color w:val="auto"/>
              </w:rPr>
            </w:pPr>
            <w:r>
              <w:rPr>
                <w:rFonts w:ascii="Arial" w:cs="Arial" w:eastAsia="Arial" w:hAnsi="Arial"/>
                <w:sz w:val="18"/>
                <w:szCs w:val="18"/>
                <w:b w:val="1"/>
                <w:bCs w:val="1"/>
                <w:color w:val="FF0000"/>
                <w:strike w:val="1"/>
                <w:w w:val="87"/>
              </w:rPr>
              <w:t>Secured</w:t>
            </w:r>
          </w:p>
        </w:tc>
        <w:tc>
          <w:tcPr>
            <w:tcW w:w="1160" w:type="dxa"/>
            <w:vAlign w:val="bottom"/>
            <w:tcBorders>
              <w:right w:val="single" w:sz="8" w:color="auto"/>
            </w:tcBorders>
            <w:gridSpan w:val="5"/>
          </w:tcPr>
          <w:p>
            <w:pPr>
              <w:spacing w:after="0" w:line="194" w:lineRule="exact"/>
              <w:rPr>
                <w:sz w:val="20"/>
                <w:szCs w:val="20"/>
                <w:color w:val="auto"/>
              </w:rPr>
            </w:pPr>
            <w:r>
              <w:rPr>
                <w:rFonts w:ascii="Arial" w:cs="Arial" w:eastAsia="Arial" w:hAnsi="Arial"/>
                <w:sz w:val="18"/>
                <w:szCs w:val="18"/>
                <w:b w:val="1"/>
                <w:bCs w:val="1"/>
                <w:color w:val="0000FF"/>
              </w:rPr>
              <w:t xml:space="preserve">Total </w:t>
            </w:r>
            <w:r>
              <w:rPr>
                <w:rFonts w:ascii="Arial" w:cs="Arial" w:eastAsia="Arial" w:hAnsi="Arial"/>
                <w:sz w:val="18"/>
                <w:szCs w:val="18"/>
                <w:b w:val="1"/>
                <w:bCs w:val="1"/>
                <w:color w:val="000000"/>
              </w:rPr>
              <w:t>Debt to</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80" w:type="dxa"/>
            <w:vAlign w:val="bottom"/>
            <w:tcBorders>
              <w:left w:val="single" w:sz="8" w:color="auto"/>
              <w:right w:val="single" w:sz="8" w:color="auto"/>
            </w:tcBorders>
            <w:gridSpan w:val="7"/>
            <w:vMerge w:val="restart"/>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2060" w:type="dxa"/>
            <w:vAlign w:val="bottom"/>
            <w:tcBorders>
              <w:right w:val="single" w:sz="8" w:color="auto"/>
            </w:tcBorders>
            <w:gridSpan w:val="12"/>
          </w:tcPr>
          <w:p>
            <w:pPr>
              <w:ind w:left="140"/>
              <w:spacing w:after="0"/>
              <w:rPr>
                <w:sz w:val="20"/>
                <w:szCs w:val="20"/>
                <w:color w:val="auto"/>
              </w:rPr>
            </w:pPr>
            <w:r>
              <w:rPr>
                <w:rFonts w:ascii="Arial" w:cs="Arial" w:eastAsia="Arial" w:hAnsi="Arial"/>
                <w:sz w:val="18"/>
                <w:szCs w:val="18"/>
                <w:b w:val="1"/>
                <w:bCs w:val="1"/>
                <w:color w:val="auto"/>
              </w:rPr>
              <w:t>Consolidated EBITDA</w:t>
            </w:r>
          </w:p>
        </w:tc>
        <w:tc>
          <w:tcPr>
            <w:tcW w:w="300" w:type="dxa"/>
            <w:vAlign w:val="bottom"/>
          </w:tcPr>
          <w:p>
            <w:pPr>
              <w:spacing w:after="0"/>
              <w:rPr>
                <w:sz w:val="18"/>
                <w:szCs w:val="18"/>
                <w:color w:val="auto"/>
              </w:rPr>
            </w:pP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Letter of</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080" w:type="dxa"/>
            <w:vAlign w:val="bottom"/>
            <w:tcBorders>
              <w:left w:val="single" w:sz="8" w:color="auto"/>
              <w:right w:val="single" w:sz="8" w:color="auto"/>
            </w:tcBorders>
            <w:gridSpan w:val="7"/>
            <w:vMerge w:val="continue"/>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right w:val="single" w:sz="8" w:color="auto"/>
            </w:tcBorders>
            <w:gridSpan w:val="6"/>
            <w:vMerge w:val="restart"/>
          </w:tcPr>
          <w:p>
            <w:pPr>
              <w:ind w:left="100"/>
              <w:spacing w:after="0"/>
              <w:rPr>
                <w:sz w:val="20"/>
                <w:szCs w:val="20"/>
                <w:color w:val="auto"/>
              </w:rPr>
            </w:pPr>
            <w:r>
              <w:rPr>
                <w:rFonts w:ascii="Arial" w:cs="Arial" w:eastAsia="Arial" w:hAnsi="Arial"/>
                <w:sz w:val="18"/>
                <w:szCs w:val="18"/>
                <w:b w:val="1"/>
                <w:bCs w:val="1"/>
                <w:color w:val="auto"/>
              </w:rPr>
              <w:t>Ratio</w:t>
            </w:r>
          </w:p>
        </w:tc>
        <w:tc>
          <w:tcPr>
            <w:tcW w:w="300" w:type="dxa"/>
            <w:vAlign w:val="bottom"/>
          </w:tcPr>
          <w:p>
            <w:pPr>
              <w:spacing w:after="0"/>
              <w:rPr>
                <w:sz w:val="2"/>
                <w:szCs w:val="2"/>
                <w:color w:val="auto"/>
              </w:rPr>
            </w:pPr>
          </w:p>
        </w:tc>
        <w:tc>
          <w:tcPr>
            <w:tcW w:w="1100" w:type="dxa"/>
            <w:vAlign w:val="bottom"/>
            <w:tcBorders>
              <w:right w:val="single" w:sz="8" w:color="auto"/>
            </w:tcBorders>
            <w:gridSpan w:val="3"/>
            <w:vMerge w:val="continue"/>
          </w:tcPr>
          <w:p>
            <w:pPr>
              <w:spacing w:after="0"/>
              <w:rPr>
                <w:sz w:val="2"/>
                <w:szCs w:val="2"/>
                <w:color w:val="auto"/>
              </w:rPr>
            </w:pPr>
          </w:p>
        </w:tc>
        <w:tc>
          <w:tcPr>
            <w:tcW w:w="212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2"/>
              </w:rPr>
              <w:t>ABR Loans</w:t>
            </w:r>
          </w:p>
        </w:tc>
        <w:tc>
          <w:tcPr>
            <w:tcW w:w="23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6"/>
              </w:rPr>
              <w:t>LIBOR Loans</w:t>
            </w:r>
          </w:p>
        </w:tc>
        <w:tc>
          <w:tcPr>
            <w:tcW w:w="23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0"/>
              </w:rPr>
              <w:t>Commitment Fee Rate</w:t>
            </w:r>
          </w:p>
        </w:tc>
        <w:tc>
          <w:tcPr>
            <w:tcW w:w="0" w:type="dxa"/>
            <w:vAlign w:val="bottom"/>
          </w:tcPr>
          <w:p>
            <w:pPr>
              <w:spacing w:after="0" w:line="20" w:lineRule="exact"/>
              <w:rPr>
                <w:sz w:val="1"/>
                <w:szCs w:val="1"/>
                <w:color w:val="auto"/>
              </w:rPr>
            </w:pPr>
          </w:p>
        </w:tc>
      </w:tr>
      <w:tr>
        <w:trPr>
          <w:trHeight w:val="229"/>
        </w:trPr>
        <w:tc>
          <w:tcPr>
            <w:tcW w:w="1080" w:type="dxa"/>
            <w:vAlign w:val="bottom"/>
            <w:tcBorders>
              <w:left w:val="single" w:sz="8" w:color="auto"/>
              <w:bottom w:val="single" w:sz="8" w:color="auto"/>
              <w:right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1"/>
              </w:rPr>
              <w:t>Level</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6"/>
            <w:vMerge w:val="continue"/>
          </w:tcPr>
          <w:p>
            <w:pPr>
              <w:spacing w:after="0"/>
              <w:rPr>
                <w:sz w:val="19"/>
                <w:szCs w:val="19"/>
                <w:color w:val="auto"/>
              </w:rPr>
            </w:pPr>
          </w:p>
        </w:tc>
        <w:tc>
          <w:tcPr>
            <w:tcW w:w="1400" w:type="dxa"/>
            <w:vAlign w:val="bottom"/>
            <w:tcBorders>
              <w:bottom w:val="single" w:sz="8" w:color="auto"/>
              <w:right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Credit Fees</w:t>
            </w:r>
          </w:p>
        </w:tc>
        <w:tc>
          <w:tcPr>
            <w:tcW w:w="2120" w:type="dxa"/>
            <w:vAlign w:val="bottom"/>
            <w:tcBorders>
              <w:bottom w:val="single" w:sz="8" w:color="auto"/>
              <w:right w:val="single" w:sz="8" w:color="auto"/>
            </w:tcBorders>
            <w:gridSpan w:val="3"/>
            <w:vMerge w:val="continue"/>
          </w:tcPr>
          <w:p>
            <w:pPr>
              <w:spacing w:after="0"/>
              <w:rPr>
                <w:sz w:val="19"/>
                <w:szCs w:val="19"/>
                <w:color w:val="auto"/>
              </w:rPr>
            </w:pPr>
          </w:p>
        </w:tc>
        <w:tc>
          <w:tcPr>
            <w:tcW w:w="2300" w:type="dxa"/>
            <w:vAlign w:val="bottom"/>
            <w:tcBorders>
              <w:bottom w:val="single" w:sz="8" w:color="auto"/>
              <w:right w:val="single" w:sz="8" w:color="auto"/>
            </w:tcBorders>
            <w:gridSpan w:val="3"/>
            <w:vMerge w:val="continue"/>
          </w:tcPr>
          <w:p>
            <w:pPr>
              <w:spacing w:after="0"/>
              <w:rPr>
                <w:sz w:val="19"/>
                <w:szCs w:val="19"/>
                <w:color w:val="auto"/>
              </w:rPr>
            </w:pPr>
          </w:p>
        </w:tc>
        <w:tc>
          <w:tcPr>
            <w:tcW w:w="2300" w:type="dxa"/>
            <w:vAlign w:val="bottom"/>
            <w:tcBorders>
              <w:bottom w:val="single" w:sz="8" w:color="auto"/>
              <w:right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tcPr>
          <w:p>
            <w:pPr>
              <w:spacing w:after="0"/>
              <w:rPr>
                <w:sz w:val="17"/>
                <w:szCs w:val="17"/>
                <w:color w:val="auto"/>
              </w:rPr>
            </w:pPr>
          </w:p>
        </w:tc>
        <w:tc>
          <w:tcPr>
            <w:tcW w:w="600" w:type="dxa"/>
            <w:vAlign w:val="bottom"/>
            <w:tcBorders>
              <w:right w:val="single" w:sz="8" w:color="auto"/>
            </w:tcBorders>
            <w:gridSpan w:val="6"/>
          </w:tcPr>
          <w:p>
            <w:pPr>
              <w:jc w:val="center"/>
              <w:ind w:right="460"/>
              <w:spacing w:after="0" w:line="196" w:lineRule="exact"/>
              <w:rPr>
                <w:sz w:val="20"/>
                <w:szCs w:val="20"/>
                <w:color w:val="auto"/>
              </w:rPr>
            </w:pPr>
            <w:r>
              <w:rPr>
                <w:rFonts w:ascii="Arial" w:cs="Arial" w:eastAsia="Arial" w:hAnsi="Arial"/>
                <w:sz w:val="18"/>
                <w:szCs w:val="18"/>
                <w:color w:val="auto"/>
              </w:rPr>
              <w:t>I</w:t>
            </w:r>
          </w:p>
        </w:tc>
        <w:tc>
          <w:tcPr>
            <w:tcW w:w="560" w:type="dxa"/>
            <w:vAlign w:val="bottom"/>
            <w:gridSpan w:val="3"/>
          </w:tcPr>
          <w:p>
            <w:pPr>
              <w:jc w:val="center"/>
              <w:ind w:left="370"/>
              <w:spacing w:after="0" w:line="196" w:lineRule="exact"/>
              <w:rPr>
                <w:sz w:val="20"/>
                <w:szCs w:val="20"/>
                <w:color w:val="auto"/>
              </w:rPr>
            </w:pPr>
            <w:r>
              <w:rPr>
                <w:rFonts w:ascii="Arial" w:cs="Arial" w:eastAsia="Arial" w:hAnsi="Arial"/>
                <w:sz w:val="18"/>
                <w:szCs w:val="18"/>
                <w:color w:val="auto"/>
                <w:w w:val="94"/>
              </w:rPr>
              <w:t>&gt;</w:t>
            </w:r>
          </w:p>
        </w:tc>
        <w:tc>
          <w:tcPr>
            <w:tcW w:w="340" w:type="dxa"/>
            <w:vAlign w:val="bottom"/>
            <w:gridSpan w:val="4"/>
          </w:tcPr>
          <w:p>
            <w:pPr>
              <w:jc w:val="right"/>
              <w:spacing w:after="0" w:line="196" w:lineRule="exact"/>
              <w:rPr>
                <w:sz w:val="20"/>
                <w:szCs w:val="20"/>
                <w:color w:val="auto"/>
              </w:rPr>
            </w:pPr>
            <w:r>
              <w:rPr>
                <w:rFonts w:ascii="Arial" w:cs="Arial" w:eastAsia="Arial" w:hAnsi="Arial"/>
                <w:sz w:val="18"/>
                <w:szCs w:val="18"/>
                <w:color w:val="FF0000"/>
                <w:strike w:val="1"/>
                <w:w w:val="85"/>
              </w:rPr>
              <w:t>3.75</w:t>
            </w:r>
          </w:p>
        </w:tc>
        <w:tc>
          <w:tcPr>
            <w:tcW w:w="1020" w:type="dxa"/>
            <w:vAlign w:val="bottom"/>
            <w:gridSpan w:val="4"/>
          </w:tcPr>
          <w:p>
            <w:pPr>
              <w:spacing w:after="0" w:line="196" w:lineRule="exact"/>
              <w:rPr>
                <w:sz w:val="20"/>
                <w:szCs w:val="20"/>
                <w:color w:val="auto"/>
              </w:rPr>
            </w:pPr>
            <w:r>
              <w:rPr>
                <w:rFonts w:ascii="Arial" w:cs="Arial" w:eastAsia="Arial" w:hAnsi="Arial"/>
                <w:sz w:val="18"/>
                <w:szCs w:val="18"/>
                <w:color w:val="0000FF"/>
              </w:rPr>
              <w:t>2.50</w:t>
            </w:r>
            <w:r>
              <w:rPr>
                <w:rFonts w:ascii="Arial" w:cs="Arial" w:eastAsia="Arial" w:hAnsi="Arial"/>
                <w:sz w:val="18"/>
                <w:szCs w:val="18"/>
                <w:color w:val="000000"/>
              </w:rPr>
              <w:t>:1.00</w:t>
            </w:r>
          </w:p>
        </w:tc>
        <w:tc>
          <w:tcPr>
            <w:tcW w:w="1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FF0000"/>
                <w:strike w:val="1"/>
                <w:w w:val="79"/>
              </w:rPr>
              <w:t>2.75</w:t>
            </w:r>
          </w:p>
        </w:tc>
        <w:tc>
          <w:tcPr>
            <w:tcW w:w="800" w:type="dxa"/>
            <w:vAlign w:val="bottom"/>
            <w:tcBorders>
              <w:right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color w:val="0000FF"/>
                <w:w w:val="90"/>
              </w:rPr>
              <w:t>2.00</w:t>
            </w:r>
            <w:r>
              <w:rPr>
                <w:rFonts w:ascii="Arial" w:cs="Arial" w:eastAsia="Arial" w:hAnsi="Arial"/>
                <w:sz w:val="18"/>
                <w:szCs w:val="18"/>
                <w:color w:val="000000"/>
                <w:w w:val="90"/>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1.75</w:t>
            </w:r>
          </w:p>
        </w:tc>
        <w:tc>
          <w:tcPr>
            <w:tcW w:w="1140" w:type="dxa"/>
            <w:vAlign w:val="bottom"/>
            <w:tcBorders>
              <w:right w:val="single" w:sz="8" w:color="auto"/>
            </w:tcBorders>
            <w:gridSpan w:val="2"/>
          </w:tcPr>
          <w:p>
            <w:pPr>
              <w:jc w:val="right"/>
              <w:ind w:right="680"/>
              <w:spacing w:after="0" w:line="196" w:lineRule="exact"/>
              <w:rPr>
                <w:sz w:val="20"/>
                <w:szCs w:val="20"/>
                <w:color w:val="auto"/>
              </w:rPr>
            </w:pPr>
            <w:r>
              <w:rPr>
                <w:rFonts w:ascii="Arial" w:cs="Arial" w:eastAsia="Arial" w:hAnsi="Arial"/>
                <w:sz w:val="18"/>
                <w:szCs w:val="18"/>
                <w:color w:val="0000FF"/>
                <w:w w:val="86"/>
              </w:rPr>
              <w:t>1.00</w:t>
            </w:r>
            <w:r>
              <w:rPr>
                <w:rFonts w:ascii="Arial" w:cs="Arial" w:eastAsia="Arial" w:hAnsi="Arial"/>
                <w:sz w:val="18"/>
                <w:szCs w:val="18"/>
                <w:color w:val="000000"/>
                <w:w w:val="86"/>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2.75</w:t>
            </w:r>
          </w:p>
        </w:tc>
        <w:tc>
          <w:tcPr>
            <w:tcW w:w="1240" w:type="dxa"/>
            <w:vAlign w:val="bottom"/>
            <w:tcBorders>
              <w:right w:val="single" w:sz="8" w:color="auto"/>
            </w:tcBorders>
            <w:gridSpan w:val="2"/>
          </w:tcPr>
          <w:p>
            <w:pPr>
              <w:jc w:val="right"/>
              <w:ind w:right="760"/>
              <w:spacing w:after="0" w:line="196" w:lineRule="exact"/>
              <w:rPr>
                <w:sz w:val="20"/>
                <w:szCs w:val="20"/>
                <w:color w:val="auto"/>
              </w:rPr>
            </w:pPr>
            <w:r>
              <w:rPr>
                <w:rFonts w:ascii="Arial" w:cs="Arial" w:eastAsia="Arial" w:hAnsi="Arial"/>
                <w:sz w:val="18"/>
                <w:szCs w:val="18"/>
                <w:color w:val="0000FF"/>
                <w:w w:val="90"/>
              </w:rPr>
              <w:t>2.00</w:t>
            </w:r>
            <w:r>
              <w:rPr>
                <w:rFonts w:ascii="Arial" w:cs="Arial" w:eastAsia="Arial" w:hAnsi="Arial"/>
                <w:sz w:val="18"/>
                <w:szCs w:val="18"/>
                <w:color w:val="000000"/>
                <w:w w:val="90"/>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0.50</w:t>
            </w:r>
          </w:p>
        </w:tc>
        <w:tc>
          <w:tcPr>
            <w:tcW w:w="1240" w:type="dxa"/>
            <w:vAlign w:val="bottom"/>
            <w:tcBorders>
              <w:right w:val="single" w:sz="8" w:color="auto"/>
            </w:tcBorders>
            <w:gridSpan w:val="2"/>
          </w:tcPr>
          <w:p>
            <w:pPr>
              <w:jc w:val="right"/>
              <w:ind w:right="780"/>
              <w:spacing w:after="0" w:line="196" w:lineRule="exact"/>
              <w:rPr>
                <w:sz w:val="20"/>
                <w:szCs w:val="20"/>
                <w:color w:val="auto"/>
              </w:rPr>
            </w:pPr>
            <w:r>
              <w:rPr>
                <w:rFonts w:ascii="Arial" w:cs="Arial" w:eastAsia="Arial" w:hAnsi="Arial"/>
                <w:sz w:val="18"/>
                <w:szCs w:val="18"/>
                <w:color w:val="0000FF"/>
                <w:w w:val="86"/>
              </w:rPr>
              <w:t>0.35</w:t>
            </w:r>
            <w:r>
              <w:rPr>
                <w:rFonts w:ascii="Arial" w:cs="Arial" w:eastAsia="Arial" w:hAnsi="Arial"/>
                <w:sz w:val="18"/>
                <w:szCs w:val="18"/>
                <w:color w:val="000000"/>
                <w:w w:val="86"/>
              </w:rPr>
              <w:t>%</w:t>
            </w:r>
          </w:p>
        </w:tc>
        <w:tc>
          <w:tcPr>
            <w:tcW w:w="0" w:type="dxa"/>
            <w:vAlign w:val="bottom"/>
          </w:tcPr>
          <w:p>
            <w:pPr>
              <w:spacing w:after="0"/>
              <w:rPr>
                <w:sz w:val="1"/>
                <w:szCs w:val="1"/>
                <w:color w:val="auto"/>
              </w:rPr>
            </w:pPr>
          </w:p>
        </w:tc>
      </w:tr>
      <w:tr>
        <w:trPr>
          <w:trHeight w:val="47"/>
        </w:trPr>
        <w:tc>
          <w:tcPr>
            <w:tcW w:w="48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shd w:val="clear" w:color="auto" w:fill="FFDEAD"/>
          </w:tcPr>
          <w:p>
            <w:pPr>
              <w:spacing w:after="0"/>
              <w:rPr>
                <w:sz w:val="17"/>
                <w:szCs w:val="17"/>
                <w:color w:val="auto"/>
              </w:rPr>
            </w:pPr>
          </w:p>
        </w:tc>
        <w:tc>
          <w:tcPr>
            <w:tcW w:w="40" w:type="dxa"/>
            <w:vAlign w:val="bottom"/>
            <w:shd w:val="clear" w:color="auto" w:fill="FFDEAD"/>
          </w:tcPr>
          <w:p>
            <w:pPr>
              <w:spacing w:after="0"/>
              <w:rPr>
                <w:sz w:val="17"/>
                <w:szCs w:val="17"/>
                <w:color w:val="auto"/>
              </w:rPr>
            </w:pPr>
          </w:p>
        </w:tc>
        <w:tc>
          <w:tcPr>
            <w:tcW w:w="20" w:type="dxa"/>
            <w:vAlign w:val="bottom"/>
            <w:shd w:val="clear" w:color="auto" w:fill="FFDEAD"/>
          </w:tcPr>
          <w:p>
            <w:pPr>
              <w:spacing w:after="0"/>
              <w:rPr>
                <w:sz w:val="17"/>
                <w:szCs w:val="17"/>
                <w:color w:val="auto"/>
              </w:rPr>
            </w:pPr>
          </w:p>
        </w:tc>
        <w:tc>
          <w:tcPr>
            <w:tcW w:w="40" w:type="dxa"/>
            <w:vAlign w:val="bottom"/>
            <w:shd w:val="clear" w:color="auto" w:fill="FFDEAD"/>
          </w:tcPr>
          <w:p>
            <w:pPr>
              <w:spacing w:after="0"/>
              <w:rPr>
                <w:sz w:val="17"/>
                <w:szCs w:val="17"/>
                <w:color w:val="auto"/>
              </w:rPr>
            </w:pPr>
          </w:p>
        </w:tc>
        <w:tc>
          <w:tcPr>
            <w:tcW w:w="120" w:type="dxa"/>
            <w:vAlign w:val="bottom"/>
            <w:shd w:val="clear" w:color="auto" w:fill="FFDEAD"/>
          </w:tcPr>
          <w:p>
            <w:pPr>
              <w:spacing w:after="0"/>
              <w:rPr>
                <w:sz w:val="17"/>
                <w:szCs w:val="17"/>
                <w:color w:val="auto"/>
              </w:rPr>
            </w:pPr>
          </w:p>
        </w:tc>
        <w:tc>
          <w:tcPr>
            <w:tcW w:w="20" w:type="dxa"/>
            <w:vAlign w:val="bottom"/>
            <w:shd w:val="clear" w:color="auto" w:fill="FFDEAD"/>
          </w:tcPr>
          <w:p>
            <w:pPr>
              <w:spacing w:after="0"/>
              <w:rPr>
                <w:sz w:val="17"/>
                <w:szCs w:val="17"/>
                <w:color w:val="auto"/>
              </w:rPr>
            </w:pPr>
          </w:p>
        </w:tc>
        <w:tc>
          <w:tcPr>
            <w:tcW w:w="360" w:type="dxa"/>
            <w:vAlign w:val="bottom"/>
            <w:tcBorders>
              <w:right w:val="single" w:sz="8" w:color="auto"/>
            </w:tcBorders>
            <w:shd w:val="clear" w:color="auto" w:fill="FFDEAD"/>
          </w:tcPr>
          <w:p>
            <w:pPr>
              <w:spacing w:after="0"/>
              <w:rPr>
                <w:sz w:val="17"/>
                <w:szCs w:val="17"/>
                <w:color w:val="auto"/>
              </w:rPr>
            </w:pPr>
          </w:p>
        </w:tc>
        <w:tc>
          <w:tcPr>
            <w:tcW w:w="440" w:type="dxa"/>
            <w:vAlign w:val="bottom"/>
            <w:shd w:val="clear" w:color="auto" w:fill="FFDEAD"/>
          </w:tcPr>
          <w:p>
            <w:pPr>
              <w:spacing w:after="0"/>
              <w:rPr>
                <w:sz w:val="17"/>
                <w:szCs w:val="17"/>
                <w:color w:val="auto"/>
              </w:rPr>
            </w:pPr>
          </w:p>
        </w:tc>
        <w:tc>
          <w:tcPr>
            <w:tcW w:w="100" w:type="dxa"/>
            <w:vAlign w:val="bottom"/>
            <w:shd w:val="clear" w:color="auto" w:fill="FFDEAD"/>
          </w:tcPr>
          <w:p>
            <w:pPr>
              <w:spacing w:after="0"/>
              <w:rPr>
                <w:sz w:val="17"/>
                <w:szCs w:val="17"/>
                <w:color w:val="auto"/>
              </w:rPr>
            </w:pPr>
          </w:p>
        </w:tc>
        <w:tc>
          <w:tcPr>
            <w:tcW w:w="40" w:type="dxa"/>
            <w:vAlign w:val="bottom"/>
            <w:gridSpan w:val="2"/>
            <w:shd w:val="clear" w:color="auto" w:fill="FFDEAD"/>
          </w:tcPr>
          <w:p>
            <w:pPr>
              <w:spacing w:after="0"/>
              <w:rPr>
                <w:sz w:val="17"/>
                <w:szCs w:val="17"/>
                <w:color w:val="auto"/>
              </w:rPr>
            </w:pPr>
          </w:p>
        </w:tc>
        <w:tc>
          <w:tcPr>
            <w:tcW w:w="20" w:type="dxa"/>
            <w:vAlign w:val="bottom"/>
            <w:shd w:val="clear" w:color="auto" w:fill="FFDEAD"/>
          </w:tcPr>
          <w:p>
            <w:pPr>
              <w:spacing w:after="0"/>
              <w:rPr>
                <w:sz w:val="17"/>
                <w:szCs w:val="17"/>
                <w:color w:val="auto"/>
              </w:rPr>
            </w:pPr>
          </w:p>
        </w:tc>
        <w:tc>
          <w:tcPr>
            <w:tcW w:w="1320" w:type="dxa"/>
            <w:vAlign w:val="bottom"/>
            <w:gridSpan w:val="6"/>
            <w:shd w:val="clear" w:color="auto" w:fill="FFDEAD"/>
          </w:tcPr>
          <w:p>
            <w:pPr>
              <w:spacing w:after="0" w:line="196" w:lineRule="exact"/>
              <w:rPr>
                <w:sz w:val="20"/>
                <w:szCs w:val="20"/>
                <w:color w:val="auto"/>
              </w:rPr>
            </w:pPr>
            <w:r>
              <w:rPr>
                <w:rFonts w:ascii="Arial" w:cs="Arial" w:eastAsia="Arial" w:hAnsi="Arial"/>
                <w:sz w:val="18"/>
                <w:szCs w:val="18"/>
                <w:color w:val="FF0000"/>
                <w:strike w:val="1"/>
              </w:rPr>
              <w:t>&lt; 3.75:1.00</w:t>
            </w:r>
          </w:p>
        </w:tc>
        <w:tc>
          <w:tcPr>
            <w:tcW w:w="140" w:type="dxa"/>
            <w:vAlign w:val="bottom"/>
            <w:tcBorders>
              <w:right w:val="single" w:sz="8" w:color="auto"/>
            </w:tcBorders>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20" w:type="dxa"/>
            <w:vAlign w:val="bottom"/>
            <w:shd w:val="clear" w:color="auto" w:fill="FFDEAD"/>
          </w:tcPr>
          <w:p>
            <w:pPr>
              <w:spacing w:after="0"/>
              <w:rPr>
                <w:sz w:val="17"/>
                <w:szCs w:val="17"/>
                <w:color w:val="auto"/>
              </w:rPr>
            </w:pPr>
          </w:p>
        </w:tc>
        <w:tc>
          <w:tcPr>
            <w:tcW w:w="480" w:type="dxa"/>
            <w:vAlign w:val="bottom"/>
            <w:tcBorders>
              <w:right w:val="single" w:sz="8" w:color="auto"/>
            </w:tcBorders>
            <w:shd w:val="clear" w:color="auto" w:fill="FFDEAD"/>
          </w:tcPr>
          <w:p>
            <w:pPr>
              <w:spacing w:after="0"/>
              <w:rPr>
                <w:sz w:val="17"/>
                <w:szCs w:val="17"/>
                <w:color w:val="auto"/>
              </w:rPr>
            </w:pPr>
          </w:p>
        </w:tc>
        <w:tc>
          <w:tcPr>
            <w:tcW w:w="980" w:type="dxa"/>
            <w:vAlign w:val="bottom"/>
            <w:shd w:val="clear" w:color="auto" w:fill="FFDEAD"/>
          </w:tcPr>
          <w:p>
            <w:pPr>
              <w:spacing w:after="0"/>
              <w:rPr>
                <w:sz w:val="17"/>
                <w:szCs w:val="17"/>
                <w:color w:val="auto"/>
              </w:rPr>
            </w:pPr>
          </w:p>
        </w:tc>
        <w:tc>
          <w:tcPr>
            <w:tcW w:w="320" w:type="dxa"/>
            <w:vAlign w:val="bottom"/>
            <w:shd w:val="clear" w:color="auto" w:fill="FFDEAD"/>
          </w:tcPr>
          <w:p>
            <w:pPr>
              <w:spacing w:after="0"/>
              <w:rPr>
                <w:sz w:val="17"/>
                <w:szCs w:val="17"/>
                <w:color w:val="auto"/>
              </w:rPr>
            </w:pPr>
          </w:p>
        </w:tc>
        <w:tc>
          <w:tcPr>
            <w:tcW w:w="820" w:type="dxa"/>
            <w:vAlign w:val="bottom"/>
            <w:tcBorders>
              <w:right w:val="single" w:sz="8" w:color="auto"/>
            </w:tcBorders>
            <w:shd w:val="clear" w:color="auto" w:fill="FFDEAD"/>
          </w:tcPr>
          <w:p>
            <w:pPr>
              <w:spacing w:after="0"/>
              <w:rPr>
                <w:sz w:val="17"/>
                <w:szCs w:val="17"/>
                <w:color w:val="auto"/>
              </w:rPr>
            </w:pPr>
          </w:p>
        </w:tc>
        <w:tc>
          <w:tcPr>
            <w:tcW w:w="1060" w:type="dxa"/>
            <w:vAlign w:val="bottom"/>
            <w:shd w:val="clear" w:color="auto" w:fill="FFDEAD"/>
          </w:tcPr>
          <w:p>
            <w:pPr>
              <w:spacing w:after="0"/>
              <w:rPr>
                <w:sz w:val="17"/>
                <w:szCs w:val="17"/>
                <w:color w:val="auto"/>
              </w:rPr>
            </w:pPr>
          </w:p>
        </w:tc>
        <w:tc>
          <w:tcPr>
            <w:tcW w:w="320" w:type="dxa"/>
            <w:vAlign w:val="bottom"/>
            <w:shd w:val="clear" w:color="auto" w:fill="FFDEAD"/>
          </w:tcPr>
          <w:p>
            <w:pPr>
              <w:spacing w:after="0"/>
              <w:rPr>
                <w:sz w:val="17"/>
                <w:szCs w:val="17"/>
                <w:color w:val="auto"/>
              </w:rPr>
            </w:pPr>
          </w:p>
        </w:tc>
        <w:tc>
          <w:tcPr>
            <w:tcW w:w="920" w:type="dxa"/>
            <w:vAlign w:val="bottom"/>
            <w:tcBorders>
              <w:right w:val="single" w:sz="8" w:color="auto"/>
            </w:tcBorders>
            <w:shd w:val="clear" w:color="auto" w:fill="FFDEAD"/>
          </w:tcPr>
          <w:p>
            <w:pPr>
              <w:spacing w:after="0"/>
              <w:rPr>
                <w:sz w:val="17"/>
                <w:szCs w:val="17"/>
                <w:color w:val="auto"/>
              </w:rPr>
            </w:pPr>
          </w:p>
        </w:tc>
        <w:tc>
          <w:tcPr>
            <w:tcW w:w="1060" w:type="dxa"/>
            <w:vAlign w:val="bottom"/>
            <w:shd w:val="clear" w:color="auto" w:fill="FFDEAD"/>
          </w:tcPr>
          <w:p>
            <w:pPr>
              <w:spacing w:after="0"/>
              <w:rPr>
                <w:sz w:val="17"/>
                <w:szCs w:val="17"/>
                <w:color w:val="auto"/>
              </w:rPr>
            </w:pPr>
          </w:p>
        </w:tc>
        <w:tc>
          <w:tcPr>
            <w:tcW w:w="320" w:type="dxa"/>
            <w:vAlign w:val="bottom"/>
            <w:shd w:val="clear" w:color="auto" w:fill="FFDEAD"/>
          </w:tcPr>
          <w:p>
            <w:pPr>
              <w:spacing w:after="0"/>
              <w:rPr>
                <w:sz w:val="17"/>
                <w:szCs w:val="17"/>
                <w:color w:val="auto"/>
              </w:rPr>
            </w:pPr>
          </w:p>
        </w:tc>
        <w:tc>
          <w:tcPr>
            <w:tcW w:w="920" w:type="dxa"/>
            <w:vAlign w:val="bottom"/>
            <w:tcBorders>
              <w:right w:val="single" w:sz="8" w:color="auto"/>
            </w:tcBorders>
            <w:shd w:val="clear" w:color="auto" w:fill="FFDEAD"/>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0" w:type="dxa"/>
            <w:vAlign w:val="bottom"/>
            <w:tcBorders>
              <w:top w:val="single" w:sz="8" w:color="FFDEAD"/>
              <w:left w:val="single" w:sz="8" w:color="auto"/>
            </w:tcBorders>
            <w:shd w:val="clear" w:color="auto" w:fill="FFDEAD"/>
          </w:tcPr>
          <w:p>
            <w:pPr>
              <w:spacing w:after="0"/>
              <w:rPr>
                <w:sz w:val="19"/>
                <w:szCs w:val="19"/>
                <w:color w:val="auto"/>
              </w:rPr>
            </w:pPr>
          </w:p>
        </w:tc>
        <w:tc>
          <w:tcPr>
            <w:tcW w:w="220" w:type="dxa"/>
            <w:vAlign w:val="bottom"/>
            <w:tcBorders>
              <w:top w:val="single" w:sz="8" w:color="FFDEAD"/>
            </w:tcBorders>
            <w:gridSpan w:val="4"/>
            <w:shd w:val="clear" w:color="auto" w:fill="FFDEAD"/>
          </w:tcPr>
          <w:p>
            <w:pPr>
              <w:jc w:val="center"/>
              <w:ind w:right="10"/>
              <w:spacing w:after="0"/>
              <w:rPr>
                <w:sz w:val="20"/>
                <w:szCs w:val="20"/>
                <w:color w:val="auto"/>
              </w:rPr>
            </w:pPr>
            <w:r>
              <w:rPr>
                <w:rFonts w:ascii="Arial" w:cs="Arial" w:eastAsia="Arial" w:hAnsi="Arial"/>
                <w:sz w:val="18"/>
                <w:szCs w:val="18"/>
                <w:color w:val="FF0000"/>
                <w:strike w:val="1"/>
              </w:rPr>
              <w:t>II</w:t>
            </w:r>
          </w:p>
        </w:tc>
        <w:tc>
          <w:tcPr>
            <w:tcW w:w="20" w:type="dxa"/>
            <w:vAlign w:val="bottom"/>
            <w:tcBorders>
              <w:top w:val="single" w:sz="8" w:color="FFDEAD"/>
            </w:tcBorders>
            <w:shd w:val="clear" w:color="auto" w:fill="FFDEAD"/>
          </w:tcPr>
          <w:p>
            <w:pPr>
              <w:spacing w:after="0"/>
              <w:rPr>
                <w:sz w:val="19"/>
                <w:szCs w:val="19"/>
                <w:color w:val="auto"/>
              </w:rPr>
            </w:pPr>
          </w:p>
        </w:tc>
        <w:tc>
          <w:tcPr>
            <w:tcW w:w="360" w:type="dxa"/>
            <w:vAlign w:val="bottom"/>
            <w:tcBorders>
              <w:top w:val="single" w:sz="8" w:color="FFDEAD"/>
              <w:right w:val="single" w:sz="8" w:color="auto"/>
            </w:tcBorders>
            <w:shd w:val="clear" w:color="auto" w:fill="FFDEAD"/>
          </w:tcPr>
          <w:p>
            <w:pPr>
              <w:spacing w:after="0"/>
              <w:rPr>
                <w:sz w:val="19"/>
                <w:szCs w:val="19"/>
                <w:color w:val="auto"/>
              </w:rPr>
            </w:pPr>
          </w:p>
        </w:tc>
        <w:tc>
          <w:tcPr>
            <w:tcW w:w="440" w:type="dxa"/>
            <w:vAlign w:val="bottom"/>
            <w:tcBorders>
              <w:top w:val="single" w:sz="8" w:color="FFDEAD"/>
            </w:tcBorders>
            <w:shd w:val="clear" w:color="auto" w:fill="FFDEAD"/>
          </w:tcPr>
          <w:p>
            <w:pPr>
              <w:spacing w:after="0"/>
              <w:rPr>
                <w:sz w:val="19"/>
                <w:szCs w:val="19"/>
                <w:color w:val="auto"/>
              </w:rPr>
            </w:pPr>
          </w:p>
        </w:tc>
        <w:tc>
          <w:tcPr>
            <w:tcW w:w="100" w:type="dxa"/>
            <w:vAlign w:val="bottom"/>
            <w:tcBorders>
              <w:top w:val="single" w:sz="8" w:color="FFDEAD"/>
            </w:tcBorders>
            <w:shd w:val="clear" w:color="auto" w:fill="FFDEAD"/>
          </w:tcPr>
          <w:p>
            <w:pPr>
              <w:spacing w:after="0"/>
              <w:rPr>
                <w:sz w:val="19"/>
                <w:szCs w:val="19"/>
                <w:color w:val="auto"/>
              </w:rPr>
            </w:pPr>
          </w:p>
        </w:tc>
        <w:tc>
          <w:tcPr>
            <w:tcW w:w="20" w:type="dxa"/>
            <w:vAlign w:val="bottom"/>
            <w:tcBorders>
              <w:top w:val="single" w:sz="8" w:color="FFDEAD"/>
            </w:tcBorders>
            <w:shd w:val="clear" w:color="auto" w:fill="FFDEAD"/>
          </w:tcPr>
          <w:p>
            <w:pPr>
              <w:spacing w:after="0"/>
              <w:rPr>
                <w:sz w:val="19"/>
                <w:szCs w:val="19"/>
                <w:color w:val="auto"/>
              </w:rPr>
            </w:pPr>
          </w:p>
        </w:tc>
        <w:tc>
          <w:tcPr>
            <w:tcW w:w="20" w:type="dxa"/>
            <w:vAlign w:val="bottom"/>
            <w:tcBorders>
              <w:top w:val="single" w:sz="8" w:color="FFDEAD"/>
            </w:tcBorders>
            <w:shd w:val="clear" w:color="auto" w:fill="FFDEAD"/>
          </w:tcPr>
          <w:p>
            <w:pPr>
              <w:spacing w:after="0"/>
              <w:rPr>
                <w:sz w:val="19"/>
                <w:szCs w:val="19"/>
                <w:color w:val="auto"/>
              </w:rPr>
            </w:pPr>
          </w:p>
        </w:tc>
        <w:tc>
          <w:tcPr>
            <w:tcW w:w="20" w:type="dxa"/>
            <w:vAlign w:val="bottom"/>
            <w:tcBorders>
              <w:top w:val="single" w:sz="8" w:color="FFDEAD"/>
            </w:tcBorders>
            <w:shd w:val="clear" w:color="auto" w:fill="FFDEAD"/>
          </w:tcPr>
          <w:p>
            <w:pPr>
              <w:spacing w:after="0"/>
              <w:rPr>
                <w:sz w:val="19"/>
                <w:szCs w:val="19"/>
                <w:color w:val="auto"/>
              </w:rPr>
            </w:pPr>
          </w:p>
        </w:tc>
        <w:tc>
          <w:tcPr>
            <w:tcW w:w="100" w:type="dxa"/>
            <w:vAlign w:val="bottom"/>
            <w:tcBorders>
              <w:top w:val="single" w:sz="8" w:color="FF0000"/>
            </w:tcBorders>
            <w:shd w:val="clear" w:color="auto" w:fill="FFDEAD"/>
          </w:tcPr>
          <w:p>
            <w:pPr>
              <w:spacing w:after="0"/>
              <w:rPr>
                <w:sz w:val="19"/>
                <w:szCs w:val="19"/>
                <w:color w:val="auto"/>
              </w:rPr>
            </w:pPr>
          </w:p>
        </w:tc>
        <w:tc>
          <w:tcPr>
            <w:tcW w:w="200" w:type="dxa"/>
            <w:vAlign w:val="bottom"/>
            <w:tcBorders>
              <w:top w:val="single" w:sz="8" w:color="FFDEAD"/>
              <w:right w:val="single" w:sz="8" w:color="FFDEAD"/>
            </w:tcBorders>
            <w:shd w:val="clear" w:color="auto" w:fill="FFDEAD"/>
          </w:tcPr>
          <w:p>
            <w:pPr>
              <w:spacing w:after="0"/>
              <w:rPr>
                <w:sz w:val="19"/>
                <w:szCs w:val="19"/>
                <w:color w:val="auto"/>
              </w:rPr>
            </w:pPr>
          </w:p>
        </w:tc>
        <w:tc>
          <w:tcPr>
            <w:tcW w:w="260" w:type="dxa"/>
            <w:vAlign w:val="bottom"/>
            <w:tcBorders>
              <w:top w:val="single" w:sz="8" w:color="FFDEAD"/>
            </w:tcBorders>
            <w:shd w:val="clear" w:color="auto" w:fill="FFDEAD"/>
          </w:tcPr>
          <w:p>
            <w:pPr>
              <w:spacing w:after="0"/>
              <w:rPr>
                <w:sz w:val="20"/>
                <w:szCs w:val="20"/>
                <w:color w:val="auto"/>
              </w:rPr>
            </w:pPr>
            <w:r>
              <w:rPr>
                <w:rFonts w:ascii="Arial" w:cs="Arial" w:eastAsia="Arial" w:hAnsi="Arial"/>
                <w:sz w:val="18"/>
                <w:szCs w:val="18"/>
                <w:color w:val="FF0000"/>
                <w:strike w:val="1"/>
                <w:w w:val="95"/>
              </w:rPr>
              <w:t>but</w:t>
            </w:r>
          </w:p>
        </w:tc>
        <w:tc>
          <w:tcPr>
            <w:tcW w:w="100" w:type="dxa"/>
            <w:vAlign w:val="bottom"/>
            <w:tcBorders>
              <w:top w:val="single" w:sz="8" w:color="FFDEAD"/>
              <w:right w:val="single" w:sz="8" w:color="FFDEAD"/>
            </w:tcBorders>
            <w:gridSpan w:val="2"/>
            <w:shd w:val="clear" w:color="auto" w:fill="FFDEAD"/>
          </w:tcPr>
          <w:p>
            <w:pPr>
              <w:spacing w:after="0"/>
              <w:rPr>
                <w:sz w:val="19"/>
                <w:szCs w:val="19"/>
                <w:color w:val="auto"/>
              </w:rPr>
            </w:pPr>
          </w:p>
        </w:tc>
        <w:tc>
          <w:tcPr>
            <w:tcW w:w="800" w:type="dxa"/>
            <w:vAlign w:val="bottom"/>
            <w:tcBorders>
              <w:top w:val="single" w:sz="8" w:color="FFDEAD"/>
              <w:right w:val="single" w:sz="8" w:color="auto"/>
            </w:tcBorders>
            <w:gridSpan w:val="2"/>
            <w:shd w:val="clear" w:color="auto" w:fill="FFDEAD"/>
          </w:tcPr>
          <w:p>
            <w:pPr>
              <w:spacing w:after="0"/>
              <w:rPr>
                <w:sz w:val="19"/>
                <w:szCs w:val="19"/>
                <w:color w:val="auto"/>
              </w:rPr>
            </w:pPr>
          </w:p>
        </w:tc>
        <w:tc>
          <w:tcPr>
            <w:tcW w:w="300" w:type="dxa"/>
            <w:vAlign w:val="bottom"/>
            <w:tcBorders>
              <w:top w:val="single" w:sz="8" w:color="FFDEAD"/>
            </w:tcBorders>
            <w:shd w:val="clear" w:color="auto" w:fill="FFDEAD"/>
          </w:tcPr>
          <w:p>
            <w:pPr>
              <w:spacing w:after="0"/>
              <w:rPr>
                <w:sz w:val="19"/>
                <w:szCs w:val="19"/>
                <w:color w:val="auto"/>
              </w:rPr>
            </w:pPr>
          </w:p>
        </w:tc>
        <w:tc>
          <w:tcPr>
            <w:tcW w:w="620" w:type="dxa"/>
            <w:vAlign w:val="bottom"/>
            <w:tcBorders>
              <w:top w:val="single" w:sz="8" w:color="FFDEAD"/>
            </w:tcBorders>
            <w:gridSpan w:val="2"/>
            <w:shd w:val="clear" w:color="auto" w:fill="FFDEAD"/>
          </w:tcPr>
          <w:p>
            <w:pPr>
              <w:ind w:left="140"/>
              <w:spacing w:after="0"/>
              <w:rPr>
                <w:sz w:val="20"/>
                <w:szCs w:val="20"/>
                <w:color w:val="auto"/>
              </w:rPr>
            </w:pPr>
            <w:r>
              <w:rPr>
                <w:rFonts w:ascii="Arial" w:cs="Arial" w:eastAsia="Arial" w:hAnsi="Arial"/>
                <w:sz w:val="18"/>
                <w:szCs w:val="18"/>
                <w:color w:val="FF0000"/>
                <w:strike w:val="1"/>
                <w:w w:val="90"/>
              </w:rPr>
              <w:t>2.50%</w:t>
            </w:r>
          </w:p>
        </w:tc>
        <w:tc>
          <w:tcPr>
            <w:tcW w:w="480" w:type="dxa"/>
            <w:vAlign w:val="bottom"/>
            <w:tcBorders>
              <w:top w:val="single" w:sz="8" w:color="FFDEAD"/>
              <w:right w:val="single" w:sz="8" w:color="auto"/>
            </w:tcBorders>
            <w:shd w:val="clear" w:color="auto" w:fill="FFDEAD"/>
          </w:tcPr>
          <w:p>
            <w:pPr>
              <w:spacing w:after="0"/>
              <w:rPr>
                <w:sz w:val="19"/>
                <w:szCs w:val="19"/>
                <w:color w:val="auto"/>
              </w:rPr>
            </w:pPr>
          </w:p>
        </w:tc>
        <w:tc>
          <w:tcPr>
            <w:tcW w:w="1300" w:type="dxa"/>
            <w:vAlign w:val="bottom"/>
            <w:tcBorders>
              <w:top w:val="single" w:sz="8" w:color="FFDEAD"/>
            </w:tcBorders>
            <w:gridSpan w:val="2"/>
            <w:shd w:val="clear" w:color="auto" w:fill="FFDEAD"/>
          </w:tcPr>
          <w:p>
            <w:pPr>
              <w:jc w:val="right"/>
              <w:spacing w:after="0"/>
              <w:rPr>
                <w:sz w:val="20"/>
                <w:szCs w:val="20"/>
                <w:color w:val="auto"/>
              </w:rPr>
            </w:pPr>
            <w:r>
              <w:rPr>
                <w:rFonts w:ascii="Arial" w:cs="Arial" w:eastAsia="Arial" w:hAnsi="Arial"/>
                <w:sz w:val="18"/>
                <w:szCs w:val="18"/>
                <w:color w:val="FF0000"/>
                <w:strike w:val="1"/>
              </w:rPr>
              <w:t>1.50%</w:t>
            </w:r>
          </w:p>
        </w:tc>
        <w:tc>
          <w:tcPr>
            <w:tcW w:w="820" w:type="dxa"/>
            <w:vAlign w:val="bottom"/>
            <w:tcBorders>
              <w:top w:val="single" w:sz="8" w:color="FFDEAD"/>
              <w:right w:val="single" w:sz="8" w:color="auto"/>
            </w:tcBorders>
            <w:shd w:val="clear" w:color="auto" w:fill="FFDEAD"/>
          </w:tcPr>
          <w:p>
            <w:pPr>
              <w:spacing w:after="0"/>
              <w:rPr>
                <w:sz w:val="19"/>
                <w:szCs w:val="19"/>
                <w:color w:val="auto"/>
              </w:rPr>
            </w:pPr>
          </w:p>
        </w:tc>
        <w:tc>
          <w:tcPr>
            <w:tcW w:w="1380" w:type="dxa"/>
            <w:vAlign w:val="bottom"/>
            <w:tcBorders>
              <w:top w:val="single" w:sz="8" w:color="FFDEAD"/>
            </w:tcBorders>
            <w:gridSpan w:val="2"/>
            <w:shd w:val="clear" w:color="auto" w:fill="FFDEAD"/>
          </w:tcPr>
          <w:p>
            <w:pPr>
              <w:jc w:val="right"/>
              <w:spacing w:after="0"/>
              <w:rPr>
                <w:sz w:val="20"/>
                <w:szCs w:val="20"/>
                <w:color w:val="auto"/>
              </w:rPr>
            </w:pPr>
            <w:r>
              <w:rPr>
                <w:rFonts w:ascii="Arial" w:cs="Arial" w:eastAsia="Arial" w:hAnsi="Arial"/>
                <w:sz w:val="18"/>
                <w:szCs w:val="18"/>
                <w:color w:val="FF0000"/>
                <w:strike w:val="1"/>
              </w:rPr>
              <w:t>2.50%</w:t>
            </w:r>
          </w:p>
        </w:tc>
        <w:tc>
          <w:tcPr>
            <w:tcW w:w="920" w:type="dxa"/>
            <w:vAlign w:val="bottom"/>
            <w:tcBorders>
              <w:top w:val="single" w:sz="8" w:color="FFDEAD"/>
              <w:right w:val="single" w:sz="8" w:color="auto"/>
            </w:tcBorders>
            <w:shd w:val="clear" w:color="auto" w:fill="FFDEAD"/>
          </w:tcPr>
          <w:p>
            <w:pPr>
              <w:spacing w:after="0"/>
              <w:rPr>
                <w:sz w:val="19"/>
                <w:szCs w:val="19"/>
                <w:color w:val="auto"/>
              </w:rPr>
            </w:pPr>
          </w:p>
        </w:tc>
        <w:tc>
          <w:tcPr>
            <w:tcW w:w="1380" w:type="dxa"/>
            <w:vAlign w:val="bottom"/>
            <w:tcBorders>
              <w:top w:val="single" w:sz="8" w:color="FFDEAD"/>
            </w:tcBorders>
            <w:gridSpan w:val="2"/>
            <w:shd w:val="clear" w:color="auto" w:fill="FFDEAD"/>
          </w:tcPr>
          <w:p>
            <w:pPr>
              <w:jc w:val="right"/>
              <w:spacing w:after="0"/>
              <w:rPr>
                <w:sz w:val="20"/>
                <w:szCs w:val="20"/>
                <w:color w:val="auto"/>
              </w:rPr>
            </w:pPr>
            <w:r>
              <w:rPr>
                <w:rFonts w:ascii="Arial" w:cs="Arial" w:eastAsia="Arial" w:hAnsi="Arial"/>
                <w:sz w:val="18"/>
                <w:szCs w:val="18"/>
                <w:color w:val="FF0000"/>
                <w:strike w:val="1"/>
              </w:rPr>
              <w:t>0.45%</w:t>
            </w:r>
          </w:p>
        </w:tc>
        <w:tc>
          <w:tcPr>
            <w:tcW w:w="920" w:type="dxa"/>
            <w:vAlign w:val="bottom"/>
            <w:tcBorders>
              <w:top w:val="single" w:sz="8" w:color="FFDEAD"/>
              <w:right w:val="single" w:sz="8" w:color="auto"/>
            </w:tcBorders>
            <w:shd w:val="clear" w:color="auto" w:fill="FFDEAD"/>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80" w:type="dxa"/>
            <w:vAlign w:val="bottom"/>
            <w:tcBorders>
              <w:left w:val="single" w:sz="8" w:color="auto"/>
              <w:bottom w:val="single" w:sz="8" w:color="FFDEAD"/>
            </w:tcBorders>
            <w:shd w:val="clear" w:color="auto" w:fill="FFDEAD"/>
          </w:tcPr>
          <w:p>
            <w:pPr>
              <w:spacing w:after="0"/>
              <w:rPr>
                <w:sz w:val="22"/>
                <w:szCs w:val="22"/>
                <w:color w:val="auto"/>
              </w:rPr>
            </w:pPr>
          </w:p>
        </w:tc>
        <w:tc>
          <w:tcPr>
            <w:tcW w:w="4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40" w:type="dxa"/>
            <w:vAlign w:val="bottom"/>
            <w:tcBorders>
              <w:bottom w:val="single" w:sz="8" w:color="FFDEAD"/>
            </w:tcBorders>
            <w:shd w:val="clear" w:color="auto" w:fill="FFDEAD"/>
          </w:tcPr>
          <w:p>
            <w:pPr>
              <w:spacing w:after="0"/>
              <w:rPr>
                <w:sz w:val="22"/>
                <w:szCs w:val="22"/>
                <w:color w:val="auto"/>
              </w:rPr>
            </w:pPr>
          </w:p>
        </w:tc>
        <w:tc>
          <w:tcPr>
            <w:tcW w:w="120" w:type="dxa"/>
            <w:vAlign w:val="bottom"/>
            <w:tcBorders>
              <w:bottom w:val="single" w:sz="8" w:color="FFDEAD"/>
            </w:tcBorders>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360" w:type="dxa"/>
            <w:vAlign w:val="bottom"/>
            <w:tcBorders>
              <w:bottom w:val="single" w:sz="8" w:color="FFDEAD"/>
              <w:right w:val="single" w:sz="8" w:color="auto"/>
            </w:tcBorders>
            <w:shd w:val="clear" w:color="auto" w:fill="FFDEAD"/>
          </w:tcPr>
          <w:p>
            <w:pPr>
              <w:spacing w:after="0"/>
              <w:rPr>
                <w:sz w:val="22"/>
                <w:szCs w:val="22"/>
                <w:color w:val="auto"/>
              </w:rPr>
            </w:pPr>
          </w:p>
        </w:tc>
        <w:tc>
          <w:tcPr>
            <w:tcW w:w="440" w:type="dxa"/>
            <w:vAlign w:val="bottom"/>
            <w:tcBorders>
              <w:bottom w:val="single" w:sz="8" w:color="FFDEAD"/>
            </w:tcBorders>
            <w:shd w:val="clear" w:color="auto" w:fill="FFDEAD"/>
          </w:tcPr>
          <w:p>
            <w:pPr>
              <w:spacing w:after="0"/>
              <w:rPr>
                <w:sz w:val="22"/>
                <w:szCs w:val="22"/>
                <w:color w:val="auto"/>
              </w:rPr>
            </w:pPr>
          </w:p>
        </w:tc>
        <w:tc>
          <w:tcPr>
            <w:tcW w:w="100" w:type="dxa"/>
            <w:vAlign w:val="bottom"/>
            <w:tcBorders>
              <w:bottom w:val="single" w:sz="8" w:color="FFDEAD"/>
            </w:tcBorders>
            <w:shd w:val="clear" w:color="auto" w:fill="FFDEAD"/>
          </w:tcPr>
          <w:p>
            <w:pPr>
              <w:spacing w:after="0"/>
              <w:rPr>
                <w:sz w:val="22"/>
                <w:szCs w:val="22"/>
                <w:color w:val="auto"/>
              </w:rPr>
            </w:pPr>
          </w:p>
        </w:tc>
        <w:tc>
          <w:tcPr>
            <w:tcW w:w="40" w:type="dxa"/>
            <w:vAlign w:val="bottom"/>
            <w:tcBorders>
              <w:bottom w:val="single" w:sz="8" w:color="FFDEAD"/>
            </w:tcBorders>
            <w:gridSpan w:val="2"/>
            <w:shd w:val="clear" w:color="auto" w:fill="FFDEAD"/>
          </w:tcPr>
          <w:p>
            <w:pPr>
              <w:spacing w:after="0"/>
              <w:rPr>
                <w:sz w:val="22"/>
                <w:szCs w:val="22"/>
                <w:color w:val="auto"/>
              </w:rPr>
            </w:pPr>
          </w:p>
        </w:tc>
        <w:tc>
          <w:tcPr>
            <w:tcW w:w="20" w:type="dxa"/>
            <w:vAlign w:val="bottom"/>
            <w:tcBorders>
              <w:bottom w:val="single" w:sz="8" w:color="FFDEAD"/>
            </w:tcBorders>
            <w:shd w:val="clear" w:color="auto" w:fill="FFDEAD"/>
          </w:tcPr>
          <w:p>
            <w:pPr>
              <w:spacing w:after="0"/>
              <w:rPr>
                <w:sz w:val="22"/>
                <w:szCs w:val="22"/>
                <w:color w:val="auto"/>
              </w:rPr>
            </w:pPr>
          </w:p>
        </w:tc>
        <w:tc>
          <w:tcPr>
            <w:tcW w:w="1320" w:type="dxa"/>
            <w:vAlign w:val="bottom"/>
            <w:tcBorders>
              <w:bottom w:val="single" w:sz="8" w:color="FFDEAD"/>
            </w:tcBorders>
            <w:gridSpan w:val="6"/>
            <w:shd w:val="clear" w:color="auto" w:fill="FFDEAD"/>
          </w:tcPr>
          <w:p>
            <w:pPr>
              <w:spacing w:after="0"/>
              <w:rPr>
                <w:sz w:val="20"/>
                <w:szCs w:val="20"/>
                <w:color w:val="auto"/>
              </w:rPr>
            </w:pPr>
            <w:r>
              <w:rPr>
                <w:rFonts w:ascii="Arial" w:cs="Arial" w:eastAsia="Arial" w:hAnsi="Arial"/>
                <w:sz w:val="18"/>
                <w:szCs w:val="18"/>
                <w:color w:val="FF0000"/>
                <w:strike w:val="1"/>
              </w:rPr>
              <w:t>&gt; 2.75:1.00</w:t>
            </w:r>
          </w:p>
        </w:tc>
        <w:tc>
          <w:tcPr>
            <w:tcW w:w="140" w:type="dxa"/>
            <w:vAlign w:val="bottom"/>
            <w:tcBorders>
              <w:bottom w:val="single" w:sz="8" w:color="FFDEAD"/>
              <w:right w:val="single" w:sz="8" w:color="auto"/>
            </w:tcBorders>
            <w:shd w:val="clear" w:color="auto" w:fill="FFDEAD"/>
          </w:tcPr>
          <w:p>
            <w:pPr>
              <w:spacing w:after="0"/>
              <w:rPr>
                <w:sz w:val="22"/>
                <w:szCs w:val="22"/>
                <w:color w:val="auto"/>
              </w:rPr>
            </w:pPr>
          </w:p>
        </w:tc>
        <w:tc>
          <w:tcPr>
            <w:tcW w:w="300" w:type="dxa"/>
            <w:vAlign w:val="bottom"/>
            <w:tcBorders>
              <w:bottom w:val="single" w:sz="8" w:color="FFDEAD"/>
            </w:tcBorders>
            <w:shd w:val="clear" w:color="auto" w:fill="FFDEAD"/>
          </w:tcPr>
          <w:p>
            <w:pPr>
              <w:spacing w:after="0"/>
              <w:rPr>
                <w:sz w:val="22"/>
                <w:szCs w:val="22"/>
                <w:color w:val="auto"/>
              </w:rPr>
            </w:pPr>
          </w:p>
        </w:tc>
        <w:tc>
          <w:tcPr>
            <w:tcW w:w="300" w:type="dxa"/>
            <w:vAlign w:val="bottom"/>
            <w:tcBorders>
              <w:bottom w:val="single" w:sz="8" w:color="FFDEAD"/>
            </w:tcBorders>
            <w:shd w:val="clear" w:color="auto" w:fill="FFDEAD"/>
          </w:tcPr>
          <w:p>
            <w:pPr>
              <w:spacing w:after="0"/>
              <w:rPr>
                <w:sz w:val="22"/>
                <w:szCs w:val="22"/>
                <w:color w:val="auto"/>
              </w:rPr>
            </w:pPr>
          </w:p>
        </w:tc>
        <w:tc>
          <w:tcPr>
            <w:tcW w:w="320" w:type="dxa"/>
            <w:vAlign w:val="bottom"/>
            <w:tcBorders>
              <w:bottom w:val="single" w:sz="8" w:color="FFDEAD"/>
            </w:tcBorders>
            <w:shd w:val="clear" w:color="auto" w:fill="FFDEAD"/>
          </w:tcPr>
          <w:p>
            <w:pPr>
              <w:spacing w:after="0"/>
              <w:rPr>
                <w:sz w:val="22"/>
                <w:szCs w:val="22"/>
                <w:color w:val="auto"/>
              </w:rPr>
            </w:pPr>
          </w:p>
        </w:tc>
        <w:tc>
          <w:tcPr>
            <w:tcW w:w="480" w:type="dxa"/>
            <w:vAlign w:val="bottom"/>
            <w:tcBorders>
              <w:bottom w:val="single" w:sz="8" w:color="FFDEAD"/>
              <w:right w:val="single" w:sz="8" w:color="auto"/>
            </w:tcBorders>
            <w:shd w:val="clear" w:color="auto" w:fill="FFDEAD"/>
          </w:tcPr>
          <w:p>
            <w:pPr>
              <w:spacing w:after="0"/>
              <w:rPr>
                <w:sz w:val="22"/>
                <w:szCs w:val="22"/>
                <w:color w:val="auto"/>
              </w:rPr>
            </w:pPr>
          </w:p>
        </w:tc>
        <w:tc>
          <w:tcPr>
            <w:tcW w:w="980" w:type="dxa"/>
            <w:vAlign w:val="bottom"/>
            <w:tcBorders>
              <w:bottom w:val="single" w:sz="8" w:color="FFDEAD"/>
            </w:tcBorders>
            <w:shd w:val="clear" w:color="auto" w:fill="FFDEAD"/>
          </w:tcPr>
          <w:p>
            <w:pPr>
              <w:spacing w:after="0"/>
              <w:rPr>
                <w:sz w:val="22"/>
                <w:szCs w:val="22"/>
                <w:color w:val="auto"/>
              </w:rPr>
            </w:pPr>
          </w:p>
        </w:tc>
        <w:tc>
          <w:tcPr>
            <w:tcW w:w="320" w:type="dxa"/>
            <w:vAlign w:val="bottom"/>
            <w:tcBorders>
              <w:bottom w:val="single" w:sz="8" w:color="FFDEAD"/>
            </w:tcBorders>
            <w:shd w:val="clear" w:color="auto" w:fill="FFDEAD"/>
          </w:tcPr>
          <w:p>
            <w:pPr>
              <w:spacing w:after="0"/>
              <w:rPr>
                <w:sz w:val="22"/>
                <w:szCs w:val="22"/>
                <w:color w:val="auto"/>
              </w:rPr>
            </w:pPr>
          </w:p>
        </w:tc>
        <w:tc>
          <w:tcPr>
            <w:tcW w:w="820" w:type="dxa"/>
            <w:vAlign w:val="bottom"/>
            <w:tcBorders>
              <w:bottom w:val="single" w:sz="8" w:color="FFDEAD"/>
              <w:right w:val="single" w:sz="8" w:color="auto"/>
            </w:tcBorders>
            <w:shd w:val="clear" w:color="auto" w:fill="FFDEAD"/>
          </w:tcPr>
          <w:p>
            <w:pPr>
              <w:spacing w:after="0"/>
              <w:rPr>
                <w:sz w:val="22"/>
                <w:szCs w:val="22"/>
                <w:color w:val="auto"/>
              </w:rPr>
            </w:pPr>
          </w:p>
        </w:tc>
        <w:tc>
          <w:tcPr>
            <w:tcW w:w="1060" w:type="dxa"/>
            <w:vAlign w:val="bottom"/>
            <w:tcBorders>
              <w:bottom w:val="single" w:sz="8" w:color="FFDEAD"/>
            </w:tcBorders>
            <w:shd w:val="clear" w:color="auto" w:fill="FFDEAD"/>
          </w:tcPr>
          <w:p>
            <w:pPr>
              <w:spacing w:after="0"/>
              <w:rPr>
                <w:sz w:val="22"/>
                <w:szCs w:val="22"/>
                <w:color w:val="auto"/>
              </w:rPr>
            </w:pPr>
          </w:p>
        </w:tc>
        <w:tc>
          <w:tcPr>
            <w:tcW w:w="320" w:type="dxa"/>
            <w:vAlign w:val="bottom"/>
            <w:tcBorders>
              <w:bottom w:val="single" w:sz="8" w:color="FFDEAD"/>
            </w:tcBorders>
            <w:shd w:val="clear" w:color="auto" w:fill="FFDEAD"/>
          </w:tcPr>
          <w:p>
            <w:pPr>
              <w:spacing w:after="0"/>
              <w:rPr>
                <w:sz w:val="22"/>
                <w:szCs w:val="22"/>
                <w:color w:val="auto"/>
              </w:rPr>
            </w:pPr>
          </w:p>
        </w:tc>
        <w:tc>
          <w:tcPr>
            <w:tcW w:w="920" w:type="dxa"/>
            <w:vAlign w:val="bottom"/>
            <w:tcBorders>
              <w:bottom w:val="single" w:sz="8" w:color="FFDEAD"/>
              <w:right w:val="single" w:sz="8" w:color="auto"/>
            </w:tcBorders>
            <w:shd w:val="clear" w:color="auto" w:fill="FFDEAD"/>
          </w:tcPr>
          <w:p>
            <w:pPr>
              <w:spacing w:after="0"/>
              <w:rPr>
                <w:sz w:val="22"/>
                <w:szCs w:val="22"/>
                <w:color w:val="auto"/>
              </w:rPr>
            </w:pPr>
          </w:p>
        </w:tc>
        <w:tc>
          <w:tcPr>
            <w:tcW w:w="1060" w:type="dxa"/>
            <w:vAlign w:val="bottom"/>
            <w:tcBorders>
              <w:bottom w:val="single" w:sz="8" w:color="FFDEAD"/>
            </w:tcBorders>
            <w:shd w:val="clear" w:color="auto" w:fill="FFDEAD"/>
          </w:tcPr>
          <w:p>
            <w:pPr>
              <w:spacing w:after="0"/>
              <w:rPr>
                <w:sz w:val="22"/>
                <w:szCs w:val="22"/>
                <w:color w:val="auto"/>
              </w:rPr>
            </w:pPr>
          </w:p>
        </w:tc>
        <w:tc>
          <w:tcPr>
            <w:tcW w:w="320" w:type="dxa"/>
            <w:vAlign w:val="bottom"/>
            <w:tcBorders>
              <w:bottom w:val="single" w:sz="8" w:color="FFDEAD"/>
            </w:tcBorders>
            <w:shd w:val="clear" w:color="auto" w:fill="FFDEAD"/>
          </w:tcPr>
          <w:p>
            <w:pPr>
              <w:spacing w:after="0"/>
              <w:rPr>
                <w:sz w:val="22"/>
                <w:szCs w:val="22"/>
                <w:color w:val="auto"/>
              </w:rPr>
            </w:pPr>
          </w:p>
        </w:tc>
        <w:tc>
          <w:tcPr>
            <w:tcW w:w="920" w:type="dxa"/>
            <w:vAlign w:val="bottom"/>
            <w:tcBorders>
              <w:bottom w:val="single" w:sz="8" w:color="FFDEAD"/>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80" w:type="dxa"/>
            <w:vAlign w:val="bottom"/>
            <w:tcBorders>
              <w:top w:val="single" w:sz="8" w:color="auto"/>
              <w:lef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right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4"/>
              </w:rPr>
              <w:t>&lt;</w:t>
            </w:r>
          </w:p>
        </w:tc>
        <w:tc>
          <w:tcPr>
            <w:tcW w:w="3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FF0000"/>
                <w:strike w:val="1"/>
                <w:w w:val="85"/>
              </w:rPr>
              <w:t>2.75</w:t>
            </w:r>
          </w:p>
        </w:tc>
        <w:tc>
          <w:tcPr>
            <w:tcW w:w="10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0000FF"/>
              </w:rPr>
              <w:t>2.50</w:t>
            </w:r>
            <w:r>
              <w:rPr>
                <w:rFonts w:ascii="Arial" w:cs="Arial" w:eastAsia="Arial" w:hAnsi="Arial"/>
                <w:sz w:val="18"/>
                <w:szCs w:val="18"/>
                <w:color w:val="000000"/>
              </w:rPr>
              <w:t>:1.00</w:t>
            </w:r>
          </w:p>
        </w:tc>
        <w:tc>
          <w:tcPr>
            <w:tcW w:w="14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8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auto"/>
            </w:tcBorders>
            <w:gridSpan w:val="4"/>
          </w:tcPr>
          <w:p>
            <w:pPr>
              <w:ind w:left="400"/>
              <w:spacing w:after="0" w:line="196" w:lineRule="exact"/>
              <w:rPr>
                <w:sz w:val="20"/>
                <w:szCs w:val="20"/>
                <w:color w:val="auto"/>
              </w:rPr>
            </w:pPr>
            <w:r>
              <w:rPr>
                <w:rFonts w:ascii="Arial" w:cs="Arial" w:eastAsia="Arial" w:hAnsi="Arial"/>
                <w:sz w:val="18"/>
                <w:szCs w:val="18"/>
                <w:color w:val="FF0000"/>
                <w:strike w:val="1"/>
              </w:rPr>
              <w:t>III</w:t>
            </w:r>
          </w:p>
        </w:tc>
        <w:tc>
          <w:tcPr>
            <w:tcW w:w="500" w:type="dxa"/>
            <w:vAlign w:val="bottom"/>
            <w:tcBorders>
              <w:right w:val="single" w:sz="8" w:color="auto"/>
            </w:tcBorders>
            <w:gridSpan w:val="3"/>
          </w:tcPr>
          <w:p>
            <w:pPr>
              <w:jc w:val="center"/>
              <w:ind w:right="380"/>
              <w:spacing w:after="0" w:line="196" w:lineRule="exact"/>
              <w:rPr>
                <w:sz w:val="20"/>
                <w:szCs w:val="20"/>
                <w:color w:val="auto"/>
              </w:rPr>
            </w:pPr>
            <w:r>
              <w:rPr>
                <w:rFonts w:ascii="Arial" w:cs="Arial" w:eastAsia="Arial" w:hAnsi="Arial"/>
                <w:sz w:val="18"/>
                <w:szCs w:val="18"/>
                <w:color w:val="0000FF"/>
              </w:rPr>
              <w:t>II</w:t>
            </w: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auto"/>
              </w:rPr>
              <w:t>but</w:t>
            </w:r>
          </w:p>
        </w:tc>
        <w:tc>
          <w:tcPr>
            <w:tcW w:w="800" w:type="dxa"/>
            <w:vAlign w:val="bottom"/>
            <w:tcBorders>
              <w:right w:val="single" w:sz="8" w:color="auto"/>
            </w:tcBorders>
            <w:gridSpan w:val="2"/>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FF0000"/>
                <w:strike w:val="1"/>
                <w:w w:val="79"/>
              </w:rPr>
              <w:t>2.25</w:t>
            </w:r>
          </w:p>
        </w:tc>
        <w:tc>
          <w:tcPr>
            <w:tcW w:w="800" w:type="dxa"/>
            <w:vAlign w:val="bottom"/>
            <w:tcBorders>
              <w:right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color w:val="0000FF"/>
                <w:w w:val="90"/>
              </w:rPr>
              <w:t>1.75</w:t>
            </w:r>
            <w:r>
              <w:rPr>
                <w:rFonts w:ascii="Arial" w:cs="Arial" w:eastAsia="Arial" w:hAnsi="Arial"/>
                <w:sz w:val="18"/>
                <w:szCs w:val="18"/>
                <w:color w:val="000000"/>
                <w:w w:val="90"/>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1.25</w:t>
            </w:r>
          </w:p>
        </w:tc>
        <w:tc>
          <w:tcPr>
            <w:tcW w:w="1140" w:type="dxa"/>
            <w:vAlign w:val="bottom"/>
            <w:tcBorders>
              <w:right w:val="single" w:sz="8" w:color="auto"/>
            </w:tcBorders>
            <w:gridSpan w:val="2"/>
          </w:tcPr>
          <w:p>
            <w:pPr>
              <w:jc w:val="right"/>
              <w:ind w:right="680"/>
              <w:spacing w:after="0" w:line="196" w:lineRule="exact"/>
              <w:rPr>
                <w:sz w:val="20"/>
                <w:szCs w:val="20"/>
                <w:color w:val="auto"/>
              </w:rPr>
            </w:pPr>
            <w:r>
              <w:rPr>
                <w:rFonts w:ascii="Arial" w:cs="Arial" w:eastAsia="Arial" w:hAnsi="Arial"/>
                <w:sz w:val="18"/>
                <w:szCs w:val="18"/>
                <w:color w:val="0000FF"/>
                <w:w w:val="86"/>
              </w:rPr>
              <w:t>0.75</w:t>
            </w:r>
            <w:r>
              <w:rPr>
                <w:rFonts w:ascii="Arial" w:cs="Arial" w:eastAsia="Arial" w:hAnsi="Arial"/>
                <w:sz w:val="18"/>
                <w:szCs w:val="18"/>
                <w:color w:val="000000"/>
                <w:w w:val="86"/>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2.25</w:t>
            </w:r>
          </w:p>
        </w:tc>
        <w:tc>
          <w:tcPr>
            <w:tcW w:w="1240" w:type="dxa"/>
            <w:vAlign w:val="bottom"/>
            <w:tcBorders>
              <w:right w:val="single" w:sz="8" w:color="auto"/>
            </w:tcBorders>
            <w:gridSpan w:val="2"/>
          </w:tcPr>
          <w:p>
            <w:pPr>
              <w:jc w:val="right"/>
              <w:ind w:right="760"/>
              <w:spacing w:after="0" w:line="196" w:lineRule="exact"/>
              <w:rPr>
                <w:sz w:val="20"/>
                <w:szCs w:val="20"/>
                <w:color w:val="auto"/>
              </w:rPr>
            </w:pPr>
            <w:r>
              <w:rPr>
                <w:rFonts w:ascii="Arial" w:cs="Arial" w:eastAsia="Arial" w:hAnsi="Arial"/>
                <w:sz w:val="18"/>
                <w:szCs w:val="18"/>
                <w:color w:val="0000FF"/>
                <w:w w:val="90"/>
              </w:rPr>
              <w:t>1.75</w:t>
            </w:r>
            <w:r>
              <w:rPr>
                <w:rFonts w:ascii="Arial" w:cs="Arial" w:eastAsia="Arial" w:hAnsi="Arial"/>
                <w:sz w:val="18"/>
                <w:szCs w:val="18"/>
                <w:color w:val="000000"/>
                <w:w w:val="90"/>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0.40</w:t>
            </w:r>
          </w:p>
        </w:tc>
        <w:tc>
          <w:tcPr>
            <w:tcW w:w="1240" w:type="dxa"/>
            <w:vAlign w:val="bottom"/>
            <w:tcBorders>
              <w:right w:val="single" w:sz="8" w:color="auto"/>
            </w:tcBorders>
            <w:gridSpan w:val="2"/>
          </w:tcPr>
          <w:p>
            <w:pPr>
              <w:jc w:val="right"/>
              <w:ind w:right="780"/>
              <w:spacing w:after="0" w:line="196" w:lineRule="exact"/>
              <w:rPr>
                <w:sz w:val="20"/>
                <w:szCs w:val="20"/>
                <w:color w:val="auto"/>
              </w:rPr>
            </w:pPr>
            <w:r>
              <w:rPr>
                <w:rFonts w:ascii="Arial" w:cs="Arial" w:eastAsia="Arial" w:hAnsi="Arial"/>
                <w:sz w:val="18"/>
                <w:szCs w:val="18"/>
                <w:color w:val="0000FF"/>
                <w:w w:val="86"/>
              </w:rPr>
              <w:t>0.30</w:t>
            </w:r>
            <w:r>
              <w:rPr>
                <w:rFonts w:ascii="Arial" w:cs="Arial" w:eastAsia="Arial" w:hAnsi="Arial"/>
                <w:sz w:val="18"/>
                <w:szCs w:val="18"/>
                <w:color w:val="000000"/>
                <w:w w:val="86"/>
              </w:rPr>
              <w:t>%</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920" w:type="dxa"/>
            <w:vAlign w:val="bottom"/>
            <w:gridSpan w:val="11"/>
          </w:tcPr>
          <w:p>
            <w:pPr>
              <w:ind w:left="600"/>
              <w:spacing w:after="0"/>
              <w:rPr>
                <w:sz w:val="20"/>
                <w:szCs w:val="20"/>
                <w:color w:val="auto"/>
              </w:rPr>
            </w:pPr>
            <w:r>
              <w:rPr>
                <w:rFonts w:ascii="Arial" w:cs="Arial" w:eastAsia="Arial" w:hAnsi="Arial"/>
                <w:sz w:val="18"/>
                <w:szCs w:val="18"/>
                <w:color w:val="auto"/>
              </w:rPr>
              <w:t>&gt; 1.75:1.00</w:t>
            </w:r>
          </w:p>
        </w:tc>
        <w:tc>
          <w:tcPr>
            <w:tcW w:w="1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920" w:type="dxa"/>
            <w:vAlign w:val="bottom"/>
            <w:gridSpan w:val="11"/>
          </w:tcPr>
          <w:p>
            <w:pPr>
              <w:ind w:left="600"/>
              <w:spacing w:after="0" w:line="196" w:lineRule="exact"/>
              <w:rPr>
                <w:sz w:val="20"/>
                <w:szCs w:val="20"/>
                <w:color w:val="auto"/>
              </w:rPr>
            </w:pPr>
            <w:r>
              <w:rPr>
                <w:rFonts w:ascii="Arial" w:cs="Arial" w:eastAsia="Arial" w:hAnsi="Arial"/>
                <w:sz w:val="18"/>
                <w:szCs w:val="18"/>
                <w:color w:val="auto"/>
              </w:rPr>
              <w:t>&lt; 1.75:1.00</w:t>
            </w:r>
          </w:p>
        </w:tc>
        <w:tc>
          <w:tcPr>
            <w:tcW w:w="1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left w:val="single" w:sz="8" w:color="auto"/>
            </w:tcBorders>
            <w:gridSpan w:val="3"/>
          </w:tcPr>
          <w:p>
            <w:pPr>
              <w:ind w:left="360"/>
              <w:spacing w:after="0" w:line="196" w:lineRule="exact"/>
              <w:rPr>
                <w:sz w:val="20"/>
                <w:szCs w:val="20"/>
                <w:color w:val="auto"/>
              </w:rPr>
            </w:pPr>
            <w:r>
              <w:rPr>
                <w:rFonts w:ascii="Arial" w:cs="Arial" w:eastAsia="Arial" w:hAnsi="Arial"/>
                <w:sz w:val="18"/>
                <w:szCs w:val="18"/>
                <w:color w:val="FF0000"/>
                <w:strike w:val="1"/>
                <w:w w:val="93"/>
              </w:rPr>
              <w:t>IV</w:t>
            </w:r>
          </w:p>
        </w:tc>
        <w:tc>
          <w:tcPr>
            <w:tcW w:w="54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0000FF"/>
              </w:rPr>
              <w:t>III</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color w:val="auto"/>
              </w:rPr>
              <w:t>but</w:t>
            </w:r>
          </w:p>
        </w:tc>
        <w:tc>
          <w:tcPr>
            <w:tcW w:w="30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FF0000"/>
                <w:strike w:val="1"/>
                <w:w w:val="79"/>
              </w:rPr>
              <w:t>2.00</w:t>
            </w:r>
          </w:p>
        </w:tc>
        <w:tc>
          <w:tcPr>
            <w:tcW w:w="800" w:type="dxa"/>
            <w:vAlign w:val="bottom"/>
            <w:tcBorders>
              <w:right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color w:val="0000FF"/>
                <w:w w:val="90"/>
              </w:rPr>
              <w:t>1.50</w:t>
            </w:r>
            <w:r>
              <w:rPr>
                <w:rFonts w:ascii="Arial" w:cs="Arial" w:eastAsia="Arial" w:hAnsi="Arial"/>
                <w:sz w:val="18"/>
                <w:szCs w:val="18"/>
                <w:color w:val="000000"/>
                <w:w w:val="90"/>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1.00</w:t>
            </w:r>
          </w:p>
        </w:tc>
        <w:tc>
          <w:tcPr>
            <w:tcW w:w="1140" w:type="dxa"/>
            <w:vAlign w:val="bottom"/>
            <w:tcBorders>
              <w:right w:val="single" w:sz="8" w:color="auto"/>
            </w:tcBorders>
            <w:gridSpan w:val="2"/>
          </w:tcPr>
          <w:p>
            <w:pPr>
              <w:jc w:val="right"/>
              <w:ind w:right="680"/>
              <w:spacing w:after="0" w:line="196" w:lineRule="exact"/>
              <w:rPr>
                <w:sz w:val="20"/>
                <w:szCs w:val="20"/>
                <w:color w:val="auto"/>
              </w:rPr>
            </w:pPr>
            <w:r>
              <w:rPr>
                <w:rFonts w:ascii="Arial" w:cs="Arial" w:eastAsia="Arial" w:hAnsi="Arial"/>
                <w:sz w:val="18"/>
                <w:szCs w:val="18"/>
                <w:color w:val="0000FF"/>
                <w:w w:val="86"/>
              </w:rPr>
              <w:t>0.50</w:t>
            </w:r>
            <w:r>
              <w:rPr>
                <w:rFonts w:ascii="Arial" w:cs="Arial" w:eastAsia="Arial" w:hAnsi="Arial"/>
                <w:sz w:val="18"/>
                <w:szCs w:val="18"/>
                <w:color w:val="000000"/>
                <w:w w:val="86"/>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2.00</w:t>
            </w:r>
          </w:p>
        </w:tc>
        <w:tc>
          <w:tcPr>
            <w:tcW w:w="1240" w:type="dxa"/>
            <w:vAlign w:val="bottom"/>
            <w:tcBorders>
              <w:right w:val="single" w:sz="8" w:color="auto"/>
            </w:tcBorders>
            <w:gridSpan w:val="2"/>
          </w:tcPr>
          <w:p>
            <w:pPr>
              <w:jc w:val="right"/>
              <w:ind w:right="760"/>
              <w:spacing w:after="0" w:line="196" w:lineRule="exact"/>
              <w:rPr>
                <w:sz w:val="20"/>
                <w:szCs w:val="20"/>
                <w:color w:val="auto"/>
              </w:rPr>
            </w:pPr>
            <w:r>
              <w:rPr>
                <w:rFonts w:ascii="Arial" w:cs="Arial" w:eastAsia="Arial" w:hAnsi="Arial"/>
                <w:sz w:val="18"/>
                <w:szCs w:val="18"/>
                <w:color w:val="0000FF"/>
                <w:w w:val="90"/>
              </w:rPr>
              <w:t>1.50</w:t>
            </w:r>
            <w:r>
              <w:rPr>
                <w:rFonts w:ascii="Arial" w:cs="Arial" w:eastAsia="Arial" w:hAnsi="Arial"/>
                <w:sz w:val="18"/>
                <w:szCs w:val="18"/>
                <w:color w:val="000000"/>
                <w:w w:val="90"/>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0.35</w:t>
            </w:r>
          </w:p>
        </w:tc>
        <w:tc>
          <w:tcPr>
            <w:tcW w:w="1240" w:type="dxa"/>
            <w:vAlign w:val="bottom"/>
            <w:tcBorders>
              <w:right w:val="single" w:sz="8" w:color="auto"/>
            </w:tcBorders>
            <w:gridSpan w:val="2"/>
          </w:tcPr>
          <w:p>
            <w:pPr>
              <w:jc w:val="right"/>
              <w:ind w:right="780"/>
              <w:spacing w:after="0" w:line="196" w:lineRule="exact"/>
              <w:rPr>
                <w:sz w:val="20"/>
                <w:szCs w:val="20"/>
                <w:color w:val="auto"/>
              </w:rPr>
            </w:pPr>
            <w:r>
              <w:rPr>
                <w:rFonts w:ascii="Arial" w:cs="Arial" w:eastAsia="Arial" w:hAnsi="Arial"/>
                <w:sz w:val="18"/>
                <w:szCs w:val="18"/>
                <w:color w:val="0000FF"/>
                <w:w w:val="86"/>
              </w:rPr>
              <w:t>0.25</w:t>
            </w:r>
            <w:r>
              <w:rPr>
                <w:rFonts w:ascii="Arial" w:cs="Arial" w:eastAsia="Arial" w:hAnsi="Arial"/>
                <w:sz w:val="18"/>
                <w:szCs w:val="18"/>
                <w:color w:val="000000"/>
                <w:w w:val="86"/>
              </w:rPr>
              <w:t>%</w:t>
            </w: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580" w:type="dxa"/>
            <w:vAlign w:val="bottom"/>
            <w:gridSpan w:val="4"/>
          </w:tcPr>
          <w:p>
            <w:pPr>
              <w:jc w:val="center"/>
              <w:ind w:left="310"/>
              <w:spacing w:after="0" w:line="196" w:lineRule="exact"/>
              <w:rPr>
                <w:sz w:val="20"/>
                <w:szCs w:val="20"/>
                <w:color w:val="auto"/>
              </w:rPr>
            </w:pPr>
            <w:r>
              <w:rPr>
                <w:rFonts w:ascii="Arial" w:cs="Arial" w:eastAsia="Arial" w:hAnsi="Arial"/>
                <w:sz w:val="18"/>
                <w:szCs w:val="18"/>
                <w:color w:val="auto"/>
                <w:w w:val="94"/>
              </w:rPr>
              <w:t>&gt;</w:t>
            </w:r>
          </w:p>
        </w:tc>
        <w:tc>
          <w:tcPr>
            <w:tcW w:w="320" w:type="dxa"/>
            <w:vAlign w:val="bottom"/>
            <w:gridSpan w:val="3"/>
          </w:tcPr>
          <w:p>
            <w:pPr>
              <w:jc w:val="right"/>
              <w:spacing w:after="0" w:line="196" w:lineRule="exact"/>
              <w:rPr>
                <w:sz w:val="20"/>
                <w:szCs w:val="20"/>
                <w:color w:val="auto"/>
              </w:rPr>
            </w:pPr>
            <w:r>
              <w:rPr>
                <w:rFonts w:ascii="Arial" w:cs="Arial" w:eastAsia="Arial" w:hAnsi="Arial"/>
                <w:sz w:val="18"/>
                <w:szCs w:val="18"/>
                <w:color w:val="FF0000"/>
                <w:strike w:val="1"/>
                <w:w w:val="85"/>
              </w:rPr>
              <w:t>0.75</w:t>
            </w:r>
          </w:p>
        </w:tc>
        <w:tc>
          <w:tcPr>
            <w:tcW w:w="1020" w:type="dxa"/>
            <w:vAlign w:val="bottom"/>
            <w:gridSpan w:val="4"/>
          </w:tcPr>
          <w:p>
            <w:pPr>
              <w:spacing w:after="0" w:line="196" w:lineRule="exact"/>
              <w:rPr>
                <w:sz w:val="20"/>
                <w:szCs w:val="20"/>
                <w:color w:val="auto"/>
              </w:rPr>
            </w:pPr>
            <w:r>
              <w:rPr>
                <w:rFonts w:ascii="Arial" w:cs="Arial" w:eastAsia="Arial" w:hAnsi="Arial"/>
                <w:sz w:val="18"/>
                <w:szCs w:val="18"/>
                <w:color w:val="0000FF"/>
              </w:rPr>
              <w:t>1.00</w:t>
            </w:r>
            <w:r>
              <w:rPr>
                <w:rFonts w:ascii="Arial" w:cs="Arial" w:eastAsia="Arial" w:hAnsi="Arial"/>
                <w:sz w:val="18"/>
                <w:szCs w:val="18"/>
                <w:color w:val="000000"/>
              </w:rPr>
              <w:t>:1.00</w:t>
            </w:r>
          </w:p>
        </w:tc>
        <w:tc>
          <w:tcPr>
            <w:tcW w:w="1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20" w:type="dxa"/>
            <w:vAlign w:val="bottom"/>
            <w:tcBorders>
              <w:left w:val="single" w:sz="8" w:color="auto"/>
            </w:tcBorders>
            <w:gridSpan w:val="2"/>
          </w:tcPr>
          <w:p>
            <w:pPr>
              <w:ind w:left="380"/>
              <w:spacing w:after="0" w:line="196" w:lineRule="exact"/>
              <w:rPr>
                <w:sz w:val="20"/>
                <w:szCs w:val="20"/>
                <w:color w:val="auto"/>
              </w:rPr>
            </w:pPr>
            <w:r>
              <w:rPr>
                <w:rFonts w:ascii="Arial" w:cs="Arial" w:eastAsia="Arial" w:hAnsi="Arial"/>
                <w:sz w:val="18"/>
                <w:szCs w:val="18"/>
                <w:color w:val="FF0000"/>
                <w:strike w:val="1"/>
                <w:w w:val="99"/>
              </w:rPr>
              <w:t>V</w:t>
            </w:r>
          </w:p>
        </w:tc>
        <w:tc>
          <w:tcPr>
            <w:tcW w:w="560" w:type="dxa"/>
            <w:vAlign w:val="bottom"/>
            <w:tcBorders>
              <w:right w:val="single" w:sz="8" w:color="auto"/>
            </w:tcBorders>
            <w:gridSpan w:val="5"/>
          </w:tcPr>
          <w:p>
            <w:pPr>
              <w:jc w:val="center"/>
              <w:ind w:right="380"/>
              <w:spacing w:after="0" w:line="196" w:lineRule="exact"/>
              <w:rPr>
                <w:sz w:val="20"/>
                <w:szCs w:val="20"/>
                <w:color w:val="auto"/>
              </w:rPr>
            </w:pPr>
            <w:r>
              <w:rPr>
                <w:rFonts w:ascii="Arial" w:cs="Arial" w:eastAsia="Arial" w:hAnsi="Arial"/>
                <w:sz w:val="18"/>
                <w:szCs w:val="18"/>
                <w:color w:val="0000FF"/>
              </w:rPr>
              <w:t>IV</w:t>
            </w:r>
          </w:p>
        </w:tc>
        <w:tc>
          <w:tcPr>
            <w:tcW w:w="580" w:type="dxa"/>
            <w:vAlign w:val="bottom"/>
            <w:gridSpan w:val="4"/>
          </w:tcPr>
          <w:p>
            <w:pPr>
              <w:jc w:val="center"/>
              <w:ind w:left="310"/>
              <w:spacing w:after="0" w:line="196" w:lineRule="exact"/>
              <w:rPr>
                <w:sz w:val="20"/>
                <w:szCs w:val="20"/>
                <w:color w:val="auto"/>
              </w:rPr>
            </w:pPr>
            <w:r>
              <w:rPr>
                <w:rFonts w:ascii="Arial" w:cs="Arial" w:eastAsia="Arial" w:hAnsi="Arial"/>
                <w:sz w:val="18"/>
                <w:szCs w:val="18"/>
                <w:color w:val="auto"/>
                <w:w w:val="94"/>
              </w:rPr>
              <w:t>&lt;</w:t>
            </w:r>
          </w:p>
        </w:tc>
        <w:tc>
          <w:tcPr>
            <w:tcW w:w="320" w:type="dxa"/>
            <w:vAlign w:val="bottom"/>
            <w:gridSpan w:val="3"/>
          </w:tcPr>
          <w:p>
            <w:pPr>
              <w:jc w:val="right"/>
              <w:spacing w:after="0" w:line="196" w:lineRule="exact"/>
              <w:rPr>
                <w:sz w:val="20"/>
                <w:szCs w:val="20"/>
                <w:color w:val="auto"/>
              </w:rPr>
            </w:pPr>
            <w:r>
              <w:rPr>
                <w:rFonts w:ascii="Arial" w:cs="Arial" w:eastAsia="Arial" w:hAnsi="Arial"/>
                <w:sz w:val="18"/>
                <w:szCs w:val="18"/>
                <w:color w:val="FF0000"/>
                <w:strike w:val="1"/>
                <w:w w:val="85"/>
              </w:rPr>
              <w:t>0.75</w:t>
            </w:r>
          </w:p>
        </w:tc>
        <w:tc>
          <w:tcPr>
            <w:tcW w:w="1020" w:type="dxa"/>
            <w:vAlign w:val="bottom"/>
            <w:gridSpan w:val="4"/>
          </w:tcPr>
          <w:p>
            <w:pPr>
              <w:spacing w:after="0" w:line="196" w:lineRule="exact"/>
              <w:rPr>
                <w:sz w:val="20"/>
                <w:szCs w:val="20"/>
                <w:color w:val="auto"/>
              </w:rPr>
            </w:pPr>
            <w:r>
              <w:rPr>
                <w:rFonts w:ascii="Arial" w:cs="Arial" w:eastAsia="Arial" w:hAnsi="Arial"/>
                <w:sz w:val="18"/>
                <w:szCs w:val="18"/>
                <w:color w:val="0000FF"/>
              </w:rPr>
              <w:t>1.00</w:t>
            </w:r>
            <w:r>
              <w:rPr>
                <w:rFonts w:ascii="Arial" w:cs="Arial" w:eastAsia="Arial" w:hAnsi="Arial"/>
                <w:sz w:val="18"/>
                <w:szCs w:val="18"/>
                <w:color w:val="000000"/>
              </w:rPr>
              <w:t>:1.00</w:t>
            </w:r>
          </w:p>
        </w:tc>
        <w:tc>
          <w:tcPr>
            <w:tcW w:w="1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line="196" w:lineRule="exact"/>
              <w:rPr>
                <w:sz w:val="20"/>
                <w:szCs w:val="20"/>
                <w:color w:val="auto"/>
              </w:rPr>
            </w:pPr>
            <w:r>
              <w:rPr>
                <w:rFonts w:ascii="Arial" w:cs="Arial" w:eastAsia="Arial" w:hAnsi="Arial"/>
                <w:sz w:val="18"/>
                <w:szCs w:val="18"/>
                <w:color w:val="FF0000"/>
                <w:strike w:val="1"/>
                <w:w w:val="79"/>
              </w:rPr>
              <w:t>1.75</w:t>
            </w:r>
          </w:p>
        </w:tc>
        <w:tc>
          <w:tcPr>
            <w:tcW w:w="800" w:type="dxa"/>
            <w:vAlign w:val="bottom"/>
            <w:tcBorders>
              <w:right w:val="single" w:sz="8" w:color="auto"/>
            </w:tcBorders>
            <w:gridSpan w:val="2"/>
          </w:tcPr>
          <w:p>
            <w:pPr>
              <w:jc w:val="right"/>
              <w:ind w:right="320"/>
              <w:spacing w:after="0" w:line="196" w:lineRule="exact"/>
              <w:rPr>
                <w:sz w:val="20"/>
                <w:szCs w:val="20"/>
                <w:color w:val="auto"/>
              </w:rPr>
            </w:pPr>
            <w:r>
              <w:rPr>
                <w:rFonts w:ascii="Arial" w:cs="Arial" w:eastAsia="Arial" w:hAnsi="Arial"/>
                <w:sz w:val="18"/>
                <w:szCs w:val="18"/>
                <w:color w:val="0000FF"/>
                <w:w w:val="90"/>
              </w:rPr>
              <w:t>1.25</w:t>
            </w:r>
            <w:r>
              <w:rPr>
                <w:rFonts w:ascii="Arial" w:cs="Arial" w:eastAsia="Arial" w:hAnsi="Arial"/>
                <w:sz w:val="18"/>
                <w:szCs w:val="18"/>
                <w:color w:val="000000"/>
                <w:w w:val="90"/>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0.75</w:t>
            </w:r>
          </w:p>
        </w:tc>
        <w:tc>
          <w:tcPr>
            <w:tcW w:w="1140" w:type="dxa"/>
            <w:vAlign w:val="bottom"/>
            <w:tcBorders>
              <w:right w:val="single" w:sz="8" w:color="auto"/>
            </w:tcBorders>
            <w:gridSpan w:val="2"/>
          </w:tcPr>
          <w:p>
            <w:pPr>
              <w:jc w:val="right"/>
              <w:ind w:right="680"/>
              <w:spacing w:after="0" w:line="196" w:lineRule="exact"/>
              <w:rPr>
                <w:sz w:val="20"/>
                <w:szCs w:val="20"/>
                <w:color w:val="auto"/>
              </w:rPr>
            </w:pPr>
            <w:r>
              <w:rPr>
                <w:rFonts w:ascii="Arial" w:cs="Arial" w:eastAsia="Arial" w:hAnsi="Arial"/>
                <w:sz w:val="18"/>
                <w:szCs w:val="18"/>
                <w:color w:val="0000FF"/>
                <w:w w:val="86"/>
              </w:rPr>
              <w:t>0.25</w:t>
            </w:r>
            <w:r>
              <w:rPr>
                <w:rFonts w:ascii="Arial" w:cs="Arial" w:eastAsia="Arial" w:hAnsi="Arial"/>
                <w:sz w:val="18"/>
                <w:szCs w:val="18"/>
                <w:color w:val="000000"/>
                <w:w w:val="86"/>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1.75</w:t>
            </w:r>
          </w:p>
        </w:tc>
        <w:tc>
          <w:tcPr>
            <w:tcW w:w="1240" w:type="dxa"/>
            <w:vAlign w:val="bottom"/>
            <w:tcBorders>
              <w:right w:val="single" w:sz="8" w:color="auto"/>
            </w:tcBorders>
            <w:gridSpan w:val="2"/>
          </w:tcPr>
          <w:p>
            <w:pPr>
              <w:jc w:val="right"/>
              <w:ind w:right="760"/>
              <w:spacing w:after="0" w:line="196" w:lineRule="exact"/>
              <w:rPr>
                <w:sz w:val="20"/>
                <w:szCs w:val="20"/>
                <w:color w:val="auto"/>
              </w:rPr>
            </w:pPr>
            <w:r>
              <w:rPr>
                <w:rFonts w:ascii="Arial" w:cs="Arial" w:eastAsia="Arial" w:hAnsi="Arial"/>
                <w:sz w:val="18"/>
                <w:szCs w:val="18"/>
                <w:color w:val="0000FF"/>
                <w:w w:val="90"/>
              </w:rPr>
              <w:t>1.25</w:t>
            </w:r>
            <w:r>
              <w:rPr>
                <w:rFonts w:ascii="Arial" w:cs="Arial" w:eastAsia="Arial" w:hAnsi="Arial"/>
                <w:sz w:val="18"/>
                <w:szCs w:val="18"/>
                <w:color w:val="000000"/>
                <w:w w:val="90"/>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FF0000"/>
                <w:strike w:val="1"/>
              </w:rPr>
              <w:t>0.30</w:t>
            </w:r>
          </w:p>
        </w:tc>
        <w:tc>
          <w:tcPr>
            <w:tcW w:w="1240" w:type="dxa"/>
            <w:vAlign w:val="bottom"/>
            <w:tcBorders>
              <w:right w:val="single" w:sz="8" w:color="auto"/>
            </w:tcBorders>
            <w:gridSpan w:val="2"/>
          </w:tcPr>
          <w:p>
            <w:pPr>
              <w:jc w:val="right"/>
              <w:ind w:right="780"/>
              <w:spacing w:after="0" w:line="196" w:lineRule="exact"/>
              <w:rPr>
                <w:sz w:val="20"/>
                <w:szCs w:val="20"/>
                <w:color w:val="auto"/>
              </w:rPr>
            </w:pPr>
            <w:r>
              <w:rPr>
                <w:rFonts w:ascii="Arial" w:cs="Arial" w:eastAsia="Arial" w:hAnsi="Arial"/>
                <w:sz w:val="18"/>
                <w:szCs w:val="18"/>
                <w:color w:val="0000FF"/>
                <w:w w:val="86"/>
              </w:rPr>
              <w:t>0.20</w:t>
            </w:r>
            <w:r>
              <w:rPr>
                <w:rFonts w:ascii="Arial" w:cs="Arial" w:eastAsia="Arial" w:hAnsi="Arial"/>
                <w:sz w:val="18"/>
                <w:szCs w:val="18"/>
                <w:color w:val="000000"/>
                <w:w w:val="86"/>
              </w:rPr>
              <w:t>%</w:t>
            </w: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Any increase or decrease in the Applicable Margin resulting from a change in the Consolidated </w:t>
      </w:r>
      <w:r>
        <w:rPr>
          <w:rFonts w:ascii="Arial" w:cs="Arial" w:eastAsia="Arial" w:hAnsi="Arial"/>
          <w:sz w:val="18"/>
          <w:szCs w:val="18"/>
          <w:color w:val="FF0000"/>
          <w:strike w:val="1"/>
        </w:rPr>
        <w:t>First Lien Secured</w:t>
      </w:r>
      <w:r>
        <w:rPr>
          <w:rFonts w:ascii="Arial" w:cs="Arial" w:eastAsia="Arial" w:hAnsi="Arial"/>
          <w:sz w:val="18"/>
          <w:szCs w:val="18"/>
          <w:u w:val="single" w:color="auto"/>
          <w:color w:val="0000FF"/>
        </w:rPr>
        <w:t>Total</w:t>
      </w:r>
      <w:r>
        <w:rPr>
          <w:rFonts w:ascii="Arial" w:cs="Arial" w:eastAsia="Arial" w:hAnsi="Arial"/>
          <w:sz w:val="18"/>
          <w:szCs w:val="18"/>
          <w:color w:val="auto"/>
        </w:rPr>
        <w:t xml:space="preserve"> Debt to Consolidated EBITDA Ratio </w:t>
      </w:r>
      <w:r>
        <w:rPr>
          <w:rFonts w:ascii="Arial" w:cs="Arial" w:eastAsia="Arial" w:hAnsi="Arial"/>
          <w:sz w:val="18"/>
          <w:szCs w:val="18"/>
          <w:color w:val="FF0000"/>
          <w:strike w:val="1"/>
        </w:rPr>
        <w:t>or Consolidated EBITDA for the most recent Test Period</w:t>
      </w:r>
      <w:r>
        <w:rPr>
          <w:rFonts w:ascii="Arial" w:cs="Arial" w:eastAsia="Arial" w:hAnsi="Arial"/>
          <w:sz w:val="18"/>
          <w:szCs w:val="18"/>
          <w:color w:val="auto"/>
        </w:rPr>
        <w:t xml:space="preserve">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the foregoing, (a) the Applicable Margin in respect of any Class of Extended Revolving Credit Commitments or any Extended Term Loans or Revolving Credit Loans made pursuant to any Extended Revolving Credit Commitments shall be the applicable percentages per annum set forth in the relevant Extension Amendment, (b) the Applicable Margin in respect of any Class of Incremental Loans, shall be the applicable percentages per annum set forth in the relevant Joinder Agreement and (c) the Applicable Margin in respect of any Class of Replacement Term Loans shall be the applicable percentages per annum set forth in the relevant agreement.</w:t>
      </w:r>
    </w:p>
    <w:p>
      <w:pPr>
        <w:spacing w:after="0" w:line="18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 xml:space="preserve">Notwithstanding anything to the contrary contained above in this definition or elsewhere in this Agreement, if it is subsequently determined that any Consolidated </w:t>
      </w:r>
      <w:r>
        <w:rPr>
          <w:rFonts w:ascii="Arial" w:cs="Arial" w:eastAsia="Arial" w:hAnsi="Arial"/>
          <w:sz w:val="17"/>
          <w:szCs w:val="17"/>
          <w:color w:val="FF0000"/>
          <w:strike w:val="1"/>
        </w:rPr>
        <w:t>First Lien Secured</w:t>
      </w:r>
      <w:r>
        <w:rPr>
          <w:rFonts w:ascii="Arial" w:cs="Arial" w:eastAsia="Arial" w:hAnsi="Arial"/>
          <w:sz w:val="17"/>
          <w:szCs w:val="17"/>
          <w:u w:val="single" w:color="auto"/>
          <w:color w:val="0000FF"/>
        </w:rPr>
        <w:t>Total</w:t>
      </w:r>
      <w:r>
        <w:rPr>
          <w:rFonts w:ascii="Arial" w:cs="Arial" w:eastAsia="Arial" w:hAnsi="Arial"/>
          <w:sz w:val="17"/>
          <w:szCs w:val="17"/>
          <w:color w:val="auto"/>
        </w:rPr>
        <w:t xml:space="preserve"> Debt to Consolidated EBITDA Ratio </w:t>
      </w:r>
      <w:r>
        <w:rPr>
          <w:rFonts w:ascii="Arial" w:cs="Arial" w:eastAsia="Arial" w:hAnsi="Arial"/>
          <w:sz w:val="17"/>
          <w:szCs w:val="17"/>
          <w:color w:val="FF0000"/>
          <w:strike w:val="1"/>
        </w:rPr>
        <w:t>or calculation of Consolidated EBITDA</w:t>
      </w:r>
      <w:r>
        <w:rPr>
          <w:rFonts w:ascii="Arial" w:cs="Arial" w:eastAsia="Arial" w:hAnsi="Arial"/>
          <w:sz w:val="17"/>
          <w:szCs w:val="17"/>
          <w:color w:val="auto"/>
        </w:rPr>
        <w:t xml:space="preserve"> set forth in any Compliance Certificate delivered to the Administrative Agent is inaccurate for any reason and the result thereof is that the Lenders received interest or fees for any period based on an Applicable Margin that is less than that which would have been applicable had such Consolidated </w:t>
      </w:r>
      <w:r>
        <w:rPr>
          <w:rFonts w:ascii="Arial" w:cs="Arial" w:eastAsia="Arial" w:hAnsi="Arial"/>
          <w:sz w:val="17"/>
          <w:szCs w:val="17"/>
          <w:color w:val="FF0000"/>
          <w:strike w:val="1"/>
        </w:rPr>
        <w:t>First Lien Secured</w:t>
      </w:r>
      <w:r>
        <w:rPr>
          <w:rFonts w:ascii="Arial" w:cs="Arial" w:eastAsia="Arial" w:hAnsi="Arial"/>
          <w:sz w:val="17"/>
          <w:szCs w:val="17"/>
          <w:u w:val="single" w:color="auto"/>
          <w:color w:val="0000FF"/>
        </w:rPr>
        <w:t>Total</w:t>
      </w:r>
      <w:r>
        <w:rPr>
          <w:rFonts w:ascii="Arial" w:cs="Arial" w:eastAsia="Arial" w:hAnsi="Arial"/>
          <w:sz w:val="17"/>
          <w:szCs w:val="17"/>
          <w:color w:val="auto"/>
        </w:rPr>
        <w:t xml:space="preserve"> Debt to Consolidated EBITDA Ratio </w:t>
      </w:r>
      <w:r>
        <w:rPr>
          <w:rFonts w:ascii="Arial" w:cs="Arial" w:eastAsia="Arial" w:hAnsi="Arial"/>
          <w:sz w:val="17"/>
          <w:szCs w:val="17"/>
          <w:color w:val="FF0000"/>
          <w:strike w:val="1"/>
        </w:rPr>
        <w:t>or Consolidated EBITDA</w:t>
      </w:r>
      <w:r>
        <w:rPr>
          <w:rFonts w:ascii="Arial" w:cs="Arial" w:eastAsia="Arial" w:hAnsi="Arial"/>
          <w:sz w:val="17"/>
          <w:szCs w:val="17"/>
          <w:color w:val="auto"/>
        </w:rPr>
        <w:t xml:space="preserve"> been accurately determined, then, for all purposes of this Agreement, the Applicable Margin for any day occurring within the period covered by such Compliance Certificate shall retroactively be deemed to be the relevant percentage as based upon the accurately determined Consolidated </w:t>
      </w:r>
      <w:r>
        <w:rPr>
          <w:rFonts w:ascii="Arial" w:cs="Arial" w:eastAsia="Arial" w:hAnsi="Arial"/>
          <w:sz w:val="17"/>
          <w:szCs w:val="17"/>
          <w:color w:val="FF0000"/>
          <w:strike w:val="1"/>
        </w:rPr>
        <w:t>First Lien Secured</w:t>
      </w:r>
      <w:r>
        <w:rPr>
          <w:rFonts w:ascii="Arial" w:cs="Arial" w:eastAsia="Arial" w:hAnsi="Arial"/>
          <w:sz w:val="17"/>
          <w:szCs w:val="17"/>
          <w:u w:val="single" w:color="auto"/>
          <w:color w:val="0000FF"/>
        </w:rPr>
        <w:t>Total</w:t>
      </w:r>
      <w:r>
        <w:rPr>
          <w:rFonts w:ascii="Arial" w:cs="Arial" w:eastAsia="Arial" w:hAnsi="Arial"/>
          <w:sz w:val="17"/>
          <w:szCs w:val="17"/>
          <w:color w:val="auto"/>
        </w:rPr>
        <w:t xml:space="preserve"> Debt to Consolidated EBITDA Ratio </w:t>
      </w:r>
      <w:r>
        <w:rPr>
          <w:rFonts w:ascii="Arial" w:cs="Arial" w:eastAsia="Arial" w:hAnsi="Arial"/>
          <w:sz w:val="17"/>
          <w:szCs w:val="17"/>
          <w:color w:val="FF0000"/>
          <w:strike w:val="1"/>
        </w:rPr>
        <w:t>or Consolidated EBITDA</w:t>
      </w:r>
      <w:r>
        <w:rPr>
          <w:rFonts w:ascii="Arial" w:cs="Arial" w:eastAsia="Arial" w:hAnsi="Arial"/>
          <w:sz w:val="17"/>
          <w:szCs w:val="17"/>
          <w:color w:val="auto"/>
        </w:rPr>
        <w:t xml:space="preserve"> for such period, and any shortfall in the interest or fees theretofore paid by the Borrower for the relevant period as a result of the miscalculation of such Consolidated </w:t>
      </w:r>
      <w:r>
        <w:rPr>
          <w:rFonts w:ascii="Arial" w:cs="Arial" w:eastAsia="Arial" w:hAnsi="Arial"/>
          <w:sz w:val="17"/>
          <w:szCs w:val="17"/>
          <w:color w:val="FF0000"/>
          <w:strike w:val="1"/>
        </w:rPr>
        <w:t>First Lien</w:t>
      </w:r>
      <w:r>
        <w:rPr>
          <w:rFonts w:ascii="Arial" w:cs="Arial" w:eastAsia="Arial" w:hAnsi="Arial"/>
          <w:sz w:val="17"/>
          <w:szCs w:val="17"/>
          <w:color w:val="auto"/>
        </w:rPr>
        <w:t xml:space="preserve"> </w:t>
      </w:r>
      <w:r>
        <w:rPr>
          <w:rFonts w:ascii="Arial" w:cs="Arial" w:eastAsia="Arial" w:hAnsi="Arial"/>
          <w:sz w:val="17"/>
          <w:szCs w:val="17"/>
          <w:color w:val="FF0000"/>
          <w:strike w:val="1"/>
        </w:rPr>
        <w:t>Secured</w:t>
      </w:r>
      <w:r>
        <w:rPr>
          <w:rFonts w:ascii="Arial" w:cs="Arial" w:eastAsia="Arial" w:hAnsi="Arial"/>
          <w:sz w:val="17"/>
          <w:szCs w:val="17"/>
          <w:u w:val="single" w:color="auto"/>
          <w:color w:val="0000FF"/>
        </w:rPr>
        <w:t>Total</w:t>
      </w:r>
      <w:r>
        <w:rPr>
          <w:rFonts w:ascii="Arial" w:cs="Arial" w:eastAsia="Arial" w:hAnsi="Arial"/>
          <w:sz w:val="17"/>
          <w:szCs w:val="17"/>
          <w:color w:val="FF0000"/>
        </w:rPr>
        <w:t xml:space="preserve"> </w:t>
      </w:r>
      <w:r>
        <w:rPr>
          <w:rFonts w:ascii="Arial" w:cs="Arial" w:eastAsia="Arial" w:hAnsi="Arial"/>
          <w:sz w:val="17"/>
          <w:szCs w:val="17"/>
          <w:color w:val="000000"/>
        </w:rPr>
        <w:t>Debt to Consolidated EBITDA Ratio</w:t>
      </w:r>
      <w:r>
        <w:rPr>
          <w:rFonts w:ascii="Arial" w:cs="Arial" w:eastAsia="Arial" w:hAnsi="Arial"/>
          <w:sz w:val="17"/>
          <w:szCs w:val="17"/>
          <w:color w:val="FF0000"/>
        </w:rPr>
        <w:t xml:space="preserve"> </w:t>
      </w:r>
      <w:r>
        <w:rPr>
          <w:rFonts w:ascii="Arial" w:cs="Arial" w:eastAsia="Arial" w:hAnsi="Arial"/>
          <w:sz w:val="17"/>
          <w:szCs w:val="17"/>
          <w:color w:val="FF0000"/>
          <w:strike w:val="1"/>
        </w:rPr>
        <w:t>or Consolidated EBITDA</w:t>
      </w:r>
      <w:r>
        <w:rPr>
          <w:rFonts w:ascii="Arial" w:cs="Arial" w:eastAsia="Arial" w:hAnsi="Arial"/>
          <w:sz w:val="17"/>
          <w:szCs w:val="17"/>
          <w:color w:val="FF0000"/>
        </w:rPr>
        <w:t xml:space="preserve"> </w:t>
      </w:r>
      <w:r>
        <w:rPr>
          <w:rFonts w:ascii="Arial" w:cs="Arial" w:eastAsia="Arial" w:hAnsi="Arial"/>
          <w:sz w:val="17"/>
          <w:szCs w:val="17"/>
          <w:color w:val="000000"/>
        </w:rPr>
        <w:t>shall be deemed to be (and shall be) due and payable, at the time the interest</w:t>
      </w:r>
      <w:r>
        <w:rPr>
          <w:rFonts w:ascii="Arial" w:cs="Arial" w:eastAsia="Arial" w:hAnsi="Arial"/>
          <w:sz w:val="17"/>
          <w:szCs w:val="17"/>
          <w:color w:val="FF0000"/>
        </w:rPr>
        <w:t xml:space="preserve"> </w:t>
      </w:r>
      <w:r>
        <w:rPr>
          <w:rFonts w:ascii="Arial" w:cs="Arial" w:eastAsia="Arial" w:hAnsi="Arial"/>
          <w:sz w:val="17"/>
          <w:szCs w:val="17"/>
          <w:color w:val="000000"/>
        </w:rPr>
        <w:t xml:space="preserve">or fees for such period were required to be paid;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notwithstanding the foregoing, so long as an Event of Default described in </w:t>
      </w:r>
      <w:r>
        <w:rPr>
          <w:rFonts w:ascii="Arial" w:cs="Arial" w:eastAsia="Arial" w:hAnsi="Arial"/>
          <w:sz w:val="17"/>
          <w:szCs w:val="17"/>
          <w:u w:val="single" w:color="auto"/>
          <w:color w:val="000000"/>
        </w:rPr>
        <w:t>Section 11.5</w:t>
      </w:r>
      <w:r>
        <w:rPr>
          <w:rFonts w:ascii="Arial" w:cs="Arial" w:eastAsia="Arial" w:hAnsi="Arial"/>
          <w:sz w:val="17"/>
          <w:szCs w:val="17"/>
          <w:color w:val="000000"/>
        </w:rPr>
        <w:t xml:space="preserve"> has not occurred with respect to the Borrower, such shortfall shall be due and payable within five Business Days following the written demand thereof by the Administrative Agent and no Default shall be deemed to have occurred as a result of such non-payment until the expiration of such five Business Day period. In addition, at the option of the Required Lenders, at any time during which the Borrower shall have failed to deliver any of the Section 9.1 Financials by the applicable date required under </w:t>
      </w:r>
      <w:r>
        <w:rPr>
          <w:rFonts w:ascii="Arial" w:cs="Arial" w:eastAsia="Arial" w:hAnsi="Arial"/>
          <w:sz w:val="17"/>
          <w:szCs w:val="17"/>
          <w:u w:val="single" w:color="auto"/>
          <w:color w:val="000000"/>
        </w:rPr>
        <w:t>Section 9.1</w:t>
      </w:r>
      <w:r>
        <w:rPr>
          <w:rFonts w:ascii="Arial" w:cs="Arial" w:eastAsia="Arial" w:hAnsi="Arial"/>
          <w:sz w:val="17"/>
          <w:szCs w:val="17"/>
          <w:color w:val="000000"/>
        </w:rPr>
        <w:t xml:space="preserve">, then the Consolidated </w:t>
      </w:r>
      <w:r>
        <w:rPr>
          <w:rFonts w:ascii="Arial" w:cs="Arial" w:eastAsia="Arial" w:hAnsi="Arial"/>
          <w:sz w:val="17"/>
          <w:szCs w:val="17"/>
          <w:color w:val="FF0000"/>
          <w:strike w:val="1"/>
        </w:rPr>
        <w:t>First Lien Secured</w:t>
      </w:r>
      <w:r>
        <w:rPr>
          <w:rFonts w:ascii="Arial" w:cs="Arial" w:eastAsia="Arial" w:hAnsi="Arial"/>
          <w:sz w:val="17"/>
          <w:szCs w:val="17"/>
          <w:u w:val="single" w:color="auto"/>
          <w:color w:val="0000FF"/>
        </w:rPr>
        <w:t>Total</w:t>
      </w:r>
      <w:r>
        <w:rPr>
          <w:rFonts w:ascii="Arial" w:cs="Arial" w:eastAsia="Arial" w:hAnsi="Arial"/>
          <w:sz w:val="17"/>
          <w:szCs w:val="17"/>
          <w:color w:val="000000"/>
        </w:rPr>
        <w:t xml:space="preserve"> Debt to Consolidated EBITDA Ratio shall be deemed to be in pricing level I </w:t>
      </w:r>
      <w:r>
        <w:rPr>
          <w:rFonts w:ascii="Arial" w:cs="Arial" w:eastAsia="Arial" w:hAnsi="Arial"/>
          <w:sz w:val="17"/>
          <w:szCs w:val="17"/>
          <w:color w:val="FF0000"/>
          <w:strike w:val="1"/>
        </w:rPr>
        <w:t>and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440" w:right="319" w:bottom="1440" w:gutter="0" w:footer="0" w:header="0"/>
        </w:sectPr>
      </w:pPr>
    </w:p>
    <w:bookmarkStart w:id="35" w:name="page36"/>
    <w:bookmarkEnd w:id="35"/>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FF0000"/>
          <w:strike w:val="1"/>
        </w:rPr>
        <w:t>EBITDA for the most recent Test Period shall be deemed to be less than $0</w:t>
      </w:r>
      <w:r>
        <w:rPr>
          <w:rFonts w:ascii="Arial" w:cs="Arial" w:eastAsia="Arial" w:hAnsi="Arial"/>
          <w:sz w:val="18"/>
          <w:szCs w:val="18"/>
          <w:color w:val="FF0000"/>
        </w:rPr>
        <w:t xml:space="preserve"> </w:t>
      </w:r>
      <w:r>
        <w:rPr>
          <w:rFonts w:ascii="Arial" w:cs="Arial" w:eastAsia="Arial" w:hAnsi="Arial"/>
          <w:sz w:val="18"/>
          <w:szCs w:val="18"/>
          <w:color w:val="000000"/>
        </w:rPr>
        <w:t>for the purposes of determining the Applicable Margin (but only for so long as</w:t>
      </w:r>
      <w:r>
        <w:rPr>
          <w:rFonts w:ascii="Arial" w:cs="Arial" w:eastAsia="Arial" w:hAnsi="Arial"/>
          <w:sz w:val="18"/>
          <w:szCs w:val="18"/>
          <w:color w:val="FF0000"/>
        </w:rPr>
        <w:t xml:space="preserve"> </w:t>
      </w:r>
      <w:r>
        <w:rPr>
          <w:rFonts w:ascii="Arial" w:cs="Arial" w:eastAsia="Arial" w:hAnsi="Arial"/>
          <w:sz w:val="18"/>
          <w:szCs w:val="18"/>
          <w:color w:val="000000"/>
        </w:rPr>
        <w:t xml:space="preserve">such failure continues, after which such ratio and pricing level shall be determined based on the then existing Consolidated </w:t>
      </w:r>
      <w:r>
        <w:rPr>
          <w:rFonts w:ascii="Arial" w:cs="Arial" w:eastAsia="Arial" w:hAnsi="Arial"/>
          <w:sz w:val="18"/>
          <w:szCs w:val="18"/>
          <w:color w:val="FF0000"/>
          <w:strike w:val="1"/>
        </w:rPr>
        <w:t>First Lien Secured</w:t>
      </w:r>
      <w:r>
        <w:rPr>
          <w:rFonts w:ascii="Arial" w:cs="Arial" w:eastAsia="Arial" w:hAnsi="Arial"/>
          <w:sz w:val="18"/>
          <w:szCs w:val="18"/>
          <w:u w:val="single" w:color="auto"/>
          <w:color w:val="0000FF"/>
        </w:rPr>
        <w:t>Total</w:t>
      </w:r>
      <w:r>
        <w:rPr>
          <w:rFonts w:ascii="Arial" w:cs="Arial" w:eastAsia="Arial" w:hAnsi="Arial"/>
          <w:sz w:val="18"/>
          <w:szCs w:val="18"/>
          <w:color w:val="000000"/>
        </w:rPr>
        <w:t xml:space="preserve"> Debt to Consolidated EBITDA Ratio </w:t>
      </w:r>
      <w:r>
        <w:rPr>
          <w:rFonts w:ascii="Arial" w:cs="Arial" w:eastAsia="Arial" w:hAnsi="Arial"/>
          <w:sz w:val="18"/>
          <w:szCs w:val="18"/>
          <w:color w:val="FF0000"/>
        </w:rPr>
        <w:t>and Consolidated EBITDA for the most recent Test Period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-79375</wp:posOffset>
            </wp:positionV>
            <wp:extent cx="2705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160"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or managed by (i) a Lender, (ii) an Affiliate of a Lender, or (iii) an entity or an Affiliate of an entity that administers, advises or manages a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w:t>
      </w:r>
    </w:p>
    <w:p>
      <w:pPr>
        <w:spacing w:after="0" w:line="229" w:lineRule="exact"/>
        <w:rPr>
          <w:sz w:val="20"/>
          <w:szCs w:val="20"/>
          <w:color w:val="auto"/>
        </w:rPr>
      </w:pPr>
    </w:p>
    <w:p>
      <w:pPr>
        <w:ind w:left="660" w:right="140" w:firstLine="176"/>
        <w:spacing w:after="0" w:line="277" w:lineRule="auto"/>
        <w:tabs>
          <w:tab w:leader="none" w:pos="1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Leaseback) (each a “</w:t>
      </w:r>
      <w:r>
        <w:rPr>
          <w:rFonts w:ascii="Arial" w:cs="Arial" w:eastAsia="Arial" w:hAnsi="Arial"/>
          <w:sz w:val="18"/>
          <w:szCs w:val="18"/>
          <w:b w:val="1"/>
          <w:bCs w:val="1"/>
          <w:color w:val="auto"/>
        </w:rPr>
        <w:t>disposition</w:t>
      </w:r>
      <w:r>
        <w:rPr>
          <w:rFonts w:ascii="Arial" w:cs="Arial" w:eastAsia="Arial" w:hAnsi="Arial"/>
          <w:sz w:val="18"/>
          <w:szCs w:val="18"/>
          <w:color w:val="auto"/>
        </w:rPr>
        <w:t>”) of Holdings or any Restricted Subsidiary, or</w:t>
      </w:r>
    </w:p>
    <w:p>
      <w:pPr>
        <w:spacing w:after="0" w:line="170" w:lineRule="exact"/>
        <w:rPr>
          <w:rFonts w:ascii="Arial" w:cs="Arial" w:eastAsia="Arial" w:hAnsi="Arial"/>
          <w:sz w:val="18"/>
          <w:szCs w:val="18"/>
          <w:color w:val="auto"/>
        </w:rPr>
      </w:pPr>
    </w:p>
    <w:p>
      <w:pPr>
        <w:ind w:left="660" w:right="560" w:firstLine="176"/>
        <w:spacing w:after="0" w:line="308"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issuance or sale of Equity Interests of any Restricted Subsidiary (other than preferred stock of Restricted Subsidiaries issued in compliance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whether in a single transaction or a series of related transactions, in each case, other than:</w:t>
      </w:r>
    </w:p>
    <w:p>
      <w:pPr>
        <w:spacing w:after="0" w:line="146" w:lineRule="exact"/>
        <w:rPr>
          <w:rFonts w:ascii="Arial" w:cs="Arial" w:eastAsia="Arial" w:hAnsi="Arial"/>
          <w:sz w:val="17"/>
          <w:szCs w:val="17"/>
          <w:color w:val="auto"/>
        </w:rPr>
      </w:pPr>
    </w:p>
    <w:p>
      <w:pPr>
        <w:jc w:val="both"/>
        <w:ind w:left="1300" w:right="140" w:firstLine="652"/>
        <w:spacing w:after="0" w:line="279" w:lineRule="auto"/>
        <w:tabs>
          <w:tab w:leader="none" w:pos="23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 (including the disposition of optical goods to FirstSight);</w:t>
      </w:r>
    </w:p>
    <w:p>
      <w:pPr>
        <w:spacing w:after="0" w:line="171" w:lineRule="exact"/>
        <w:rPr>
          <w:rFonts w:ascii="Arial" w:cs="Arial" w:eastAsia="Arial" w:hAnsi="Arial"/>
          <w:sz w:val="17"/>
          <w:szCs w:val="17"/>
          <w:color w:val="auto"/>
        </w:rPr>
      </w:pPr>
    </w:p>
    <w:p>
      <w:pPr>
        <w:ind w:left="2340" w:hanging="388"/>
        <w:spacing w:after="0"/>
        <w:tabs>
          <w:tab w:leader="none" w:pos="23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disposition of all or substantially all of the assets of Holdings or the Borrower in a manner permitted pursuant to</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jc w:val="both"/>
        <w:ind w:left="1300" w:right="40" w:firstLine="652"/>
        <w:spacing w:after="0" w:line="263" w:lineRule="auto"/>
        <w:tabs>
          <w:tab w:leader="none" w:pos="23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the incurrence of Liens that are permitted to be incurred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making of any Restricted Payment or Permitted Investment (other than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thereof) that is permitted to be made, and is made,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0" w:right="80" w:firstLine="652"/>
        <w:spacing w:after="0" w:line="277" w:lineRule="auto"/>
        <w:tabs>
          <w:tab w:leader="none" w:pos="233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transactions with an aggregate Fair Market Value of less than $</w:t>
      </w:r>
      <w:r>
        <w:rPr>
          <w:rFonts w:ascii="Arial" w:cs="Arial" w:eastAsia="Arial" w:hAnsi="Arial"/>
          <w:sz w:val="18"/>
          <w:szCs w:val="18"/>
          <w:color w:val="FF0000"/>
          <w:strike w:val="1"/>
        </w:rPr>
        <w:t>1,000,000</w:t>
      </w:r>
      <w:r>
        <w:rPr>
          <w:rFonts w:ascii="Arial" w:cs="Arial" w:eastAsia="Arial" w:hAnsi="Arial"/>
          <w:sz w:val="18"/>
          <w:szCs w:val="18"/>
          <w:u w:val="single" w:color="auto"/>
          <w:color w:val="0000FF"/>
        </w:rPr>
        <w:t>10,000,000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right="20" w:firstLine="652"/>
        <w:spacing w:after="0" w:line="286" w:lineRule="auto"/>
        <w:tabs>
          <w:tab w:leader="none" w:pos="23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disposition of property or assets or issuance of securities by (1) a Restricted Subsidiary to Holdings or (2) by Holdings or a Restricted Subsidiary to another Restricted Subsidiary</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auto"/>
        </w:rPr>
        <w:t xml:space="preserve"> </w:t>
      </w:r>
      <w:r>
        <w:rPr>
          <w:rFonts w:ascii="Arial" w:cs="Arial" w:eastAsia="Arial" w:hAnsi="Arial"/>
          <w:sz w:val="17"/>
          <w:szCs w:val="17"/>
          <w:color w:val="FF0000"/>
          <w:strike w:val="1"/>
        </w:rPr>
        <w:t>that no dispositions from Credit Parties to</w:t>
      </w:r>
      <w:r>
        <w:rPr>
          <w:rFonts w:ascii="Arial" w:cs="Arial" w:eastAsia="Arial" w:hAnsi="Arial"/>
          <w:sz w:val="17"/>
          <w:szCs w:val="17"/>
          <w:color w:val="auto"/>
        </w:rPr>
        <w:t xml:space="preserve"> </w:t>
      </w:r>
      <w:r>
        <w:rPr>
          <w:rFonts w:ascii="Arial" w:cs="Arial" w:eastAsia="Arial" w:hAnsi="Arial"/>
          <w:sz w:val="17"/>
          <w:szCs w:val="17"/>
          <w:color w:val="008000"/>
          <w:strike w:val="1"/>
        </w:rPr>
        <w:t>Restricted Subsidiaries</w:t>
      </w:r>
      <w:r>
        <w:rPr>
          <w:rFonts w:ascii="Arial" w:cs="Arial" w:eastAsia="Arial" w:hAnsi="Arial"/>
          <w:sz w:val="17"/>
          <w:szCs w:val="17"/>
          <w:color w:val="auto"/>
        </w:rPr>
        <w:t xml:space="preserve"> </w:t>
      </w:r>
      <w:r>
        <w:rPr>
          <w:rFonts w:ascii="Arial" w:cs="Arial" w:eastAsia="Arial" w:hAnsi="Arial"/>
          <w:sz w:val="17"/>
          <w:szCs w:val="17"/>
          <w:color w:val="008000"/>
          <w:strike w:val="1"/>
        </w:rPr>
        <w:t>that are not</w:t>
      </w:r>
      <w:r>
        <w:rPr>
          <w:rFonts w:ascii="Arial" w:cs="Arial" w:eastAsia="Arial" w:hAnsi="Arial"/>
          <w:sz w:val="17"/>
          <w:szCs w:val="17"/>
          <w:color w:val="008000"/>
        </w:rPr>
        <w:t xml:space="preserve"> </w:t>
      </w:r>
      <w:r>
        <w:rPr>
          <w:rFonts w:ascii="Arial" w:cs="Arial" w:eastAsia="Arial" w:hAnsi="Arial"/>
          <w:sz w:val="17"/>
          <w:szCs w:val="17"/>
          <w:color w:val="FF0000"/>
          <w:strike w:val="1"/>
        </w:rPr>
        <w:t>Credit Parties shall be permitted pursuant to this clause (e) during the Additional Restrictions Period</w:t>
      </w:r>
      <w:r>
        <w:rPr>
          <w:rFonts w:ascii="Arial" w:cs="Arial" w:eastAsia="Arial" w:hAnsi="Arial"/>
          <w:sz w:val="17"/>
          <w:szCs w:val="17"/>
          <w:color w:val="000000"/>
        </w:rPr>
        <w:t>;</w:t>
      </w:r>
    </w:p>
    <w:p>
      <w:pPr>
        <w:spacing w:after="0" w:line="165" w:lineRule="exact"/>
        <w:rPr>
          <w:rFonts w:ascii="Arial" w:cs="Arial" w:eastAsia="Arial" w:hAnsi="Arial"/>
          <w:sz w:val="17"/>
          <w:szCs w:val="17"/>
          <w:color w:val="auto"/>
        </w:rPr>
      </w:pPr>
    </w:p>
    <w:p>
      <w:pPr>
        <w:ind w:left="1300" w:right="240" w:firstLine="652"/>
        <w:spacing w:after="0" w:line="277" w:lineRule="auto"/>
        <w:tabs>
          <w:tab w:leader="none" w:pos="23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or any comparable or successor provision, any exchange of like property (excluding any boot thereon) for use in a Similar Business;</w:t>
      </w:r>
    </w:p>
    <w:p>
      <w:pPr>
        <w:spacing w:after="0" w:line="170" w:lineRule="exact"/>
        <w:rPr>
          <w:rFonts w:ascii="Arial" w:cs="Arial" w:eastAsia="Arial" w:hAnsi="Arial"/>
          <w:sz w:val="18"/>
          <w:szCs w:val="18"/>
          <w:color w:val="auto"/>
        </w:rPr>
      </w:pPr>
    </w:p>
    <w:p>
      <w:pPr>
        <w:ind w:left="1300" w:right="240" w:firstLine="652"/>
        <w:spacing w:after="0" w:line="277" w:lineRule="auto"/>
        <w:tabs>
          <w:tab w:leader="none" w:pos="2338" w:val="left"/>
        </w:tabs>
        <w:numPr>
          <w:ilvl w:val="1"/>
          <w:numId w:val="12"/>
        </w:numPr>
        <w:rPr>
          <w:rFonts w:ascii="Arial" w:cs="Arial" w:eastAsia="Arial" w:hAnsi="Arial"/>
          <w:sz w:val="18"/>
          <w:szCs w:val="18"/>
          <w:color w:val="auto"/>
        </w:rPr>
      </w:pPr>
      <w:r>
        <w:rPr>
          <w:rFonts w:ascii="Arial" w:cs="Arial" w:eastAsia="Arial" w:hAnsi="Arial"/>
          <w:sz w:val="18"/>
          <w:szCs w:val="18"/>
          <w:color w:val="FF0000"/>
          <w:strike w:val="1"/>
        </w:rPr>
        <w:t>except during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any issuance, sale or pledge of Equity Interests in, or Indebtedness, or</w:t>
      </w:r>
      <w:r>
        <w:rPr>
          <w:rFonts w:ascii="Arial" w:cs="Arial" w:eastAsia="Arial" w:hAnsi="Arial"/>
          <w:sz w:val="18"/>
          <w:szCs w:val="18"/>
          <w:color w:val="FF0000"/>
        </w:rPr>
        <w:t xml:space="preserve"> </w:t>
      </w:r>
      <w:r>
        <w:rPr>
          <w:rFonts w:ascii="Arial" w:cs="Arial" w:eastAsia="Arial" w:hAnsi="Arial"/>
          <w:sz w:val="18"/>
          <w:szCs w:val="18"/>
          <w:color w:val="000000"/>
        </w:rPr>
        <w:t>other securities of, an Unrestricted Subsidiary;</w:t>
      </w:r>
    </w:p>
    <w:p>
      <w:pPr>
        <w:spacing w:after="0" w:line="170" w:lineRule="exact"/>
        <w:rPr>
          <w:rFonts w:ascii="Arial" w:cs="Arial" w:eastAsia="Arial" w:hAnsi="Arial"/>
          <w:sz w:val="18"/>
          <w:szCs w:val="18"/>
          <w:color w:val="auto"/>
        </w:rPr>
      </w:pPr>
    </w:p>
    <w:p>
      <w:pPr>
        <w:ind w:left="2340" w:hanging="388"/>
        <w:spacing w:after="0"/>
        <w:tabs>
          <w:tab w:leader="none" w:pos="23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foreclosures, condemnation, casualty or any similar action on assets (including dispositions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1440" w:right="399" w:bottom="1440" w:gutter="0" w:footer="0" w:header="0"/>
        </w:sectPr>
      </w:pPr>
    </w:p>
    <w:bookmarkStart w:id="36" w:name="page37"/>
    <w:bookmarkEnd w:id="36"/>
    <w:p>
      <w:pPr>
        <w:spacing w:after="0" w:line="200" w:lineRule="exact"/>
        <w:rPr>
          <w:sz w:val="20"/>
          <w:szCs w:val="20"/>
          <w:color w:val="auto"/>
        </w:rPr>
      </w:pPr>
    </w:p>
    <w:p>
      <w:pPr>
        <w:spacing w:after="0" w:line="322" w:lineRule="exact"/>
        <w:rPr>
          <w:sz w:val="20"/>
          <w:szCs w:val="20"/>
          <w:color w:val="auto"/>
        </w:rPr>
      </w:pPr>
    </w:p>
    <w:p>
      <w:pPr>
        <w:ind w:left="180" w:firstLine="652"/>
        <w:spacing w:after="0" w:line="277" w:lineRule="auto"/>
        <w:tabs>
          <w:tab w:leader="none" w:pos="1178" w:val="left"/>
        </w:tabs>
        <w:numPr>
          <w:ilvl w:val="0"/>
          <w:numId w:val="13"/>
        </w:numPr>
        <w:rPr>
          <w:rFonts w:ascii="Arial" w:cs="Arial" w:eastAsia="Arial" w:hAnsi="Arial"/>
          <w:sz w:val="18"/>
          <w:szCs w:val="18"/>
          <w:color w:val="auto"/>
        </w:rPr>
      </w:pPr>
      <w:r>
        <w:rPr>
          <w:rFonts w:ascii="Arial" w:cs="Arial" w:eastAsia="Arial" w:hAnsi="Arial"/>
          <w:sz w:val="18"/>
          <w:szCs w:val="18"/>
          <w:color w:val="FF0000"/>
          <w:strike w:val="1"/>
        </w:rPr>
        <w:t>except during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sales of accounts receivable, or participations therein, and related assets in</w:t>
      </w:r>
      <w:r>
        <w:rPr>
          <w:rFonts w:ascii="Arial" w:cs="Arial" w:eastAsia="Arial" w:hAnsi="Arial"/>
          <w:sz w:val="18"/>
          <w:szCs w:val="18"/>
          <w:color w:val="FF0000"/>
        </w:rPr>
        <w:t xml:space="preserve"> </w:t>
      </w:r>
      <w:r>
        <w:rPr>
          <w:rFonts w:ascii="Arial" w:cs="Arial" w:eastAsia="Arial" w:hAnsi="Arial"/>
          <w:sz w:val="18"/>
          <w:szCs w:val="18"/>
          <w:color w:val="000000"/>
        </w:rPr>
        <w:t>connection with any Receivables Facility;</w:t>
      </w:r>
    </w:p>
    <w:p>
      <w:pPr>
        <w:spacing w:after="0" w:line="170" w:lineRule="exact"/>
        <w:rPr>
          <w:rFonts w:ascii="Arial" w:cs="Arial" w:eastAsia="Arial" w:hAnsi="Arial"/>
          <w:sz w:val="18"/>
          <w:szCs w:val="18"/>
          <w:color w:val="auto"/>
        </w:rPr>
      </w:pPr>
    </w:p>
    <w:p>
      <w:pPr>
        <w:ind w:left="180" w:right="440" w:firstLine="652"/>
        <w:spacing w:after="0" w:line="308" w:lineRule="auto"/>
        <w:tabs>
          <w:tab w:leader="none" w:pos="117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financing transaction with respect to property built or acquired by Holdings or any Restricted Subsidiary after the Restatement Effective Date, including Sale Leasebacks and asset securitizations permitted by this Agreement;</w:t>
      </w:r>
    </w:p>
    <w:p>
      <w:pPr>
        <w:spacing w:after="0" w:line="146" w:lineRule="exact"/>
        <w:rPr>
          <w:rFonts w:ascii="Arial" w:cs="Arial" w:eastAsia="Arial" w:hAnsi="Arial"/>
          <w:sz w:val="17"/>
          <w:szCs w:val="17"/>
          <w:color w:val="auto"/>
        </w:rPr>
      </w:pPr>
    </w:p>
    <w:p>
      <w:pPr>
        <w:ind w:left="180" w:right="280" w:firstLine="652"/>
        <w:spacing w:after="0" w:line="257" w:lineRule="auto"/>
        <w:tabs>
          <w:tab w:leader="none" w:pos="12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(1) any surrender or waiver of contractual rights or the settlement, release, or surrender of contractual rights or other litigation claims, (2) the termination or collapse of cost sharing agreements with Holdings or any Subsidiary and the settlement of any crossing payments in connection therewith, or (3) the settlement, discount, write off, forgiveness, or cancellation of any Indebtedness owing by any present or former consultants, directors, officers, or employees of Holdings (or any direct or indirect parent company of Holdings) or any Subsidiary or any of their successors or assigns;</w:t>
      </w:r>
    </w:p>
    <w:p>
      <w:pPr>
        <w:spacing w:after="0" w:line="187" w:lineRule="exact"/>
        <w:rPr>
          <w:rFonts w:ascii="Arial" w:cs="Arial" w:eastAsia="Arial" w:hAnsi="Arial"/>
          <w:sz w:val="18"/>
          <w:szCs w:val="18"/>
          <w:color w:val="auto"/>
        </w:rPr>
      </w:pPr>
    </w:p>
    <w:p>
      <w:pPr>
        <w:ind w:left="180" w:right="220" w:firstLine="652"/>
        <w:spacing w:after="0" w:line="277" w:lineRule="auto"/>
        <w:tabs>
          <w:tab w:leader="none" w:pos="11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disposition or discount of inventory, accounts receivable, or notes receivable in the ordinary course of business or the conversion of accounts receivable to notes receivable;</w:t>
      </w:r>
    </w:p>
    <w:p>
      <w:pPr>
        <w:spacing w:after="0" w:line="170" w:lineRule="exact"/>
        <w:rPr>
          <w:rFonts w:ascii="Arial" w:cs="Arial" w:eastAsia="Arial" w:hAnsi="Arial"/>
          <w:sz w:val="18"/>
          <w:szCs w:val="18"/>
          <w:color w:val="auto"/>
        </w:rPr>
      </w:pPr>
    </w:p>
    <w:p>
      <w:pPr>
        <w:ind w:left="180" w:right="740" w:firstLine="652"/>
        <w:spacing w:after="0" w:line="277" w:lineRule="auto"/>
        <w:tabs>
          <w:tab w:leader="none" w:pos="12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(whether pursuant to franchise agreements or otherwise) in the ordinary course of business;</w:t>
      </w:r>
    </w:p>
    <w:p>
      <w:pPr>
        <w:spacing w:after="0" w:line="170" w:lineRule="exact"/>
        <w:rPr>
          <w:rFonts w:ascii="Arial" w:cs="Arial" w:eastAsia="Arial" w:hAnsi="Arial"/>
          <w:sz w:val="18"/>
          <w:szCs w:val="18"/>
          <w:color w:val="auto"/>
        </w:rPr>
      </w:pPr>
    </w:p>
    <w:p>
      <w:pPr>
        <w:ind w:left="1220" w:hanging="38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unwinding of any Hedging Obligations or obligations in respect of Cash Management Services;</w:t>
      </w:r>
    </w:p>
    <w:p>
      <w:pPr>
        <w:spacing w:after="0" w:line="225" w:lineRule="exact"/>
        <w:rPr>
          <w:rFonts w:ascii="Arial" w:cs="Arial" w:eastAsia="Arial" w:hAnsi="Arial"/>
          <w:sz w:val="18"/>
          <w:szCs w:val="18"/>
          <w:color w:val="auto"/>
        </w:rPr>
      </w:pPr>
    </w:p>
    <w:p>
      <w:pPr>
        <w:ind w:left="180" w:right="460" w:firstLine="652"/>
        <w:spacing w:after="0" w:line="263" w:lineRule="auto"/>
        <w:tabs>
          <w:tab w:leader="none" w:pos="12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83" w:lineRule="exact"/>
        <w:rPr>
          <w:rFonts w:ascii="Arial" w:cs="Arial" w:eastAsia="Arial" w:hAnsi="Arial"/>
          <w:sz w:val="18"/>
          <w:szCs w:val="18"/>
          <w:color w:val="auto"/>
        </w:rPr>
      </w:pPr>
    </w:p>
    <w:p>
      <w:pPr>
        <w:ind w:left="180" w:right="120" w:firstLine="652"/>
        <w:spacing w:after="0" w:line="263" w:lineRule="auto"/>
        <w:tabs>
          <w:tab w:leader="none" w:pos="12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lapse or abandonment of Intellectual Property rights in the ordinary course of business, which in the reasonable business judgment of the Borrower are not material to the conduct of the business of Holdings and the Restricted Subsidiaries taken as a whole;</w:t>
      </w:r>
    </w:p>
    <w:p>
      <w:pPr>
        <w:spacing w:after="0" w:line="183" w:lineRule="exact"/>
        <w:rPr>
          <w:rFonts w:ascii="Arial" w:cs="Arial" w:eastAsia="Arial" w:hAnsi="Arial"/>
          <w:sz w:val="18"/>
          <w:szCs w:val="18"/>
          <w:color w:val="auto"/>
        </w:rPr>
      </w:pPr>
    </w:p>
    <w:p>
      <w:pPr>
        <w:ind w:left="1220" w:hanging="388"/>
        <w:spacing w:after="0"/>
        <w:tabs>
          <w:tab w:leader="none" w:pos="1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issuance of directors’ qualifying shares and shares issued to foreign nationals as required by applicable law;</w:t>
      </w:r>
    </w:p>
    <w:p>
      <w:pPr>
        <w:spacing w:after="0" w:line="236" w:lineRule="exact"/>
        <w:rPr>
          <w:rFonts w:ascii="Arial" w:cs="Arial" w:eastAsia="Arial" w:hAnsi="Arial"/>
          <w:sz w:val="17"/>
          <w:szCs w:val="17"/>
          <w:color w:val="auto"/>
        </w:rPr>
      </w:pPr>
    </w:p>
    <w:p>
      <w:pPr>
        <w:ind w:left="180" w:firstLine="652"/>
        <w:spacing w:after="0" w:line="263" w:lineRule="auto"/>
        <w:tabs>
          <w:tab w:leader="none" w:pos="1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spacing w:after="0" w:line="183" w:lineRule="exact"/>
        <w:rPr>
          <w:rFonts w:ascii="Arial" w:cs="Arial" w:eastAsia="Arial" w:hAnsi="Arial"/>
          <w:sz w:val="18"/>
          <w:szCs w:val="18"/>
          <w:color w:val="auto"/>
        </w:rPr>
      </w:pPr>
    </w:p>
    <w:p>
      <w:pPr>
        <w:ind w:left="180" w:right="240" w:firstLine="652"/>
        <w:spacing w:after="0" w:line="277" w:lineRule="auto"/>
        <w:tabs>
          <w:tab w:leader="none" w:pos="11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leases, assignments, subleases, licenses, or sublicenses, in each case in the ordinary course of business and which do not materially interfere with the business of Holdings and the Restricted Subsidiaries, taken as a whole;</w:t>
      </w:r>
    </w:p>
    <w:p>
      <w:pPr>
        <w:spacing w:after="0" w:line="170" w:lineRule="exact"/>
        <w:rPr>
          <w:rFonts w:ascii="Arial" w:cs="Arial" w:eastAsia="Arial" w:hAnsi="Arial"/>
          <w:sz w:val="18"/>
          <w:szCs w:val="18"/>
          <w:color w:val="auto"/>
        </w:rPr>
      </w:pPr>
    </w:p>
    <w:p>
      <w:pPr>
        <w:ind w:left="1220" w:hanging="388"/>
        <w:spacing w:after="0"/>
        <w:tabs>
          <w:tab w:leader="none" w:pos="1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dispositions of non-core assets acquired in connection with any Permitted Acquisition or Investment permitted hereunder;</w:t>
      </w:r>
    </w:p>
    <w:p>
      <w:pPr>
        <w:spacing w:after="0" w:line="248" w:lineRule="exact"/>
        <w:rPr>
          <w:rFonts w:ascii="Arial" w:cs="Arial" w:eastAsia="Arial" w:hAnsi="Arial"/>
          <w:sz w:val="16"/>
          <w:szCs w:val="16"/>
          <w:color w:val="auto"/>
        </w:rPr>
      </w:pPr>
    </w:p>
    <w:p>
      <w:pPr>
        <w:ind w:left="180" w:right="280" w:firstLine="652"/>
        <w:spacing w:after="0" w:line="263" w:lineRule="auto"/>
        <w:tabs>
          <w:tab w:leader="none" w:pos="12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necessary or reasonably considered advisable by the Borrower to comply with requirements of law at such time, dispositions of (A) any retail location or any eye facility located in California and/or (B) FirstSight or any other Managed Care Subsidiary;</w:t>
      </w:r>
    </w:p>
    <w:p>
      <w:pPr>
        <w:spacing w:after="0" w:line="183" w:lineRule="exact"/>
        <w:rPr>
          <w:rFonts w:ascii="Arial" w:cs="Arial" w:eastAsia="Arial" w:hAnsi="Arial"/>
          <w:sz w:val="18"/>
          <w:szCs w:val="18"/>
          <w:color w:val="auto"/>
        </w:rPr>
      </w:pPr>
    </w:p>
    <w:p>
      <w:pPr>
        <w:ind w:left="1220" w:hanging="38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dispositions pursuant to the Wal-Mart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00"/>
          </w:cols>
          <w:pgMar w:left="1440" w:top="1440" w:right="359" w:bottom="1440" w:gutter="0" w:footer="0" w:header="0"/>
        </w:sectPr>
      </w:pPr>
    </w:p>
    <w:bookmarkStart w:id="37" w:name="page38"/>
    <w:bookmarkEnd w:id="37"/>
    <w:p>
      <w:pPr>
        <w:spacing w:after="0" w:line="200" w:lineRule="exact"/>
        <w:rPr>
          <w:sz w:val="20"/>
          <w:szCs w:val="20"/>
          <w:color w:val="auto"/>
        </w:rPr>
      </w:pPr>
    </w:p>
    <w:p>
      <w:pPr>
        <w:spacing w:after="0" w:line="322" w:lineRule="exact"/>
        <w:rPr>
          <w:sz w:val="20"/>
          <w:szCs w:val="20"/>
          <w:color w:val="auto"/>
        </w:rPr>
      </w:pPr>
    </w:p>
    <w:p>
      <w:pPr>
        <w:ind w:left="1300" w:right="200" w:firstLine="652"/>
        <w:spacing w:after="0" w:line="277" w:lineRule="auto"/>
        <w:tabs>
          <w:tab w:leader="none" w:pos="23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lease or sublease of real property and related office equipment and personal property to health care professionals (or their Affiliates) or a Managed Care Subsidiary in the ordinary course of business.</w:t>
      </w:r>
    </w:p>
    <w:p>
      <w:pPr>
        <w:spacing w:after="0" w:line="166" w:lineRule="exact"/>
        <w:rPr>
          <w:sz w:val="20"/>
          <w:szCs w:val="20"/>
          <w:color w:val="auto"/>
        </w:rPr>
      </w:pPr>
    </w:p>
    <w:p>
      <w:pPr>
        <w:jc w:val="both"/>
        <w:ind w:right="2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 Prepayment Event</w:t>
      </w:r>
      <w:r>
        <w:rPr>
          <w:rFonts w:ascii="Arial" w:cs="Arial" w:eastAsia="Arial" w:hAnsi="Arial"/>
          <w:sz w:val="18"/>
          <w:szCs w:val="18"/>
          <w:color w:val="auto"/>
        </w:rPr>
        <w:t xml:space="preserve">” shall mean any Asset Sale subject to the Reinvestment Period allowed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any Asset Sale Prepayment Event, the Borrower shall not be obligated to make any prepayment otherwise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unless and until the aggregate amount of Net Cash Proceeds from all such Asset Sale Prepayment Events, after giving effect to the reinvestment rights set forth herein, exceeds $</w:t>
      </w:r>
      <w:r>
        <w:rPr>
          <w:rFonts w:ascii="Arial" w:cs="Arial" w:eastAsia="Arial" w:hAnsi="Arial"/>
          <w:sz w:val="18"/>
          <w:szCs w:val="18"/>
          <w:color w:val="FF0000"/>
          <w:strike w:val="1"/>
        </w:rPr>
        <w:t>1,000,000</w:t>
      </w:r>
      <w:r>
        <w:rPr>
          <w:rFonts w:ascii="Arial" w:cs="Arial" w:eastAsia="Arial" w:hAnsi="Arial"/>
          <w:sz w:val="18"/>
          <w:szCs w:val="18"/>
          <w:u w:val="single" w:color="auto"/>
          <w:color w:val="0000FF"/>
        </w:rPr>
        <w:t>10,000,000</w:t>
      </w:r>
      <w:r>
        <w:rPr>
          <w:rFonts w:ascii="Arial" w:cs="Arial" w:eastAsia="Arial" w:hAnsi="Arial"/>
          <w:sz w:val="18"/>
          <w:szCs w:val="18"/>
          <w:color w:val="auto"/>
        </w:rPr>
        <w:t xml:space="preserve"> (the “</w:t>
      </w:r>
      <w:r>
        <w:rPr>
          <w:rFonts w:ascii="Arial" w:cs="Arial" w:eastAsia="Arial" w:hAnsi="Arial"/>
          <w:sz w:val="18"/>
          <w:szCs w:val="18"/>
          <w:b w:val="1"/>
          <w:bCs w:val="1"/>
          <w:color w:val="auto"/>
        </w:rPr>
        <w:t>Prepayment Trigger</w:t>
      </w:r>
      <w:r>
        <w:rPr>
          <w:rFonts w:ascii="Arial" w:cs="Arial" w:eastAsia="Arial" w:hAnsi="Arial"/>
          <w:sz w:val="18"/>
          <w:szCs w:val="18"/>
          <w:color w:val="auto"/>
        </w:rPr>
        <w:t>”) in any fiscal year of Holdings, but then from all such Net Cash Proceeds (excluding amounts below the Prepayment Trigger).</w:t>
      </w:r>
    </w:p>
    <w:p>
      <w:pPr>
        <w:spacing w:after="0" w:line="183"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xml:space="preserve">” shall mean an assignment and acceptance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or such other form as may be approved by the Administrative Agent.</w:t>
      </w:r>
    </w:p>
    <w:p>
      <w:pPr>
        <w:spacing w:after="0" w:line="162"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Authorized Officer</w:t>
      </w:r>
      <w:r>
        <w:rPr>
          <w:rFonts w:ascii="Arial" w:cs="Arial" w:eastAsia="Arial" w:hAnsi="Arial"/>
          <w:sz w:val="16"/>
          <w:szCs w:val="16"/>
          <w:color w:val="auto"/>
        </w:rPr>
        <w:t>” shall mean, with respect to any Person, any individual holding the position of chairman of the board (if an officer), the Chief Executive Officer, President, the Chief Financial Officer, the Treasurer, the Controller, the Vice President-Finance, a Senior Vice President, a Director, a Manager, or any other senior officer or agent with express authority to act on behalf of such Person designated as such by the board of directors or other managing authority of such Person</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solely for purposes of notices given pursuant to Section 2 or Section 5.1, any other officer or employee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shall mean an amount equal to the excess, if any, of (i) the amount of the Total Revolving Credit Commitment over (ii) the sum of the aggregate principal amount of (a) all Revolving Credit Loans (but not Swingline Loans) then outstanding and (b) the aggregate Letters of Credit Outstanding at such time.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Available Tenor</w:t>
      </w:r>
      <w:r>
        <w:rPr>
          <w:rFonts w:ascii="Arial" w:cs="Arial" w:eastAsia="Arial" w:hAnsi="Arial"/>
          <w:sz w:val="17"/>
          <w:szCs w:val="17"/>
          <w:u w:val="single" w:color="auto"/>
          <w:color w:val="008000"/>
        </w:rPr>
        <w:t>” shall mean, as of any date of determination</w:t>
      </w:r>
      <w:r>
        <w:rPr>
          <w:rFonts w:ascii="Arial" w:cs="Arial" w:eastAsia="Arial" w:hAnsi="Arial"/>
          <w:sz w:val="17"/>
          <w:szCs w:val="17"/>
          <w:u w:val="single" w:color="auto"/>
          <w:color w:val="0000FF"/>
        </w:rPr>
        <w:t xml:space="preserve">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58"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New Store Consolidated EBITDA</w:t>
      </w:r>
      <w:r>
        <w:rPr>
          <w:rFonts w:ascii="Arial" w:cs="Arial" w:eastAsia="Arial" w:hAnsi="Arial"/>
          <w:sz w:val="18"/>
          <w:szCs w:val="18"/>
          <w:color w:val="auto"/>
        </w:rPr>
        <w:t>” shall mean, with respect to any Test Period, the numeric average of the amount of Consolidated EBITDA of Stores (excluding New Stores) in their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through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fiscal quarters after opening of such Stores (e.g., the sum of each such Store’s Consolidated EBITDA for such four quarter period, divided by the number of applicable Stores).</w:t>
      </w:r>
    </w:p>
    <w:p>
      <w:pPr>
        <w:spacing w:after="0" w:line="200"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shall mean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shall mean,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31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Benchmark</w:t>
      </w:r>
      <w:r>
        <w:rPr>
          <w:rFonts w:ascii="Arial" w:cs="Arial" w:eastAsia="Arial" w:hAnsi="Arial"/>
          <w:sz w:val="18"/>
          <w:szCs w:val="18"/>
          <w:u w:val="single" w:color="auto"/>
          <w:color w:val="0000FF"/>
        </w:rPr>
        <w:t>” shall mean, initially, LIBOR; provided that if a replacement of the Benchmark has occurred pursuant to Section 2.10(d)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Benchmark Replacement</w:t>
      </w:r>
      <w:r>
        <w:rPr>
          <w:rFonts w:ascii="Arial" w:cs="Arial" w:eastAsia="Arial" w:hAnsi="Arial"/>
          <w:sz w:val="18"/>
          <w:szCs w:val="18"/>
          <w:u w:val="single" w:color="auto"/>
          <w:color w:val="0000FF"/>
        </w:rPr>
        <w:t>” shall mean:</w:t>
      </w:r>
    </w:p>
    <w:p>
      <w:pPr>
        <w:spacing w:after="0" w:line="243"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u w:val="single" w:color="auto"/>
          <w:color w:val="0000FF"/>
        </w:rPr>
        <w:t>(1)</w:t>
      </w:r>
      <w:r>
        <w:rPr>
          <w:sz w:val="20"/>
          <w:szCs w:val="20"/>
          <w:color w:val="auto"/>
        </w:rPr>
        <w:tab/>
      </w:r>
      <w:r>
        <w:rPr>
          <w:rFonts w:ascii="Arial" w:cs="Arial" w:eastAsia="Arial" w:hAnsi="Arial"/>
          <w:sz w:val="16"/>
          <w:szCs w:val="16"/>
          <w:u w:val="single" w:color="auto"/>
          <w:color w:val="0000FF"/>
        </w:rPr>
        <w:t>For purposes of Section 2.10(d)(i), the first alternative set forth below that can be determined by the Administrative Agent:</w:t>
      </w:r>
    </w:p>
    <w:p>
      <w:pPr>
        <w:spacing w:after="0" w:line="239"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u w:val="single" w:color="auto"/>
          <w:color w:val="0000FF"/>
        </w:rPr>
        <w:t>(a)</w:t>
      </w:r>
      <w:r>
        <w:rPr>
          <w:sz w:val="20"/>
          <w:szCs w:val="20"/>
          <w:color w:val="auto"/>
        </w:rPr>
        <w:tab/>
      </w:r>
      <w:r>
        <w:rPr>
          <w:rFonts w:ascii="Arial" w:cs="Arial" w:eastAsia="Arial" w:hAnsi="Arial"/>
          <w:sz w:val="16"/>
          <w:szCs w:val="16"/>
          <w:u w:val="single" w:color="auto"/>
          <w:color w:val="0000FF"/>
        </w:rPr>
        <w:t>the sum of: (i) Term SOFR and (ii) 0.11448% (11.448 basis points) for an Available Tenor of one-month’s duration, 0.26161%</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0000FF"/>
        </w:rPr>
        <w:t>(26.161 basis points) for an Available Tenor of three-months’ duration, 0.42826% (42.826 basis points) for an Available Tenor of six-</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0000FF"/>
        </w:rPr>
        <w:t>months’ duration, and 0.71513% (71.513 basis points) for an Available Tenor of twelve-months’ duration, or</w:t>
      </w:r>
    </w:p>
    <w:p>
      <w:pPr>
        <w:spacing w:after="0" w:line="238"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u w:val="single" w:color="auto"/>
          <w:color w:val="0000FF"/>
        </w:rPr>
        <w:t>(b)</w:t>
      </w:r>
      <w:r>
        <w:rPr>
          <w:sz w:val="20"/>
          <w:szCs w:val="20"/>
          <w:color w:val="auto"/>
        </w:rPr>
        <w:tab/>
      </w:r>
      <w:r>
        <w:rPr>
          <w:rFonts w:ascii="Arial" w:cs="Arial" w:eastAsia="Arial" w:hAnsi="Arial"/>
          <w:sz w:val="16"/>
          <w:szCs w:val="16"/>
          <w:u w:val="single" w:color="auto"/>
          <w:color w:val="0000FF"/>
        </w:rPr>
        <w:t>the sum of: (i) Daily Simple SOFR and (ii) 0.26161% (26.161 basis points);</w:t>
      </w:r>
    </w:p>
    <w:p>
      <w:pPr>
        <w:spacing w:after="0" w:line="239" w:lineRule="exact"/>
        <w:rPr>
          <w:sz w:val="20"/>
          <w:szCs w:val="20"/>
          <w:color w:val="auto"/>
        </w:rPr>
      </w:pPr>
    </w:p>
    <w:p>
      <w:pPr>
        <w:ind w:right="200" w:firstLine="648"/>
        <w:spacing w:after="0" w:line="314" w:lineRule="auto"/>
        <w:rPr>
          <w:sz w:val="20"/>
          <w:szCs w:val="20"/>
          <w:color w:val="auto"/>
        </w:rPr>
      </w:pPr>
      <w:r>
        <w:rPr>
          <w:rFonts w:ascii="Arial" w:cs="Arial" w:eastAsia="Arial" w:hAnsi="Arial"/>
          <w:sz w:val="16"/>
          <w:szCs w:val="16"/>
          <w:u w:val="single" w:color="auto"/>
          <w:color w:val="0000FF"/>
        </w:rPr>
        <w:t>provided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60" w:lineRule="exact"/>
        <w:rPr>
          <w:sz w:val="20"/>
          <w:szCs w:val="20"/>
          <w:color w:val="auto"/>
        </w:rPr>
      </w:pPr>
    </w:p>
    <w:p>
      <w:pPr>
        <w:jc w:val="both"/>
        <w:ind w:left="340" w:right="60" w:hanging="8"/>
        <w:spacing w:after="0" w:line="275" w:lineRule="auto"/>
        <w:tabs>
          <w:tab w:leader="none" w:pos="730" w:val="left"/>
        </w:tabs>
        <w:numPr>
          <w:ilvl w:val="0"/>
          <w:numId w:val="1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purposes of Section 2.10(d)(ii),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8"/>
          <w:szCs w:val="18"/>
          <w:u w:val="single" w:color="auto"/>
          <w:color w:val="0000FF"/>
        </w:rPr>
        <w:t>provided that, if the Benchmark Replacement as determined pursuant to clause (1) or (2) above would be less than 0.00%, the Benchmark Replacement will be deemed to be 0.00% for the purposes of this Agreement and the other Credit Documents.</w:t>
      </w:r>
    </w:p>
    <w:p>
      <w:pPr>
        <w:spacing w:after="0" w:line="170"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8"/>
          <w:szCs w:val="18"/>
          <w:u w:val="single" w:color="auto"/>
          <w:color w:val="0000FF"/>
        </w:rPr>
        <w:t>Any Benchmark Replacement shall be applied in a manner consistent with market practice; provided that to the extent such market practice is not administratively feasible for the Administrative Agent, such Benchmark Replacement shall be applied in a manner as otherwise reasonably determined by the Administrative Agent.</w:t>
      </w:r>
    </w:p>
    <w:p>
      <w:pPr>
        <w:spacing w:after="0" w:line="179" w:lineRule="exact"/>
        <w:rPr>
          <w:sz w:val="20"/>
          <w:szCs w:val="20"/>
          <w:color w:val="auto"/>
        </w:rPr>
      </w:pPr>
    </w:p>
    <w:p>
      <w:pPr>
        <w:ind w:right="180" w:firstLine="648"/>
        <w:spacing w:after="0" w:line="288"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Benchmark Replacement Conforming Changes</w:t>
      </w:r>
      <w:r>
        <w:rPr>
          <w:rFonts w:ascii="Arial" w:cs="Arial" w:eastAsia="Arial" w:hAnsi="Arial"/>
          <w:sz w:val="17"/>
          <w:szCs w:val="17"/>
          <w:u w:val="single" w:color="auto"/>
          <w:color w:val="0000FF"/>
        </w:rPr>
        <w:t xml:space="preserve">” shall mean, with respect to any Benchmark Replacement, any technical, administrative or operational changes (including </w:t>
      </w:r>
      <w:r>
        <w:rPr>
          <w:rFonts w:ascii="Arial" w:cs="Arial" w:eastAsia="Arial" w:hAnsi="Arial"/>
          <w:sz w:val="17"/>
          <w:szCs w:val="17"/>
          <w:u w:val="single" w:color="auto"/>
          <w:color w:val="008000"/>
        </w:rPr>
        <w:t>changes to the definition of</w:t>
      </w:r>
      <w:r>
        <w:rPr>
          <w:rFonts w:ascii="Arial" w:cs="Arial" w:eastAsia="Arial" w:hAnsi="Arial"/>
          <w:sz w:val="17"/>
          <w:szCs w:val="17"/>
          <w:u w:val="single" w:color="auto"/>
          <w:color w:val="0000FF"/>
        </w:rPr>
        <w:t xml:space="preserve"> “ABR,” the definition of “Business Day,” the definition of “Interest Period,” </w:t>
      </w:r>
      <w:r>
        <w:rPr>
          <w:rFonts w:ascii="Arial" w:cs="Arial" w:eastAsia="Arial" w:hAnsi="Arial"/>
          <w:sz w:val="17"/>
          <w:szCs w:val="17"/>
          <w:u w:val="single" w:color="auto"/>
          <w:color w:val="008000"/>
        </w:rPr>
        <w:t>timing and</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frequency of determining rates and making payments of interest</w:t>
      </w:r>
      <w:r>
        <w:rPr>
          <w:rFonts w:ascii="Arial" w:cs="Arial" w:eastAsia="Arial" w:hAnsi="Arial"/>
          <w:sz w:val="17"/>
          <w:szCs w:val="17"/>
          <w:u w:val="single" w:color="auto"/>
          <w:color w:val="0000FF"/>
        </w:rPr>
        <w:t>, timing of borrowing requests or prepayment, conversion or continuation notices, the</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FF"/>
        </w:rPr>
        <w:t xml:space="preserve">applicability and length of lookback periods, the applicability of breakage provisions, and other technical, administrative or operational matters) that the Administrative Agent decides may be appropriate to reflect the adoption and implementation of such Benchmark Replacement </w:t>
      </w:r>
      <w:r>
        <w:rPr>
          <w:rFonts w:ascii="Arial" w:cs="Arial" w:eastAsia="Arial" w:hAnsi="Arial"/>
          <w:sz w:val="17"/>
          <w:szCs w:val="17"/>
          <w:u w:val="single" w:color="auto"/>
          <w:color w:val="008000"/>
        </w:rPr>
        <w:t>and to permit the</w:t>
      </w:r>
      <w:r>
        <w:rPr>
          <w:rFonts w:ascii="Arial" w:cs="Arial" w:eastAsia="Arial" w:hAnsi="Arial"/>
          <w:sz w:val="17"/>
          <w:szCs w:val="17"/>
          <w:u w:val="single" w:color="auto"/>
          <w:color w:val="0000FF"/>
        </w:rPr>
        <w:t xml:space="preserve"> </w:t>
      </w:r>
      <w:r>
        <w:rPr>
          <w:rFonts w:ascii="Arial" w:cs="Arial" w:eastAsia="Arial" w:hAnsi="Arial"/>
          <w:sz w:val="17"/>
          <w:szCs w:val="17"/>
          <w:u w:val="single" w:color="auto"/>
          <w:color w:val="008000"/>
        </w:rPr>
        <w:t xml:space="preserve">administration thereof by the Administrative Agent in a manner substantially consistent with market practice (or, if the Administrative Agent </w:t>
      </w:r>
      <w:r>
        <w:rPr>
          <w:rFonts w:ascii="Arial" w:cs="Arial" w:eastAsia="Arial" w:hAnsi="Arial"/>
          <w:sz w:val="17"/>
          <w:szCs w:val="17"/>
          <w:u w:val="single" w:color="auto"/>
          <w:color w:val="0000FF"/>
        </w:rPr>
        <w:t>decides</w:t>
      </w:r>
      <w:r>
        <w:rPr>
          <w:rFonts w:ascii="Arial" w:cs="Arial" w:eastAsia="Arial" w:hAnsi="Arial"/>
          <w:sz w:val="17"/>
          <w:szCs w:val="17"/>
          <w:u w:val="single" w:color="auto"/>
          <w:color w:val="008000"/>
        </w:rPr>
        <w:t xml:space="preserve"> that adoption of any portion of such market practice is not administratively feasible or </w:t>
      </w:r>
      <w:r>
        <w:rPr>
          <w:rFonts w:ascii="Arial" w:cs="Arial" w:eastAsia="Arial" w:hAnsi="Arial"/>
          <w:sz w:val="17"/>
          <w:szCs w:val="17"/>
          <w:u w:val="single" w:color="auto"/>
          <w:color w:val="0000FF"/>
        </w:rPr>
        <w:t>if the Administrative Agent determines</w:t>
      </w:r>
      <w:r>
        <w:rPr>
          <w:rFonts w:ascii="Arial" w:cs="Arial" w:eastAsia="Arial" w:hAnsi="Arial"/>
          <w:sz w:val="17"/>
          <w:szCs w:val="17"/>
          <w:u w:val="single" w:color="auto"/>
          <w:color w:val="008000"/>
        </w:rPr>
        <w:t xml:space="preserve"> that no market practice for the administration of such </w:t>
      </w:r>
      <w:r>
        <w:rPr>
          <w:rFonts w:ascii="Arial" w:cs="Arial" w:eastAsia="Arial" w:hAnsi="Arial"/>
          <w:sz w:val="17"/>
          <w:szCs w:val="17"/>
          <w:u w:val="single" w:color="auto"/>
          <w:color w:val="0000FF"/>
        </w:rPr>
        <w:t>Benchmark Replacement</w:t>
      </w:r>
      <w:r>
        <w:rPr>
          <w:rFonts w:ascii="Arial" w:cs="Arial" w:eastAsia="Arial" w:hAnsi="Arial"/>
          <w:sz w:val="17"/>
          <w:szCs w:val="17"/>
          <w:u w:val="single" w:color="auto"/>
          <w:color w:val="008000"/>
        </w:rPr>
        <w:t xml:space="preserve"> exists, in such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33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u w:val="single" w:color="auto"/>
          <w:color w:val="008000"/>
        </w:rPr>
        <w:t xml:space="preserve">other manner of administration as the Administrative Agent </w:t>
      </w:r>
      <w:r>
        <w:rPr>
          <w:rFonts w:ascii="Arial" w:cs="Arial" w:eastAsia="Arial" w:hAnsi="Arial"/>
          <w:sz w:val="18"/>
          <w:szCs w:val="18"/>
          <w:u w:val="single" w:color="auto"/>
          <w:color w:val="0000FF"/>
        </w:rPr>
        <w:t>decides is reasonably necessary in connection with the administration of this Agreement and</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the other Credit Documents).</w:t>
      </w:r>
    </w:p>
    <w:p>
      <w:pPr>
        <w:spacing w:after="0" w:line="166" w:lineRule="exact"/>
        <w:rPr>
          <w:sz w:val="20"/>
          <w:szCs w:val="20"/>
          <w:color w:val="auto"/>
        </w:rPr>
      </w:pPr>
    </w:p>
    <w:p>
      <w:pPr>
        <w:ind w:right="80" w:firstLine="648"/>
        <w:spacing w:after="0" w:line="315"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Benchmark Transition Event</w:t>
      </w:r>
      <w:r>
        <w:rPr>
          <w:rFonts w:ascii="Arial" w:cs="Arial" w:eastAsia="Arial" w:hAnsi="Arial"/>
          <w:sz w:val="16"/>
          <w:szCs w:val="16"/>
          <w:u w:val="single" w:color="auto"/>
          <w:color w:val="008000"/>
        </w:rPr>
        <w:t>” means, with respect to any</w:t>
      </w:r>
      <w:r>
        <w:rPr>
          <w:rFonts w:ascii="Arial" w:cs="Arial" w:eastAsia="Arial" w:hAnsi="Arial"/>
          <w:sz w:val="16"/>
          <w:szCs w:val="16"/>
          <w:u w:val="single" w:color="auto"/>
          <w:color w:val="0000FF"/>
        </w:rPr>
        <w:t xml:space="preserve">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w:t>
      </w:r>
      <w:r>
        <w:rPr>
          <w:rFonts w:ascii="Arial" w:cs="Arial" w:eastAsia="Arial" w:hAnsi="Arial"/>
          <w:sz w:val="16"/>
          <w:szCs w:val="16"/>
          <w:u w:val="single" w:color="auto"/>
          <w:color w:val="008000"/>
        </w:rPr>
        <w:t>made available, or used for determining the interest</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rate of loans</w:t>
      </w:r>
      <w:r>
        <w:rPr>
          <w:rFonts w:ascii="Arial" w:cs="Arial" w:eastAsia="Arial" w:hAnsi="Arial"/>
          <w:sz w:val="16"/>
          <w:szCs w:val="16"/>
          <w:u w:val="single" w:color="auto"/>
          <w:color w:val="0000FF"/>
        </w:rPr>
        <w:t>, or shall or will otherwise cease, provided that, at the time of such statement or publication, there is no successor administrator that is</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satisfactory to the Administrative Agent, that will continue to provide any representative tenors of such Benchmark after such specific date.</w:t>
      </w:r>
    </w:p>
    <w:p>
      <w:pPr>
        <w:spacing w:after="0" w:line="386"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shall mean a certification regarding beneficial ownership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shall mean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Benefited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(i) Loans of the same Class and Type, made, converted, or continued on the same date and, in the case of LIBOR Loans, as to which a single Interest Period is in effect, or (ii) a Swingline Loan.</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excluding Saturday, Sunday, and any other day on which banking institutions in New York City are authorized by law or other governmental actions to close, and, if such day relates to any interest rate settings as to a LIBOR Loan, any fundings, disbursements, settlements, and payments in respect of any such LIBOR Loan, or any other dealings in Dollars to be carried out pursuant to this Agreement in respect of any such LIBOR Loan, such day shall be a day on which dealings in deposits in Dollars are conducted by and between banks in the applicable London interbank market.</w:t>
      </w:r>
    </w:p>
    <w:p>
      <w:pPr>
        <w:spacing w:after="0" w:line="183"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all leases of any Person that are or would be characterized as operating leases in accordance with GAAP immediately prior to December 31, 2013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 and (ii) all leases for Stores shall be accounted for as operating leases for purposes of this Agreement.</w:t>
      </w:r>
    </w:p>
    <w:p>
      <w:pPr>
        <w:spacing w:after="0" w:line="173"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Capital Markets Prepayment Event</w:t>
      </w:r>
      <w:r>
        <w:rPr>
          <w:rFonts w:ascii="Arial" w:cs="Arial" w:eastAsia="Arial" w:hAnsi="Arial"/>
          <w:sz w:val="18"/>
          <w:szCs w:val="18"/>
          <w:color w:val="FF0000"/>
          <w:strike w:val="1"/>
        </w:rPr>
        <w:t>” means any of the following during the Additional Restrictions Period (i) issuance of Equity Interests of the Parent Entity or Holdings or (ii) any issuance of Permitted Convertible Indebtedness or other Indebtedness of the Parent Entity or any issuance of Permitted Other Indebtedness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40" w:name="page41"/>
    <w:bookmarkEnd w:id="40"/>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Holdings or any of its Restricted Subsidiaries (other than, for the avoidance of doubt, Indebtedness issued pursuant to Section 2.14).</w:t>
      </w:r>
    </w:p>
    <w:p>
      <w:pPr>
        <w:spacing w:after="0" w:line="221"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187"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 Obligation</w:t>
      </w:r>
      <w:r>
        <w:rPr>
          <w:rFonts w:ascii="Arial" w:cs="Arial" w:eastAsia="Arial" w:hAnsi="Arial"/>
          <w:sz w:val="17"/>
          <w:szCs w:val="17"/>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obligations of any Person that are or would be characterized as operating lease obligations in accordance with GAAP immediately prior to December 31, 2013 (whether or not such operating lease obligations were in effect on such date) shall continue to be accounted for as operating lease obligations (and not as Capitalized Lease Obligations) for purposes of this Agreement regardless of any change in GAAP following the date that would otherwise require such obligations to be recharacterized as Capitalized Lease Obligations.</w:t>
      </w:r>
    </w:p>
    <w:p>
      <w:pPr>
        <w:spacing w:after="0" w:line="173"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Collateralize</w:t>
      </w:r>
      <w:r>
        <w:rPr>
          <w:rFonts w:ascii="Arial" w:cs="Arial" w:eastAsia="Arial" w:hAnsi="Arial"/>
          <w:sz w:val="16"/>
          <w:szCs w:val="16"/>
          <w:color w:val="auto"/>
        </w:rPr>
        <w:t>” shall mean to pledge and deposit with or deliver to the Administrative Agent, for the benefit of one or more of the Letter of Credit Issuer or the Lenders, as collateral for L/C Obligations or obligations of the Lenders to fund participations in respect of L/C Obligations, cash or deposit account balances or, if the Administrative Agent and the Letter of Credit Issuer shall agree in their sole discretion, other credit support.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shall mean:</w:t>
      </w:r>
    </w:p>
    <w:p>
      <w:pPr>
        <w:spacing w:after="0" w:line="229" w:lineRule="exact"/>
        <w:rPr>
          <w:sz w:val="20"/>
          <w:szCs w:val="20"/>
          <w:color w:val="auto"/>
        </w:rPr>
      </w:pPr>
    </w:p>
    <w:p>
      <w:pPr>
        <w:ind w:left="1180" w:hanging="34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Dollars,</w:t>
      </w:r>
    </w:p>
    <w:p>
      <w:pPr>
        <w:spacing w:after="0" w:line="225" w:lineRule="exact"/>
        <w:rPr>
          <w:rFonts w:ascii="Arial" w:cs="Arial" w:eastAsia="Arial" w:hAnsi="Arial"/>
          <w:sz w:val="18"/>
          <w:szCs w:val="18"/>
          <w:color w:val="auto"/>
        </w:rPr>
      </w:pPr>
    </w:p>
    <w:p>
      <w:pPr>
        <w:ind w:left="660" w:right="340" w:firstLine="176"/>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Euro, Pounds Sterling, Canadian Dollars, or any national currency of any Participating Member State in the European Union or (b) local currencies held from time to time in the ordinary course of business,</w:t>
      </w:r>
    </w:p>
    <w:p>
      <w:pPr>
        <w:spacing w:after="0" w:line="170" w:lineRule="exact"/>
        <w:rPr>
          <w:rFonts w:ascii="Arial" w:cs="Arial" w:eastAsia="Arial" w:hAnsi="Arial"/>
          <w:sz w:val="18"/>
          <w:szCs w:val="18"/>
          <w:color w:val="auto"/>
        </w:rPr>
      </w:pPr>
    </w:p>
    <w:p>
      <w:pPr>
        <w:jc w:val="both"/>
        <w:ind w:left="660" w:right="60" w:firstLine="176"/>
        <w:spacing w:after="0" w:line="286" w:lineRule="auto"/>
        <w:tabs>
          <w:tab w:leader="none" w:pos="129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24 months or less from the date of acquisition,</w:t>
      </w:r>
    </w:p>
    <w:p>
      <w:pPr>
        <w:spacing w:after="0" w:line="165" w:lineRule="exact"/>
        <w:rPr>
          <w:rFonts w:ascii="Arial" w:cs="Arial" w:eastAsia="Arial" w:hAnsi="Arial"/>
          <w:sz w:val="17"/>
          <w:szCs w:val="17"/>
          <w:color w:val="auto"/>
        </w:rPr>
      </w:pPr>
    </w:p>
    <w:p>
      <w:pPr>
        <w:ind w:left="660" w:firstLine="176"/>
        <w:spacing w:after="0" w:line="259"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$250,000,000 in the case of U.S. banks and $100,000,000 (or the Dollar Equivalent as of the date of determination) in the case of foreign banks,</w:t>
      </w:r>
    </w:p>
    <w:p>
      <w:pPr>
        <w:spacing w:after="0" w:line="186" w:lineRule="exact"/>
        <w:rPr>
          <w:rFonts w:ascii="Arial" w:cs="Arial" w:eastAsia="Arial" w:hAnsi="Arial"/>
          <w:sz w:val="18"/>
          <w:szCs w:val="18"/>
          <w:color w:val="auto"/>
        </w:rPr>
      </w:pPr>
    </w:p>
    <w:p>
      <w:pPr>
        <w:ind w:left="660" w:right="660" w:firstLine="176"/>
        <w:spacing w:after="0" w:line="277" w:lineRule="auto"/>
        <w:tabs>
          <w:tab w:leader="none" w:pos="12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repurchase obligations for underlying securities of the types described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entered into with any financial institution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left="660" w:right="440" w:firstLine="176"/>
        <w:spacing w:after="0" w:line="277"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and in each case maturing within 24 months after the date of creation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322" w:lineRule="exact"/>
        <w:rPr>
          <w:sz w:val="20"/>
          <w:szCs w:val="20"/>
          <w:color w:val="auto"/>
        </w:rPr>
      </w:pPr>
    </w:p>
    <w:p>
      <w:pPr>
        <w:ind w:left="1320" w:hanging="484"/>
        <w:spacing w:after="0"/>
        <w:tabs>
          <w:tab w:leader="none" w:pos="1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marketable short-term money market and similar securities having a rating of at least P-2 or A-2 from either Moody’s or S&amp;P,</w:t>
      </w:r>
    </w:p>
    <w:p>
      <w:pPr>
        <w:spacing w:after="0" w:line="34" w:lineRule="exact"/>
        <w:rPr>
          <w:rFonts w:ascii="Arial" w:cs="Arial" w:eastAsia="Arial" w:hAnsi="Arial"/>
          <w:sz w:val="17"/>
          <w:szCs w:val="17"/>
          <w:color w:val="auto"/>
        </w:rPr>
      </w:pPr>
    </w:p>
    <w:p>
      <w:pPr>
        <w:ind w:left="660" w:right="80"/>
        <w:spacing w:after="0" w:line="260" w:lineRule="auto"/>
        <w:rPr>
          <w:rFonts w:ascii="Arial" w:cs="Arial" w:eastAsia="Arial" w:hAnsi="Arial"/>
          <w:sz w:val="17"/>
          <w:szCs w:val="17"/>
          <w:color w:val="auto"/>
        </w:rPr>
      </w:pPr>
      <w:r>
        <w:rPr>
          <w:rFonts w:ascii="Arial" w:cs="Arial" w:eastAsia="Arial" w:hAnsi="Arial"/>
          <w:sz w:val="18"/>
          <w:szCs w:val="18"/>
          <w:color w:val="auto"/>
        </w:rPr>
        <w:t>respectively (or, if at any time neither Moody’s nor S&amp;P shall be rating such obligations, an equivalent rating from another nationally recognized ratings agency) and in each case maturing within 24 months after the date of creation or acquisition thereof,</w:t>
      </w:r>
    </w:p>
    <w:p>
      <w:pPr>
        <w:spacing w:after="0" w:line="185" w:lineRule="exact"/>
        <w:rPr>
          <w:rFonts w:ascii="Arial" w:cs="Arial" w:eastAsia="Arial" w:hAnsi="Arial"/>
          <w:sz w:val="17"/>
          <w:szCs w:val="17"/>
          <w:color w:val="auto"/>
        </w:rPr>
      </w:pPr>
    </w:p>
    <w:p>
      <w:pPr>
        <w:ind w:left="660" w:right="20" w:firstLine="176"/>
        <w:spacing w:after="0" w:line="263"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one of the two highest rating categories obtainable from either Moody’s or S&amp;P with maturities of 24 months or less from the date of acquisition,</w:t>
      </w:r>
    </w:p>
    <w:p>
      <w:pPr>
        <w:spacing w:after="0" w:line="183" w:lineRule="exact"/>
        <w:rPr>
          <w:rFonts w:ascii="Arial" w:cs="Arial" w:eastAsia="Arial" w:hAnsi="Arial"/>
          <w:sz w:val="18"/>
          <w:szCs w:val="18"/>
          <w:color w:val="auto"/>
        </w:rPr>
      </w:pPr>
    </w:p>
    <w:p>
      <w:pPr>
        <w:ind w:left="660" w:right="580" w:firstLine="176"/>
        <w:spacing w:after="0" w:line="277"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with maturities of 24 months or less from the date of acquisition,</w:t>
      </w:r>
    </w:p>
    <w:p>
      <w:pPr>
        <w:spacing w:after="0" w:line="170" w:lineRule="exact"/>
        <w:rPr>
          <w:rFonts w:ascii="Arial" w:cs="Arial" w:eastAsia="Arial" w:hAnsi="Arial"/>
          <w:sz w:val="18"/>
          <w:szCs w:val="18"/>
          <w:color w:val="auto"/>
        </w:rPr>
      </w:pPr>
    </w:p>
    <w:p>
      <w:pPr>
        <w:ind w:left="660" w:firstLine="176"/>
        <w:spacing w:after="0" w:line="288" w:lineRule="auto"/>
        <w:tabs>
          <w:tab w:leader="none" w:pos="12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solely with respect to any Foreign Subsidiary: (a) obligations of the national government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(b)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b w:val="1"/>
          <w:bCs w:val="1"/>
          <w:color w:val="auto"/>
        </w:rPr>
        <w:t>Approved Foreign Bank</w:t>
      </w:r>
      <w:r>
        <w:rPr>
          <w:rFonts w:ascii="Arial" w:cs="Arial" w:eastAsia="Arial" w:hAnsi="Arial"/>
          <w:sz w:val="16"/>
          <w:szCs w:val="16"/>
          <w:color w:val="auto"/>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168" w:lineRule="exact"/>
        <w:rPr>
          <w:rFonts w:ascii="Arial" w:cs="Arial" w:eastAsia="Arial" w:hAnsi="Arial"/>
          <w:sz w:val="16"/>
          <w:szCs w:val="16"/>
          <w:color w:val="auto"/>
        </w:rPr>
      </w:pPr>
    </w:p>
    <w:p>
      <w:pPr>
        <w:ind w:left="660" w:right="40" w:firstLine="176"/>
        <w:spacing w:after="0" w:line="263" w:lineRule="auto"/>
        <w:tabs>
          <w:tab w:leader="none" w:pos="13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the case of investments by any Foreign Subsidiary or investments made in a country outside the United States, Cash Equivalents shall also include investments of the type and maturity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 of foreign obligors, which investments have ratings, described in such clauses or equivalent ratings from comparable foreign rating agencies, and</w:t>
      </w:r>
    </w:p>
    <w:p>
      <w:pPr>
        <w:spacing w:after="0" w:line="183" w:lineRule="exact"/>
        <w:rPr>
          <w:rFonts w:ascii="Arial" w:cs="Arial" w:eastAsia="Arial" w:hAnsi="Arial"/>
          <w:sz w:val="18"/>
          <w:szCs w:val="18"/>
          <w:color w:val="auto"/>
        </w:rPr>
      </w:pPr>
    </w:p>
    <w:p>
      <w:pPr>
        <w:ind w:left="1320" w:hanging="48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investment funds investing 90% of their assets in securities of the types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as promptly as practicable and in any event within ten Business Days following the receipt of such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or arrangement to provide Cash Management Services.</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shall mean (i) any Person that, at the time it enters into a Cash Management Agreement, is an Agent or a Lender or an Affiliate of an Agent or a Lender or (ii) with respect to any Cash Management Agreement entered into prior to the Restatement Effective Date, any Person that is a Lender or an Affiliate of a Lender on the Restatement Effective Date.</w:t>
      </w:r>
    </w:p>
    <w:p>
      <w:pPr>
        <w:spacing w:after="0" w:line="17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Services</w:t>
      </w:r>
      <w:r>
        <w:rPr>
          <w:rFonts w:ascii="Arial" w:cs="Arial" w:eastAsia="Arial" w:hAnsi="Arial"/>
          <w:sz w:val="18"/>
          <w:szCs w:val="18"/>
          <w:color w:val="auto"/>
        </w:rPr>
        <w:t>” shall mean any one or more of the following types of services or facilities: (i) commercial credit cards, merchant card services, purchase or debit cards, including non-card e-payables services, or electronic funds transfer services, (ii) treasury management services (including controlled disbursement, overdraft automatic clearing house fund transfer services, return items, and interstate depository network services)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1440" w:right="399" w:bottom="1440" w:gutter="0" w:footer="0" w:header="0"/>
        </w:sectPr>
      </w:pPr>
    </w:p>
    <w:bookmarkStart w:id="42" w:name="page43"/>
    <w:bookmarkEnd w:id="42"/>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any other demand deposit or operating account relationships or other cash management services, including pursuant to any Cash Management Agreements.</w:t>
      </w:r>
    </w:p>
    <w:p>
      <w:pPr>
        <w:spacing w:after="0" w:line="24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with respect to any property of any Person, any loss of or damage to, or any condemnation or other taking by a Governmental Authority of, such property for which such Person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any Casualty Event, the Borrower shall not be obligated to make any prepayment otherwise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unless and until the aggregate amount of Net Cash Proceeds from all such Casualty Events, after giving effect to the reinvestment rights set forth herein, exceeds $</w:t>
      </w:r>
      <w:r>
        <w:rPr>
          <w:rFonts w:ascii="Arial" w:cs="Arial" w:eastAsia="Arial" w:hAnsi="Arial"/>
          <w:sz w:val="17"/>
          <w:szCs w:val="17"/>
          <w:color w:val="FF0000"/>
          <w:strike w:val="1"/>
        </w:rPr>
        <w:t>1,000,000</w:t>
      </w:r>
      <w:r>
        <w:rPr>
          <w:rFonts w:ascii="Arial" w:cs="Arial" w:eastAsia="Arial" w:hAnsi="Arial"/>
          <w:sz w:val="17"/>
          <w:szCs w:val="17"/>
          <w:u w:val="single" w:color="auto"/>
          <w:color w:val="0000FF"/>
        </w:rPr>
        <w:t>10,000,000</w:t>
      </w:r>
      <w:r>
        <w:rPr>
          <w:rFonts w:ascii="Arial" w:cs="Arial" w:eastAsia="Arial" w:hAnsi="Arial"/>
          <w:sz w:val="17"/>
          <w:szCs w:val="17"/>
          <w:color w:val="auto"/>
        </w:rPr>
        <w:t xml:space="preserve"> (the “</w:t>
      </w:r>
      <w:r>
        <w:rPr>
          <w:rFonts w:ascii="Arial" w:cs="Arial" w:eastAsia="Arial" w:hAnsi="Arial"/>
          <w:sz w:val="17"/>
          <w:szCs w:val="17"/>
          <w:b w:val="1"/>
          <w:bCs w:val="1"/>
          <w:color w:val="auto"/>
        </w:rPr>
        <w:t>Casualty Prepayment Trigger</w:t>
      </w:r>
      <w:r>
        <w:rPr>
          <w:rFonts w:ascii="Arial" w:cs="Arial" w:eastAsia="Arial" w:hAnsi="Arial"/>
          <w:sz w:val="17"/>
          <w:szCs w:val="17"/>
          <w:color w:val="auto"/>
        </w:rPr>
        <w:t>”) in any fiscal year of Holdings, but then from all such Net Cash Proceeds (excluding amounts below the Casualty Prepayment Trigger).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CFC</w:t>
      </w:r>
      <w:r>
        <w:rPr>
          <w:rFonts w:ascii="Arial" w:cs="Arial" w:eastAsia="Arial" w:hAnsi="Arial"/>
          <w:sz w:val="17"/>
          <w:szCs w:val="17"/>
          <w:color w:val="auto"/>
        </w:rPr>
        <w:t>” shall mean a Subsidiary of the Borrower that is a “controlled foreign corporation” within the meaning of Section 957 of the Code.</w:t>
      </w:r>
    </w:p>
    <w:p>
      <w:pPr>
        <w:spacing w:after="0" w:line="23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shall mean a Domestic Subsidiary of the Borrower substantially all of the assets of which consist of equity or debt of one or more Foreign Subsidiaries that are CFCs.</w:t>
      </w:r>
    </w:p>
    <w:p>
      <w:pPr>
        <w:spacing w:after="0" w:line="16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shall mean (i) the adoption of any law, treaty, order, policy, rule, or regulation after the Restatement Effective Date, (ii) any change in any law, treaty, order, policy, rule, or regulation or in the administration, implementation,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w:t>
      </w:r>
    </w:p>
    <w:p>
      <w:pPr>
        <w:spacing w:after="0" w:line="17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and be deemed to have occurred if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the Permitted Holders have, at such time, the right or the ability by voting power, contract, or otherwise to elect or designate for election at least a majority of the board of directors of Holdings.</w:t>
      </w:r>
    </w:p>
    <w:p>
      <w:pPr>
        <w:spacing w:after="0" w:line="18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(i) when used in reference to any Loan or Borrowing, shall refer to whether such Loan, or the Loans comprising such Borrowing, are Revolving Credit Loans, Term A Loans, New Term Loans (of each Series), Extended Term Loans (of the same Extension Series), Replacement Term Loans (of the same Series), Extended Revolving Credit Loans (of the same Extension Series), or Swingline Loans and (ii) when used in reference to any Commitment, refers to whether such Commitment is a Revolving Credit Commitment, an Extended Revolving Credit Commitment (of the same Extension Series), a Term A Loan Commitment or a New Term Loan Commitment.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March 13,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pledged or mortgaged or purported to be pledged or mortgaged pursuant to the Security Documents, excluding in all events Excluded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440" w:right="359" w:bottom="1440" w:gutter="0" w:footer="0" w:header="0"/>
        </w:sectPr>
      </w:pPr>
    </w:p>
    <w:bookmarkStart w:id="43" w:name="page44"/>
    <w:bookmarkEnd w:id="43"/>
    <w:p>
      <w:pPr>
        <w:spacing w:after="0" w:line="200" w:lineRule="exact"/>
        <w:rPr>
          <w:sz w:val="20"/>
          <w:szCs w:val="20"/>
          <w:color w:val="auto"/>
        </w:rPr>
      </w:pPr>
    </w:p>
    <w:p>
      <w:pPr>
        <w:spacing w:after="0" w:line="318"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shall mean Bank of America, N.A., as collateral agent under the Security Documents, or any successor collateral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any Affiliate or designee of Bank of America, N.A. may act as the Collateral Agent under any Credit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matters relating to the Original Credit Agreement or periods prior to the Restatement Effective Date, such term shall refer to the Former Agent.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 Rate</w:t>
      </w:r>
      <w:r>
        <w:rPr>
          <w:rFonts w:ascii="Arial" w:cs="Arial" w:eastAsia="Arial" w:hAnsi="Arial"/>
          <w:sz w:val="18"/>
          <w:szCs w:val="18"/>
          <w:color w:val="auto"/>
        </w:rPr>
        <w:t>” shall mean the rate per annum for Commitment Fees determined in accordance with the definition of “Applicable Margin”.</w:t>
      </w:r>
    </w:p>
    <w:p>
      <w:pPr>
        <w:spacing w:after="0" w:line="162" w:lineRule="exact"/>
        <w:rPr>
          <w:sz w:val="20"/>
          <w:szCs w:val="20"/>
          <w:color w:val="auto"/>
        </w:rPr>
      </w:pPr>
    </w:p>
    <w:p>
      <w:pPr>
        <w:ind w:right="4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Commitments</w:t>
      </w:r>
      <w:r>
        <w:rPr>
          <w:rFonts w:ascii="Arial" w:cs="Arial" w:eastAsia="Arial" w:hAnsi="Arial"/>
          <w:sz w:val="17"/>
          <w:szCs w:val="17"/>
          <w:color w:val="auto"/>
        </w:rPr>
        <w:t>” shall mean, with respect to each Lender (to the extent applicable), such Lender’s Revolving Credit Commitment, Extended Revolving Credit Commitment, New Revolving Credit Commitment, Term A Loan Commitment or New Term Loan Commitment.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of a responsible financial or accounting officer of Holdings or the Borrower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for the applicable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and Amortization Expense</w:t>
      </w:r>
      <w:r>
        <w:rPr>
          <w:rFonts w:ascii="Arial" w:cs="Arial" w:eastAsia="Arial" w:hAnsi="Arial"/>
          <w:sz w:val="18"/>
          <w:szCs w:val="18"/>
          <w:color w:val="auto"/>
        </w:rPr>
        <w:t>” shall mean with respect to any Person for any period, the total amount of depreciation and amortization expense, including the amortization of deferred financing fees or costs, debt issuance costs, commissions, fees, and expenses, capitalized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EBITDA</w:t>
      </w:r>
      <w:r>
        <w:rPr>
          <w:rFonts w:ascii="Arial" w:cs="Arial" w:eastAsia="Arial" w:hAnsi="Arial"/>
          <w:sz w:val="16"/>
          <w:szCs w:val="16"/>
          <w:color w:val="auto"/>
        </w:rPr>
        <w:t>” shall mean, with respect to any Person for any period, the Consolidated Net Income of such Person for such period:</w:t>
      </w:r>
    </w:p>
    <w:p>
      <w:pPr>
        <w:spacing w:after="0" w:line="252" w:lineRule="exact"/>
        <w:rPr>
          <w:sz w:val="20"/>
          <w:szCs w:val="20"/>
          <w:color w:val="auto"/>
        </w:rPr>
      </w:pPr>
    </w:p>
    <w:p>
      <w:pPr>
        <w:ind w:left="1180" w:hanging="3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225" w:lineRule="exact"/>
        <w:rPr>
          <w:rFonts w:ascii="Arial" w:cs="Arial" w:eastAsia="Arial" w:hAnsi="Arial"/>
          <w:sz w:val="18"/>
          <w:szCs w:val="18"/>
          <w:color w:val="auto"/>
        </w:rPr>
      </w:pPr>
    </w:p>
    <w:p>
      <w:pPr>
        <w:jc w:val="both"/>
        <w:ind w:left="1300" w:right="520" w:firstLine="652"/>
        <w:spacing w:after="0" w:line="259" w:lineRule="auto"/>
        <w:tabs>
          <w:tab w:leader="none" w:pos="23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300" w:firstLine="652"/>
        <w:spacing w:after="0" w:line="257" w:lineRule="auto"/>
        <w:tabs>
          <w:tab w:leader="none" w:pos="23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to the extent the same were deducted (and not added back) in calculating such Consolidated Net Income, </w:t>
      </w:r>
      <w:r>
        <w:rPr>
          <w:rFonts w:ascii="Arial" w:cs="Arial" w:eastAsia="Arial" w:hAnsi="Arial"/>
          <w:sz w:val="18"/>
          <w:szCs w:val="18"/>
          <w:i w:val="1"/>
          <w:iCs w:val="1"/>
          <w:color w:val="auto"/>
        </w:rPr>
        <w:t>plus</w:t>
      </w:r>
    </w:p>
    <w:p>
      <w:pPr>
        <w:spacing w:after="0" w:line="187" w:lineRule="exact"/>
        <w:rPr>
          <w:rFonts w:ascii="Arial" w:cs="Arial" w:eastAsia="Arial" w:hAnsi="Arial"/>
          <w:sz w:val="18"/>
          <w:szCs w:val="18"/>
          <w:color w:val="auto"/>
        </w:rPr>
      </w:pPr>
    </w:p>
    <w:p>
      <w:pPr>
        <w:ind w:left="1300" w:right="40" w:firstLine="652"/>
        <w:spacing w:after="0" w:line="277" w:lineRule="auto"/>
        <w:tabs>
          <w:tab w:leader="none" w:pos="23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in computing Consolidated Net Income,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440" w:right="379" w:bottom="1440" w:gutter="0" w:footer="0" w:header="0"/>
        </w:sectPr>
      </w:pPr>
    </w:p>
    <w:bookmarkStart w:id="44" w:name="page45"/>
    <w:bookmarkEnd w:id="44"/>
    <w:p>
      <w:pPr>
        <w:spacing w:after="0" w:line="200" w:lineRule="exact"/>
        <w:rPr>
          <w:sz w:val="20"/>
          <w:szCs w:val="20"/>
          <w:color w:val="auto"/>
        </w:rPr>
      </w:pPr>
    </w:p>
    <w:p>
      <w:pPr>
        <w:spacing w:after="0" w:line="322" w:lineRule="exact"/>
        <w:rPr>
          <w:sz w:val="20"/>
          <w:szCs w:val="20"/>
          <w:color w:val="auto"/>
        </w:rPr>
      </w:pPr>
    </w:p>
    <w:p>
      <w:pPr>
        <w:ind w:left="180" w:right="20" w:firstLine="652"/>
        <w:spacing w:after="0" w:line="272" w:lineRule="auto"/>
        <w:tabs>
          <w:tab w:leader="none" w:pos="1218"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Loans hereunder and all Transaction Expenses, (2) such fees, expenses, or charges related to the offering of the Credit Documents and any other credit facilities, and (3) any amendment or other modification of Loans hereunder, or other Indebtedness, and, in each case, deducted (and not added back) in computing Consolidated Net Income,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jc w:val="both"/>
        <w:ind w:left="180" w:right="140" w:firstLine="652"/>
        <w:spacing w:after="0" w:line="301" w:lineRule="auto"/>
        <w:tabs>
          <w:tab w:leader="none" w:pos="1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other non-cash charges, including any write offs, write downs, expenses, losses, or items to the extent the same were deducted (and not added back) in computing Consolidated Net Income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Arial" w:cs="Arial" w:eastAsia="Arial" w:hAnsi="Arial"/>
          <w:sz w:val="16"/>
          <w:szCs w:val="16"/>
          <w:i w:val="1"/>
          <w:iCs w:val="1"/>
          <w:color w:val="auto"/>
        </w:rPr>
        <w:t>plus</w:t>
      </w:r>
    </w:p>
    <w:p>
      <w:pPr>
        <w:spacing w:after="0" w:line="157" w:lineRule="exact"/>
        <w:rPr>
          <w:rFonts w:ascii="Arial" w:cs="Arial" w:eastAsia="Arial" w:hAnsi="Arial"/>
          <w:sz w:val="16"/>
          <w:szCs w:val="16"/>
          <w:color w:val="auto"/>
        </w:rPr>
      </w:pPr>
    </w:p>
    <w:p>
      <w:pPr>
        <w:ind w:left="180" w:firstLine="652"/>
        <w:spacing w:after="0" w:line="263" w:lineRule="auto"/>
        <w:tabs>
          <w:tab w:leader="none" w:pos="11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amount of any minority interest expense consisting of Subsidiary income attributable to minority equity interests of third parties in any non-Wholly Owned Subsidiary deducted (and not added back) in such period in calculating Consolidated Net Income, </w:t>
      </w:r>
      <w:r>
        <w:rPr>
          <w:rFonts w:ascii="Arial" w:cs="Arial" w:eastAsia="Arial" w:hAnsi="Arial"/>
          <w:sz w:val="18"/>
          <w:szCs w:val="18"/>
          <w:i w:val="1"/>
          <w:iCs w:val="1"/>
          <w:color w:val="auto"/>
        </w:rPr>
        <w:t>plus</w:t>
      </w:r>
    </w:p>
    <w:p>
      <w:pPr>
        <w:spacing w:after="0" w:line="183" w:lineRule="exact"/>
        <w:rPr>
          <w:rFonts w:ascii="Arial" w:cs="Arial" w:eastAsia="Arial" w:hAnsi="Arial"/>
          <w:sz w:val="18"/>
          <w:szCs w:val="18"/>
          <w:color w:val="auto"/>
        </w:rPr>
      </w:pPr>
    </w:p>
    <w:p>
      <w:pPr>
        <w:ind w:left="180" w:right="60" w:firstLine="652"/>
        <w:spacing w:after="0" w:line="277" w:lineRule="auto"/>
        <w:tabs>
          <w:tab w:leader="none" w:pos="12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amount of management, monitoring, consulting, and advisory fees (including termination fees) and related indemnities and expenses paid or accrued in such period to the Initial Investors or any of their respective Affiliates,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220" w:hanging="388"/>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80" w:firstLine="652"/>
        <w:spacing w:after="0" w:line="271" w:lineRule="auto"/>
        <w:tabs>
          <w:tab w:leader="none" w:pos="11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amount of reasonably identifiable and factually supportable “run-rate” cost savings, operating expense reductions, and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operating expense reductions, and synergies shall be calculated on a Pro Forma Basis as though such cost savings, operating expense reductions, or synergies had been realized on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increase to Consolidated EBITDA for any period pursuant to this clause (i), clause (q) below, clause (r) below and the definition of “Pro Forma Adjustment” shall not exceed 25% of Consolidated EBITDA for such period (after giving effect to any increase in Consolidated EBITDA pursuant to the definition of “Acquired EBITDA”), </w:t>
      </w:r>
      <w:r>
        <w:rPr>
          <w:rFonts w:ascii="Arial" w:cs="Arial" w:eastAsia="Arial" w:hAnsi="Arial"/>
          <w:sz w:val="17"/>
          <w:szCs w:val="17"/>
          <w:i w:val="1"/>
          <w:iCs w:val="1"/>
          <w:color w:val="auto"/>
        </w:rPr>
        <w:t>plus</w:t>
      </w:r>
    </w:p>
    <w:p>
      <w:pPr>
        <w:spacing w:after="0" w:line="178" w:lineRule="exact"/>
        <w:rPr>
          <w:rFonts w:ascii="Arial" w:cs="Arial" w:eastAsia="Arial" w:hAnsi="Arial"/>
          <w:sz w:val="17"/>
          <w:szCs w:val="17"/>
          <w:color w:val="auto"/>
        </w:rPr>
      </w:pPr>
    </w:p>
    <w:p>
      <w:pPr>
        <w:ind w:left="180" w:right="160" w:firstLine="652"/>
        <w:spacing w:after="0" w:line="277" w:lineRule="auto"/>
        <w:tabs>
          <w:tab w:leader="none" w:pos="11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and related assets to the Receivables Subsidiary in connection with a Receivables Facility,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80" w:right="20" w:firstLine="652"/>
        <w:spacing w:after="0" w:line="255" w:lineRule="auto"/>
        <w:tabs>
          <w:tab w:leader="none" w:pos="12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any costs or expense incurred by Holdings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Stock) solely to the extent that such net cash proceeds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and have not been relied on for purposes of any incurrence of Indebtedness pursuant to </w:t>
      </w:r>
      <w:r>
        <w:rPr>
          <w:rFonts w:ascii="Arial" w:cs="Arial" w:eastAsia="Arial" w:hAnsi="Arial"/>
          <w:sz w:val="18"/>
          <w:szCs w:val="18"/>
          <w:u w:val="single" w:color="auto"/>
          <w:color w:val="auto"/>
        </w:rPr>
        <w:t>clause (l)(i)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00"/>
          </w:cols>
          <w:pgMar w:left="1440" w:top="1440" w:right="359" w:bottom="1440" w:gutter="0" w:footer="0" w:header="0"/>
        </w:sectPr>
      </w:pPr>
    </w:p>
    <w:bookmarkStart w:id="45" w:name="page46"/>
    <w:bookmarkEnd w:id="45"/>
    <w:p>
      <w:pPr>
        <w:spacing w:after="0" w:line="200" w:lineRule="exact"/>
        <w:rPr>
          <w:sz w:val="20"/>
          <w:szCs w:val="20"/>
          <w:color w:val="auto"/>
        </w:rPr>
      </w:pPr>
    </w:p>
    <w:p>
      <w:pPr>
        <w:spacing w:after="0" w:line="322" w:lineRule="exact"/>
        <w:rPr>
          <w:sz w:val="20"/>
          <w:szCs w:val="20"/>
          <w:color w:val="auto"/>
        </w:rPr>
      </w:pPr>
    </w:p>
    <w:p>
      <w:pPr>
        <w:ind w:left="180" w:right="60" w:firstLine="652"/>
        <w:spacing w:after="0" w:line="301" w:lineRule="auto"/>
        <w:tabs>
          <w:tab w:leader="none" w:pos="117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amount of expenses relating to payments made to option holders of any direct or indirect parent company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Arial" w:cs="Arial" w:eastAsia="Arial" w:hAnsi="Arial"/>
          <w:sz w:val="16"/>
          <w:szCs w:val="16"/>
          <w:i w:val="1"/>
          <w:iCs w:val="1"/>
          <w:color w:val="auto"/>
        </w:rPr>
        <w:t>plus</w:t>
      </w:r>
    </w:p>
    <w:p>
      <w:pPr>
        <w:spacing w:after="0" w:line="157" w:lineRule="exact"/>
        <w:rPr>
          <w:rFonts w:ascii="Arial" w:cs="Arial" w:eastAsia="Arial" w:hAnsi="Arial"/>
          <w:sz w:val="16"/>
          <w:szCs w:val="16"/>
          <w:color w:val="auto"/>
        </w:rPr>
      </w:pPr>
    </w:p>
    <w:p>
      <w:pPr>
        <w:ind w:left="180" w:right="200" w:firstLine="652"/>
        <w:spacing w:after="0" w:line="259" w:lineRule="auto"/>
        <w:tabs>
          <w:tab w:leader="none" w:pos="12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with respect to any joint venture that is not a Restricted Subsidiary, an amount equal to the proportion of those items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relating to such joint venture corresponding to Holdings’ and the Restricted Subsidiaries’ proportionate share of such joint venture’s Consolidated Net Income (determined as if such joint venture were a Restricted Subsidiary),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80" w:right="40" w:firstLine="652"/>
        <w:spacing w:after="0" w:line="308" w:lineRule="auto"/>
        <w:tabs>
          <w:tab w:leader="none" w:pos="12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costs associated with, or in anticipation of, or preparation for, compliance with the requirements of the Sarbanes-Oxley Act of 2002 and the rules and regulations promulgated in connection therewith and Public Company Costs, </w:t>
      </w:r>
      <w:r>
        <w:rPr>
          <w:rFonts w:ascii="Arial" w:cs="Arial" w:eastAsia="Arial" w:hAnsi="Arial"/>
          <w:sz w:val="17"/>
          <w:szCs w:val="17"/>
          <w:i w:val="1"/>
          <w:iCs w:val="1"/>
          <w:color w:val="auto"/>
        </w:rPr>
        <w:t>plus</w:t>
      </w:r>
    </w:p>
    <w:p>
      <w:pPr>
        <w:spacing w:after="0" w:line="146" w:lineRule="exact"/>
        <w:rPr>
          <w:rFonts w:ascii="Arial" w:cs="Arial" w:eastAsia="Arial" w:hAnsi="Arial"/>
          <w:sz w:val="17"/>
          <w:szCs w:val="17"/>
          <w:color w:val="auto"/>
        </w:rPr>
      </w:pPr>
    </w:p>
    <w:p>
      <w:pPr>
        <w:ind w:left="180" w:right="260" w:firstLine="652"/>
        <w:spacing w:after="0" w:line="286" w:lineRule="auto"/>
        <w:tabs>
          <w:tab w:leader="none" w:pos="12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cash receipts (or any netting arrangements resulting in reduced cash expenses) not included in Consolidated EBITDA in any period solely to the extent that the corresponding non-cash gains relating to such receipts were deducted in the calculation of Consolidated EBITDA pursuant to paragraph (2) below for any previous period and not added back, </w:t>
      </w:r>
      <w:r>
        <w:rPr>
          <w:rFonts w:ascii="Arial" w:cs="Arial" w:eastAsia="Arial" w:hAnsi="Arial"/>
          <w:sz w:val="17"/>
          <w:szCs w:val="17"/>
          <w:i w:val="1"/>
          <w:iCs w:val="1"/>
          <w:color w:val="auto"/>
        </w:rPr>
        <w:t>plus</w:t>
      </w:r>
    </w:p>
    <w:p>
      <w:pPr>
        <w:spacing w:after="0" w:line="165" w:lineRule="exact"/>
        <w:rPr>
          <w:rFonts w:ascii="Arial" w:cs="Arial" w:eastAsia="Arial" w:hAnsi="Arial"/>
          <w:sz w:val="17"/>
          <w:szCs w:val="17"/>
          <w:color w:val="auto"/>
        </w:rPr>
      </w:pPr>
    </w:p>
    <w:p>
      <w:pPr>
        <w:ind w:left="180" w:right="80" w:firstLine="652"/>
        <w:spacing w:after="0" w:line="291" w:lineRule="auto"/>
        <w:tabs>
          <w:tab w:leader="none" w:pos="12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Borrower that there exists such evidence (with a deduction for any amount so added back to the extent not so reimbursed within such 365 days), expenses with respect to liability or casualty events or business interruption, </w:t>
      </w:r>
      <w:r>
        <w:rPr>
          <w:rFonts w:ascii="Arial" w:cs="Arial" w:eastAsia="Arial" w:hAnsi="Arial"/>
          <w:sz w:val="16"/>
          <w:szCs w:val="16"/>
          <w:i w:val="1"/>
          <w:iCs w:val="1"/>
          <w:color w:val="auto"/>
        </w:rPr>
        <w:t>plus</w:t>
      </w:r>
    </w:p>
    <w:p>
      <w:pPr>
        <w:spacing w:after="0" w:line="166" w:lineRule="exact"/>
        <w:rPr>
          <w:rFonts w:ascii="Arial" w:cs="Arial" w:eastAsia="Arial" w:hAnsi="Arial"/>
          <w:sz w:val="16"/>
          <w:szCs w:val="16"/>
          <w:color w:val="auto"/>
        </w:rPr>
      </w:pPr>
    </w:p>
    <w:p>
      <w:pPr>
        <w:ind w:left="180" w:firstLine="652"/>
        <w:spacing w:after="0" w:line="271" w:lineRule="auto"/>
        <w:tabs>
          <w:tab w:leader="none" w:pos="1218"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for any Test Period, the aggregate amount of “run-rate” Consolidated Net Income projected by the Borrower in good faith to be attributable to New Contracts entered into during such Test Period (or following such Test Period but prior to the date for the delivery of the financial statements for such Test Period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amount shall be calculated on a Pro Forma Basis as though the full annual amount of such Consolidated Net Income attributable to such New Contracts had been realized during such Test Period (without duplication of any amounts attributable to such New Contracts already received in such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increase to Consolidated EBITDA for any period pursuant to this clause (q), clause (i) above, clause (r) below and the definition of “Pro Forma Adjustment” shall not exceed 25% of Consolidated EBITDA for such period (after giving effect to any increase in Consolidated EBITDA pursuant to such provision), </w:t>
      </w:r>
      <w:r>
        <w:rPr>
          <w:rFonts w:ascii="Arial" w:cs="Arial" w:eastAsia="Arial" w:hAnsi="Arial"/>
          <w:sz w:val="17"/>
          <w:szCs w:val="17"/>
          <w:i w:val="1"/>
          <w:iCs w:val="1"/>
          <w:color w:val="auto"/>
        </w:rPr>
        <w:t>plus</w:t>
      </w:r>
    </w:p>
    <w:p>
      <w:pPr>
        <w:spacing w:after="0" w:line="178" w:lineRule="exact"/>
        <w:rPr>
          <w:rFonts w:ascii="Arial" w:cs="Arial" w:eastAsia="Arial" w:hAnsi="Arial"/>
          <w:sz w:val="17"/>
          <w:szCs w:val="17"/>
          <w:color w:val="auto"/>
        </w:rPr>
      </w:pPr>
    </w:p>
    <w:p>
      <w:pPr>
        <w:ind w:left="180" w:right="160" w:firstLine="652"/>
        <w:spacing w:after="0" w:line="259" w:lineRule="auto"/>
        <w:tabs>
          <w:tab w:leader="none" w:pos="11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New Store Consolidated EBITDA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increase to Consolidated EBITDA for any period pursuant to this clause (r), clause (i) above, clause (q) above and the definition of “Pro Forma Adjustment” shall not exceed 25% of Consolidated EBITDA for such period (after giving effect to any increase in Consolidated EBITDA pursuant to any such provision),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200" w:hanging="368"/>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pre-opening costs and expenses incurred during the Test Period for Stores or facilities opened during or after the Test</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 xml:space="preserve">Period,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20"/>
          </w:cols>
          <w:pgMar w:left="1440" w:top="1440" w:right="339" w:bottom="1440" w:gutter="0" w:footer="0" w:header="0"/>
        </w:sectPr>
      </w:pPr>
    </w:p>
    <w:bookmarkStart w:id="46" w:name="page47"/>
    <w:bookmarkEnd w:id="46"/>
    <w:p>
      <w:pPr>
        <w:spacing w:after="0" w:line="200" w:lineRule="exact"/>
        <w:rPr>
          <w:sz w:val="20"/>
          <w:szCs w:val="20"/>
          <w:color w:val="auto"/>
        </w:rPr>
      </w:pPr>
    </w:p>
    <w:p>
      <w:pPr>
        <w:spacing w:after="0" w:line="322" w:lineRule="exact"/>
        <w:rPr>
          <w:sz w:val="20"/>
          <w:szCs w:val="20"/>
          <w:color w:val="auto"/>
        </w:rPr>
      </w:pPr>
    </w:p>
    <w:p>
      <w:pPr>
        <w:ind w:left="1640" w:hanging="348"/>
        <w:spacing w:after="0"/>
        <w:tabs>
          <w:tab w:leader="none" w:pos="1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charges, expenses, and other items described in the Lender Presentation,</w:t>
      </w:r>
    </w:p>
    <w:p>
      <w:pPr>
        <w:spacing w:after="0" w:line="225" w:lineRule="exact"/>
        <w:rPr>
          <w:rFonts w:ascii="Arial" w:cs="Arial" w:eastAsia="Arial" w:hAnsi="Arial"/>
          <w:sz w:val="18"/>
          <w:szCs w:val="18"/>
          <w:color w:val="auto"/>
        </w:rPr>
      </w:pPr>
    </w:p>
    <w:p>
      <w:pPr>
        <w:ind w:left="580" w:hanging="404"/>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by (without duplication):</w:t>
      </w:r>
    </w:p>
    <w:p>
      <w:pPr>
        <w:spacing w:after="0" w:line="225" w:lineRule="exact"/>
        <w:rPr>
          <w:rFonts w:ascii="Arial" w:cs="Arial" w:eastAsia="Arial" w:hAnsi="Arial"/>
          <w:sz w:val="18"/>
          <w:szCs w:val="18"/>
          <w:color w:val="auto"/>
        </w:rPr>
      </w:pPr>
    </w:p>
    <w:p>
      <w:pPr>
        <w:ind w:left="640" w:right="20" w:firstLine="652"/>
        <w:spacing w:after="0" w:line="272" w:lineRule="auto"/>
        <w:tabs>
          <w:tab w:leader="none" w:pos="1668"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(formerly Financial Accounting Standards Board Statement No.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non cash gains are deducted pursuant to this </w:t>
      </w:r>
      <w:r>
        <w:rPr>
          <w:rFonts w:ascii="Arial" w:cs="Arial" w:eastAsia="Arial" w:hAnsi="Arial"/>
          <w:sz w:val="17"/>
          <w:szCs w:val="17"/>
          <w:u w:val="single" w:color="auto"/>
          <w:color w:val="auto"/>
        </w:rPr>
        <w:t>clause (ii)(a)</w:t>
      </w:r>
      <w:r>
        <w:rPr>
          <w:rFonts w:ascii="Arial" w:cs="Arial" w:eastAsia="Arial" w:hAnsi="Arial"/>
          <w:sz w:val="17"/>
          <w:szCs w:val="17"/>
          <w:color w:val="auto"/>
        </w:rPr>
        <w:t xml:space="preserve"> for any previous period and not otherwise added back to Consolidated EBITDA, Consolidated EBITDA shall be increased by the amount of any cash receipts (or any netting arrangements resulting in reduced cash expenses) in respect of such non cash gains received in subsequent periods to the extent not already included therein,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640" w:right="80" w:firstLine="652"/>
        <w:spacing w:after="0" w:line="257" w:lineRule="auto"/>
        <w:tabs>
          <w:tab w:leader="none" w:pos="16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for any Test Period, the aggregate amount of “run-rate” Consolidated Net Income attributable to Terminated Contracts that have terminated or expired during such Test Period (or following such Test Period but prior to the date for delivery of the financial statements for such Test Period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(which amount shall be calculated on a Pro Forma Basis so as to eliminate the full annual amount of such Consolidated Net Income attributable to such Terminated Contracts during such Test Period), </w:t>
      </w:r>
      <w:r>
        <w:rPr>
          <w:rFonts w:ascii="Arial" w:cs="Arial" w:eastAsia="Arial" w:hAnsi="Arial"/>
          <w:sz w:val="18"/>
          <w:szCs w:val="18"/>
          <w:i w:val="1"/>
          <w:iCs w:val="1"/>
          <w:color w:val="auto"/>
        </w:rPr>
        <w:t>plus</w:t>
      </w:r>
    </w:p>
    <w:p>
      <w:pPr>
        <w:spacing w:after="0" w:line="188" w:lineRule="exact"/>
        <w:rPr>
          <w:sz w:val="20"/>
          <w:szCs w:val="20"/>
          <w:color w:val="auto"/>
        </w:rPr>
      </w:pPr>
    </w:p>
    <w:p>
      <w:pPr>
        <w:ind w:left="620" w:hanging="444"/>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225" w:lineRule="exact"/>
        <w:rPr>
          <w:rFonts w:ascii="Arial" w:cs="Arial" w:eastAsia="Arial" w:hAnsi="Arial"/>
          <w:sz w:val="18"/>
          <w:szCs w:val="18"/>
          <w:color w:val="auto"/>
        </w:rPr>
      </w:pPr>
    </w:p>
    <w:p>
      <w:pPr>
        <w:ind w:left="640" w:right="120" w:firstLine="652"/>
        <w:spacing w:after="0" w:line="277" w:lineRule="auto"/>
        <w:tabs>
          <w:tab w:leader="none" w:pos="16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currency gains or losses related to Indebtedness, intercompany balances, and other balance sheet items, plus or minus, as the case may be, and</w:t>
      </w:r>
    </w:p>
    <w:p>
      <w:pPr>
        <w:spacing w:after="0" w:line="170" w:lineRule="exact"/>
        <w:rPr>
          <w:rFonts w:ascii="Arial" w:cs="Arial" w:eastAsia="Arial" w:hAnsi="Arial"/>
          <w:sz w:val="18"/>
          <w:szCs w:val="18"/>
          <w:color w:val="auto"/>
        </w:rPr>
      </w:pPr>
    </w:p>
    <w:p>
      <w:pPr>
        <w:ind w:left="640" w:firstLine="652"/>
        <w:spacing w:after="0" w:line="259" w:lineRule="auto"/>
        <w:tabs>
          <w:tab w:leader="none" w:pos="167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w:t>
      </w:r>
    </w:p>
    <w:p>
      <w:pPr>
        <w:spacing w:after="0" w:line="225" w:lineRule="exact"/>
        <w:rPr>
          <w:sz w:val="20"/>
          <w:szCs w:val="20"/>
          <w:color w:val="auto"/>
        </w:rPr>
      </w:pPr>
    </w:p>
    <w:p>
      <w:pPr>
        <w:ind w:right="180" w:firstLine="176"/>
        <w:spacing w:after="0" w:line="263" w:lineRule="auto"/>
        <w:tabs>
          <w:tab w:leader="none" w:pos="5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183" w:lineRule="exact"/>
        <w:rPr>
          <w:rFonts w:ascii="Arial" w:cs="Arial" w:eastAsia="Arial" w:hAnsi="Arial"/>
          <w:sz w:val="18"/>
          <w:szCs w:val="18"/>
          <w:color w:val="auto"/>
        </w:rPr>
      </w:pPr>
    </w:p>
    <w:p>
      <w:pPr>
        <w:ind w:firstLine="176"/>
        <w:spacing w:after="0" w:line="290"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shall be included in determining Consolidated EBITDA for any period, without duplication, (1) the Acquired EBITDA of any Person or business, or attributable to any property or asset acquired by Holdings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Holdings or such Restricted Subsidiary during such period (each such Person, business, property, or asset acquired and not subsequently so disposed of, an “</w:t>
      </w:r>
      <w:r>
        <w:rPr>
          <w:rFonts w:ascii="Arial" w:cs="Arial" w:eastAsia="Arial" w:hAnsi="Arial"/>
          <w:sz w:val="16"/>
          <w:szCs w:val="16"/>
          <w:b w:val="1"/>
          <w:bCs w:val="1"/>
          <w:color w:val="auto"/>
        </w:rPr>
        <w:t>Acquired Entity or Business</w:t>
      </w:r>
      <w:r>
        <w:rPr>
          <w:rFonts w:ascii="Arial" w:cs="Arial" w:eastAsia="Arial" w:hAnsi="Arial"/>
          <w:sz w:val="16"/>
          <w:szCs w:val="16"/>
          <w:color w:val="auto"/>
        </w:rPr>
        <w:t>”) and the Acquired EBITDA of any Unrestricted Subsidiary that is converted into a Restricted Subsidiary during such period (each, a “</w:t>
      </w:r>
      <w:r>
        <w:rPr>
          <w:rFonts w:ascii="Arial" w:cs="Arial" w:eastAsia="Arial" w:hAnsi="Arial"/>
          <w:sz w:val="16"/>
          <w:szCs w:val="16"/>
          <w:b w:val="1"/>
          <w:bCs w:val="1"/>
          <w:color w:val="auto"/>
        </w:rPr>
        <w:t>Converted</w:t>
      </w:r>
      <w:r>
        <w:rPr>
          <w:rFonts w:ascii="Arial" w:cs="Arial" w:eastAsia="Arial" w:hAnsi="Arial"/>
          <w:sz w:val="16"/>
          <w:szCs w:val="16"/>
          <w:color w:val="auto"/>
        </w:rPr>
        <w:t xml:space="preserve"> </w:t>
      </w:r>
      <w:r>
        <w:rPr>
          <w:rFonts w:ascii="Arial" w:cs="Arial" w:eastAsia="Arial" w:hAnsi="Arial"/>
          <w:sz w:val="16"/>
          <w:szCs w:val="16"/>
          <w:b w:val="1"/>
          <w:bCs w:val="1"/>
          <w:color w:val="auto"/>
        </w:rPr>
        <w:t>Restricted Subsidiary</w:t>
      </w:r>
      <w:r>
        <w:rPr>
          <w:rFonts w:ascii="Arial" w:cs="Arial" w:eastAsia="Arial" w:hAnsi="Arial"/>
          <w:sz w:val="16"/>
          <w:szCs w:val="16"/>
          <w:color w:val="auto"/>
        </w:rPr>
        <w:t>”), based on the actual Acquired EBITDA of such Acquired Entity or Business or Converted Restricted Subsidiary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period (including the portion thereof occurring prior to such acquisition or conversion) and (2) an adjustment in respect of each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980" w:top="1440" w:right="339" w:bottom="1440" w:gutter="0" w:footer="0" w:header="0"/>
        </w:sectPr>
      </w:pPr>
    </w:p>
    <w:bookmarkStart w:id="47" w:name="page48"/>
    <w:bookmarkEnd w:id="47"/>
    <w:p>
      <w:pPr>
        <w:spacing w:after="0" w:line="200" w:lineRule="exact"/>
        <w:rPr>
          <w:sz w:val="20"/>
          <w:szCs w:val="20"/>
          <w:color w:val="auto"/>
        </w:rPr>
      </w:pPr>
    </w:p>
    <w:p>
      <w:pPr>
        <w:spacing w:after="0" w:line="32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Entity or Business equal to the amount of the Pro Forma Adjustment with respect to such Acquired Entity or Business for such period (including the portion thereof occurring prior to such acquisition); and</w:t>
      </w:r>
    </w:p>
    <w:p>
      <w:pPr>
        <w:spacing w:after="0" w:line="170" w:lineRule="exact"/>
        <w:rPr>
          <w:sz w:val="20"/>
          <w:szCs w:val="20"/>
          <w:color w:val="auto"/>
        </w:rPr>
      </w:pPr>
    </w:p>
    <w:p>
      <w:pPr>
        <w:ind w:left="660" w:firstLine="176"/>
        <w:spacing w:after="0" w:line="289" w:lineRule="auto"/>
        <w:tabs>
          <w:tab w:leader="none" w:pos="12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Holdings or any Restricted Subsidiary during such period (each such Person, property, business, or asset so sold or disposed of, a “</w:t>
      </w:r>
      <w:r>
        <w:rPr>
          <w:rFonts w:ascii="Arial" w:cs="Arial" w:eastAsia="Arial" w:hAnsi="Arial"/>
          <w:sz w:val="16"/>
          <w:szCs w:val="16"/>
          <w:b w:val="1"/>
          <w:bCs w:val="1"/>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xml:space="preserve">”) based on the actual Disposed EBITDA of such Sold Entity or Business or Converted Unrestricted Subsidiary for such period (including the portion thereof occurring prior to such sale, transfer, or disposition or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Consolidated First Lien Secured Debt</w:t>
      </w:r>
      <w:r>
        <w:rPr>
          <w:rFonts w:ascii="Arial" w:cs="Arial" w:eastAsia="Arial" w:hAnsi="Arial"/>
          <w:sz w:val="18"/>
          <w:szCs w:val="18"/>
          <w:color w:val="FF0000"/>
          <w:strike w:val="1"/>
        </w:rPr>
        <w:t>” shall mean Consolidated Total Debt as of such date consisting of the Obligations and Indebtedness secured by a Lien on the Collateral on an equal priority basis (but without regard to the control of remedies) with liens on any of the Collateral securing the Obligations, pursuant to a First Lien Intercreditor Agreement.</w:t>
      </w:r>
    </w:p>
    <w:p>
      <w:pPr>
        <w:spacing w:after="0" w:line="17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Consolidated First Lien Secured Debt to Consolidated EBITDA Ratio</w:t>
      </w:r>
      <w:r>
        <w:rPr>
          <w:rFonts w:ascii="Arial" w:cs="Arial" w:eastAsia="Arial" w:hAnsi="Arial"/>
          <w:sz w:val="16"/>
          <w:szCs w:val="16"/>
          <w:color w:val="008000"/>
          <w:strike w:val="1"/>
        </w:rPr>
        <w:t>” shall mean, as of any date of determination</w:t>
      </w:r>
      <w:r>
        <w:rPr>
          <w:rFonts w:ascii="Arial" w:cs="Arial" w:eastAsia="Arial" w:hAnsi="Arial"/>
          <w:sz w:val="16"/>
          <w:szCs w:val="16"/>
          <w:color w:val="FF0000"/>
          <w:strike w:val="1"/>
        </w:rPr>
        <w:t xml:space="preserve">, the ratio of (i) Consolidated First Lien Secured Debt as of such date of determination, </w:t>
      </w:r>
      <w:r>
        <w:rPr>
          <w:rFonts w:ascii="Arial" w:cs="Arial" w:eastAsia="Arial" w:hAnsi="Arial"/>
          <w:sz w:val="16"/>
          <w:szCs w:val="16"/>
          <w:i w:val="1"/>
          <w:iCs w:val="1"/>
          <w:color w:val="FF0000"/>
          <w:strike w:val="1"/>
        </w:rPr>
        <w:t>minus</w:t>
      </w:r>
      <w:r>
        <w:rPr>
          <w:rFonts w:ascii="Arial" w:cs="Arial" w:eastAsia="Arial" w:hAnsi="Arial"/>
          <w:sz w:val="16"/>
          <w:szCs w:val="16"/>
          <w:color w:val="FF0000"/>
          <w:strike w:val="1"/>
        </w:rPr>
        <w:t xml:space="preserve"> cash and cash equivalents (in each case, free and clear of all Liens other than Permitted Liens and with “cash and cash equivalents” determined in accordance with GAAP) </w:t>
      </w:r>
      <w:r>
        <w:rPr>
          <w:rFonts w:ascii="Arial" w:cs="Arial" w:eastAsia="Arial" w:hAnsi="Arial"/>
          <w:sz w:val="16"/>
          <w:szCs w:val="16"/>
          <w:color w:val="008000"/>
          <w:strike w:val="1"/>
        </w:rPr>
        <w:t>of Holdings and the Restricted Subsidiaries</w:t>
      </w:r>
      <w:r>
        <w:rPr>
          <w:rFonts w:ascii="Arial" w:cs="Arial" w:eastAsia="Arial" w:hAnsi="Arial"/>
          <w:sz w:val="16"/>
          <w:szCs w:val="16"/>
          <w:color w:val="FF0000"/>
          <w:strike w:val="1"/>
        </w:rPr>
        <w:t xml:space="preserve"> (other than the proceeds of any Indebtedness being incurred and giving rise to the need to calculate the Consolidated First Lien Secured Debt to Consolidated EBITDA Ratio) to (ii) Consolidated EBITDA of Holdings for the Test Period then last ended. In the event that Holdings or any Restricted Subsidiary incurs, assumes, guarantees, redeems, retires, or extinguishes any Indebtedness or issues or redeems Disqualified Stock or preferred stock subsequent to the commencement of the Test Period but prior to or simultaneously with the date of determination, then the Consolidated First Lien Secured Debt to Consolidated EBITDA Ratio shall be calculated giving Pro Forma Effect to such incurrence, assumption, guarantee, redemption, retirement, or extinguishment of Indebtedness, or such issuance or redemption of Disqualified Stock or preferred stock (in each case, including a pro forma application of the net proceeds therefrom), as if the same had occurred at the beginning of the Test Period; provided, however, that Pro Forma Effect shall not give effect to any Indebtedness incurred on the date of such determination (except pursuant to the first paragraph of </w:t>
      </w:r>
      <w:r>
        <w:rPr>
          <w:rFonts w:ascii="Arial" w:cs="Arial" w:eastAsia="Arial" w:hAnsi="Arial"/>
          <w:sz w:val="16"/>
          <w:szCs w:val="16"/>
          <w:u w:val="single" w:color="auto"/>
          <w:color w:val="FF0000"/>
          <w:strike w:val="1"/>
        </w:rPr>
        <w:t>Section 10.1</w:t>
      </w:r>
      <w:r>
        <w:rPr>
          <w:rFonts w:ascii="Arial" w:cs="Arial" w:eastAsia="Arial" w:hAnsi="Arial"/>
          <w:sz w:val="16"/>
          <w:szCs w:val="16"/>
          <w:color w:val="FF0000"/>
          <w:strike w:val="1"/>
        </w:rPr>
        <w:t xml:space="preserve"> and </w:t>
      </w:r>
      <w:r>
        <w:rPr>
          <w:rFonts w:ascii="Arial" w:cs="Arial" w:eastAsia="Arial" w:hAnsi="Arial"/>
          <w:sz w:val="16"/>
          <w:szCs w:val="16"/>
          <w:u w:val="single" w:color="auto"/>
          <w:color w:val="FF0000"/>
          <w:strike w:val="1"/>
        </w:rPr>
        <w:t>Section 10.1(n)</w:t>
      </w:r>
      <w:r>
        <w:rPr>
          <w:rFonts w:ascii="Arial" w:cs="Arial" w:eastAsia="Arial" w:hAnsi="Arial"/>
          <w:sz w:val="16"/>
          <w:szCs w:val="16"/>
          <w:color w:val="FF0000"/>
          <w:strike w:val="1"/>
        </w:rPr>
        <w:t>).</w:t>
      </w:r>
    </w:p>
    <w:p>
      <w:pPr>
        <w:spacing w:after="0" w:line="16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Coverage Ratio</w:t>
      </w:r>
      <w:r>
        <w:rPr>
          <w:rFonts w:ascii="Arial" w:cs="Arial" w:eastAsia="Arial" w:hAnsi="Arial"/>
          <w:sz w:val="18"/>
          <w:szCs w:val="18"/>
          <w:color w:val="auto"/>
        </w:rPr>
        <w:t>” shall mean, as of any date of determination, the ratio of (i) Consolidated EBITDA of Holdings for the Test Period then last ended to (ii) Consolidated Interest Expense of Holdings for such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shall mean, with respect to any Person for any period, the sum, without duplication, of:</w:t>
      </w:r>
    </w:p>
    <w:p>
      <w:pPr>
        <w:spacing w:after="0" w:line="229" w:lineRule="exact"/>
        <w:rPr>
          <w:sz w:val="20"/>
          <w:szCs w:val="20"/>
          <w:color w:val="auto"/>
        </w:rPr>
      </w:pPr>
    </w:p>
    <w:p>
      <w:pPr>
        <w:ind w:left="660" w:right="80" w:firstLine="176"/>
        <w:spacing w:after="0" w:line="272" w:lineRule="auto"/>
        <w:tabs>
          <w:tab w:leader="none" w:pos="11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consolidated cash interest expense of such Person and its Restricted Subsidiaries for such period, to the extent such expense was deducted (and not added back) in computing Consolidated Net Income (including (a) all commissions, discounts, and other fees and charges owed with respect to letters of credit or bankers acceptances, (b) capitalized interest to the extent paid in cash, and (c) net payments, if any, pursuant to interest rate Hedging Obligations with respect to Indebtedness, and excluding (1) any one-time cash costs associated with breakage in respect of hedging agreements for interest rates, (2) all non-recurring cash interest expense consisting of liquidated damages for failure to timely comply with registration rights obligations, all as calculated on a consolidated basis in accordance with GAAP, (3) any “additional interest” owing pursuant to a registration rights agreement, (4) non-cash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440" w:right="379" w:bottom="1440" w:gutter="0" w:footer="0" w:header="0"/>
        </w:sectPr>
      </w:pPr>
    </w:p>
    <w:bookmarkStart w:id="48" w:name="page49"/>
    <w:bookmarkEnd w:id="48"/>
    <w:p>
      <w:pPr>
        <w:spacing w:after="0" w:line="200" w:lineRule="exact"/>
        <w:rPr>
          <w:sz w:val="20"/>
          <w:szCs w:val="20"/>
          <w:color w:val="auto"/>
        </w:rPr>
      </w:pPr>
    </w:p>
    <w:p>
      <w:pPr>
        <w:spacing w:after="0" w:line="322"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attributable to a parent entity resulting from push-down accounting, but solely to the extent not reducing consolidated cash interest expense in any prior period, (5) any non-cash expensing of bridge, commitment, and other financing fees that have been previously paid in cash, but solely to the extent not reducing consolidated cash interest expense in any prior period, and (6) commissions, discounts, yield, and other fees and charges (including any interest expense) related to any Receivables Facility); less</w:t>
      </w:r>
    </w:p>
    <w:p>
      <w:pPr>
        <w:spacing w:after="0" w:line="187" w:lineRule="exact"/>
        <w:rPr>
          <w:sz w:val="20"/>
          <w:szCs w:val="20"/>
          <w:color w:val="auto"/>
        </w:rPr>
      </w:pPr>
    </w:p>
    <w:p>
      <w:pPr>
        <w:ind w:left="840"/>
        <w:spacing w:after="0"/>
        <w:tabs>
          <w:tab w:leader="none" w:pos="12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cash interest income for such period.</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6"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w:t>
      </w:r>
    </w:p>
    <w:p>
      <w:pPr>
        <w:spacing w:after="0" w:line="120" w:lineRule="exact"/>
        <w:rPr>
          <w:sz w:val="20"/>
          <w:szCs w:val="20"/>
          <w:color w:val="auto"/>
        </w:rPr>
      </w:pPr>
    </w:p>
    <w:p>
      <w:pPr>
        <w:ind w:left="660" w:right="200" w:firstLine="176"/>
        <w:spacing w:after="0" w:line="257" w:lineRule="auto"/>
        <w:tabs>
          <w:tab w:leader="none" w:pos="1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after-tax effect of extraordinary, non-recurring, or unusual gains or losses (less all fees and expenses relating thereto) or expenses (including relating to the Transactions), severance, relocation costs, curtailments, or modifications to pension and post-retirement employee benefits plans, start-up, transition, integration, and other restructuring and business optimization costs, charges, reserves, or expenses (including related to acquisitions after the Restatement Effective Date and to the start-up, closure, and/or consolidation of facilities), new product introductions, and one-time compensation charges shall be excluded,</w:t>
      </w:r>
    </w:p>
    <w:p>
      <w:pPr>
        <w:spacing w:after="0" w:line="187" w:lineRule="exact"/>
        <w:rPr>
          <w:rFonts w:ascii="Arial" w:cs="Arial" w:eastAsia="Arial" w:hAnsi="Arial"/>
          <w:sz w:val="18"/>
          <w:szCs w:val="18"/>
          <w:color w:val="auto"/>
        </w:rPr>
      </w:pPr>
    </w:p>
    <w:p>
      <w:pPr>
        <w:ind w:left="660" w:right="140" w:firstLine="176"/>
        <w:spacing w:after="0" w:line="277"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Income for such period shall not include the cumulative effect of a change in accounting principles and changes as a result of the adoption or modification of accounting policies during such period,</w:t>
      </w:r>
    </w:p>
    <w:p>
      <w:pPr>
        <w:spacing w:after="0" w:line="170" w:lineRule="exact"/>
        <w:rPr>
          <w:rFonts w:ascii="Arial" w:cs="Arial" w:eastAsia="Arial" w:hAnsi="Arial"/>
          <w:sz w:val="18"/>
          <w:szCs w:val="18"/>
          <w:color w:val="auto"/>
        </w:rPr>
      </w:pPr>
    </w:p>
    <w:p>
      <w:pPr>
        <w:ind w:left="660" w:right="360" w:firstLine="176"/>
        <w:spacing w:after="0" w:line="277" w:lineRule="auto"/>
        <w:tabs>
          <w:tab w:leader="none" w:pos="12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net after-tax gains or losses on disposal of disposed, abandoned, transferred, closed, or discontinued operations or Stores shall be excluded,</w:t>
      </w:r>
    </w:p>
    <w:p>
      <w:pPr>
        <w:spacing w:after="0" w:line="170" w:lineRule="exact"/>
        <w:rPr>
          <w:rFonts w:ascii="Arial" w:cs="Arial" w:eastAsia="Arial" w:hAnsi="Arial"/>
          <w:sz w:val="18"/>
          <w:szCs w:val="18"/>
          <w:color w:val="auto"/>
        </w:rPr>
      </w:pPr>
    </w:p>
    <w:p>
      <w:pPr>
        <w:ind w:left="660" w:right="120" w:firstLine="176"/>
        <w:spacing w:after="0" w:line="342" w:lineRule="auto"/>
        <w:tabs>
          <w:tab w:leader="none" w:pos="1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after-tax effect of gains or losses (less all fees and expenses relating thereto) attributable to asset dispositions or abandonments other than in the ordinary course of business, as determined in good faith by the board of directors of Holdings, shall be excluded,</w:t>
      </w:r>
    </w:p>
    <w:p>
      <w:pPr>
        <w:spacing w:after="0" w:line="123" w:lineRule="exact"/>
        <w:rPr>
          <w:rFonts w:ascii="Arial" w:cs="Arial" w:eastAsia="Arial" w:hAnsi="Arial"/>
          <w:sz w:val="16"/>
          <w:szCs w:val="16"/>
          <w:color w:val="auto"/>
        </w:rPr>
      </w:pPr>
    </w:p>
    <w:p>
      <w:pPr>
        <w:ind w:left="660" w:firstLine="176"/>
        <w:spacing w:after="0" w:line="259" w:lineRule="auto"/>
        <w:tabs>
          <w:tab w:leader="none" w:pos="12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Holdings shall be increased by the amount of dividends or distributions or other payments that are actually paid in cash (or to the extent converted into cash or Cash Equivalents) to the referent Person or a Restricted Subsidiary thereof in respect of such period,</w:t>
      </w:r>
    </w:p>
    <w:p>
      <w:pPr>
        <w:spacing w:after="0" w:line="186" w:lineRule="exact"/>
        <w:rPr>
          <w:rFonts w:ascii="Arial" w:cs="Arial" w:eastAsia="Arial" w:hAnsi="Arial"/>
          <w:sz w:val="18"/>
          <w:szCs w:val="18"/>
          <w:color w:val="auto"/>
        </w:rPr>
      </w:pPr>
    </w:p>
    <w:p>
      <w:pPr>
        <w:ind w:left="660" w:right="80" w:firstLine="176"/>
        <w:spacing w:after="0" w:line="289" w:lineRule="auto"/>
        <w:tabs>
          <w:tab w:leader="none" w:pos="1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solely for the purpose of determining the amount available for Restricted Payments under </w:t>
      </w:r>
      <w:r>
        <w:rPr>
          <w:rFonts w:ascii="Arial" w:cs="Arial" w:eastAsia="Arial" w:hAnsi="Arial"/>
          <w:sz w:val="16"/>
          <w:szCs w:val="16"/>
          <w:u w:val="single" w:color="auto"/>
          <w:color w:val="auto"/>
        </w:rPr>
        <w:t>clause (iii)(A)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(a) has been legally waived, or otherwise released, (b) is imposed pursuant to this Agreement and other Credit Documents, Incremental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40" w:right="359" w:bottom="1440" w:gutter="0" w:footer="0" w:header="0"/>
        </w:sectPr>
      </w:pPr>
    </w:p>
    <w:bookmarkStart w:id="49" w:name="page50"/>
    <w:bookmarkEnd w:id="49"/>
    <w:p>
      <w:pPr>
        <w:spacing w:after="0" w:line="200" w:lineRule="exact"/>
        <w:rPr>
          <w:sz w:val="20"/>
          <w:szCs w:val="20"/>
          <w:color w:val="auto"/>
        </w:rPr>
      </w:pPr>
    </w:p>
    <w:p>
      <w:pPr>
        <w:spacing w:after="0" w:line="3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by the Borrower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w:t>
      </w:r>
    </w:p>
    <w:p>
      <w:pPr>
        <w:spacing w:after="0" w:line="184" w:lineRule="exact"/>
        <w:rPr>
          <w:sz w:val="20"/>
          <w:szCs w:val="20"/>
          <w:color w:val="auto"/>
        </w:rPr>
      </w:pPr>
    </w:p>
    <w:p>
      <w:pPr>
        <w:ind w:right="120" w:firstLine="176"/>
        <w:spacing w:after="0" w:line="255" w:lineRule="auto"/>
        <w:tabs>
          <w:tab w:leader="none" w:pos="6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Holdings and the Restricted Subsidiaries) in any line item in such Person’s consolidated financial statements required or permitted by Financial Accounting Standards Codification Topic 805 – Business Combinations and Topic 350 – Intangibles-Goodwill and Other (ASC 805 and ASC 350) (formerly Financial Accounting Standards Board Statement Nos. 141 and 142, respectively) resulting from the application of purchase accounting, including in relation to the Original Transactions and any acquisition that is consummated after the Closing Date or the amortization or write-off of any amounts thereof, net of taxes, shall be excluded,</w:t>
      </w:r>
    </w:p>
    <w:p>
      <w:pPr>
        <w:spacing w:after="0" w:line="192" w:lineRule="exact"/>
        <w:rPr>
          <w:rFonts w:ascii="Arial" w:cs="Arial" w:eastAsia="Arial" w:hAnsi="Arial"/>
          <w:sz w:val="18"/>
          <w:szCs w:val="18"/>
          <w:color w:val="auto"/>
        </w:rPr>
      </w:pPr>
    </w:p>
    <w:p>
      <w:pPr>
        <w:ind w:right="280" w:firstLine="176"/>
        <w:spacing w:after="0" w:line="275"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any after-tax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 to market valuation of foreign currencies, Indebtedness, or derivative instruments pursuant to GAAP, shall be excluded,</w:t>
      </w:r>
    </w:p>
    <w:p>
      <w:pPr>
        <w:spacing w:after="0" w:line="176" w:lineRule="exact"/>
        <w:rPr>
          <w:rFonts w:ascii="Arial" w:cs="Arial" w:eastAsia="Arial" w:hAnsi="Arial"/>
          <w:sz w:val="17"/>
          <w:szCs w:val="17"/>
          <w:color w:val="auto"/>
        </w:rPr>
      </w:pPr>
    </w:p>
    <w:p>
      <w:pPr>
        <w:ind w:firstLine="176"/>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impairment charge, asset write-off, or write-down pursuant to ASC 350 and Financial Accounting Standards Codification Topic 360 – Impairment and Disposal of Long-Lived Assets (ASC 360) (formerly Financial Accounting Standards Board Statement Nos. 142 and 144, respectively) and the amortization of intangibles arising pursuant to ASC 805 shall be excluded,</w:t>
      </w:r>
    </w:p>
    <w:p>
      <w:pPr>
        <w:spacing w:after="0" w:line="183" w:lineRule="exact"/>
        <w:rPr>
          <w:rFonts w:ascii="Arial" w:cs="Arial" w:eastAsia="Arial" w:hAnsi="Arial"/>
          <w:sz w:val="18"/>
          <w:szCs w:val="18"/>
          <w:color w:val="auto"/>
        </w:rPr>
      </w:pPr>
    </w:p>
    <w:p>
      <w:pPr>
        <w:ind w:right="40" w:firstLine="176"/>
        <w:spacing w:after="0" w:line="263" w:lineRule="auto"/>
        <w:tabs>
          <w:tab w:leader="none" w:pos="5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any non-cash compensation expense recorded from grants of stock appreciation or similar rights, phantom equity, stock options units, restricted stock, or other rights to officers, directors, managers, or employees and (b) non-cash income (loss) attributable to deferred compensation plans or trusts, shall be excluded,</w:t>
      </w:r>
    </w:p>
    <w:p>
      <w:pPr>
        <w:spacing w:after="0" w:line="183" w:lineRule="exact"/>
        <w:rPr>
          <w:rFonts w:ascii="Arial" w:cs="Arial" w:eastAsia="Arial" w:hAnsi="Arial"/>
          <w:sz w:val="18"/>
          <w:szCs w:val="18"/>
          <w:color w:val="auto"/>
        </w:rPr>
      </w:pPr>
    </w:p>
    <w:p>
      <w:pPr>
        <w:ind w:right="140" w:firstLine="176"/>
        <w:spacing w:after="0" w:line="25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spacing w:after="0" w:line="187" w:lineRule="exact"/>
        <w:rPr>
          <w:rFonts w:ascii="Arial" w:cs="Arial" w:eastAsia="Arial" w:hAnsi="Arial"/>
          <w:sz w:val="18"/>
          <w:szCs w:val="18"/>
          <w:color w:val="auto"/>
        </w:rPr>
      </w:pPr>
    </w:p>
    <w:p>
      <w:pPr>
        <w:ind w:right="80" w:firstLine="176"/>
        <w:spacing w:after="0" w:line="263" w:lineRule="auto"/>
        <w:tabs>
          <w:tab w:leader="none" w:pos="6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were established or adjusted within twelve months after the Closing Date that were so required to be established as a result of the Original Transactions in accordance with GAAP, or changes as a result of adoption or modification of accounting policies, shall be excluded,</w:t>
      </w:r>
    </w:p>
    <w:p>
      <w:pPr>
        <w:spacing w:after="0" w:line="183" w:lineRule="exact"/>
        <w:rPr>
          <w:rFonts w:ascii="Arial" w:cs="Arial" w:eastAsia="Arial" w:hAnsi="Arial"/>
          <w:sz w:val="18"/>
          <w:szCs w:val="18"/>
          <w:color w:val="auto"/>
        </w:rPr>
      </w:pPr>
    </w:p>
    <w:p>
      <w:pPr>
        <w:ind w:firstLine="176"/>
        <w:spacing w:after="0" w:line="296"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980" w:top="1440" w:right="339" w:bottom="1440" w:gutter="0" w:footer="0" w:header="0"/>
        </w:sectPr>
      </w:pPr>
    </w:p>
    <w:bookmarkStart w:id="50" w:name="page51"/>
    <w:bookmarkEnd w:id="50"/>
    <w:p>
      <w:pPr>
        <w:spacing w:after="0" w:line="200" w:lineRule="exact"/>
        <w:rPr>
          <w:sz w:val="20"/>
          <w:szCs w:val="20"/>
          <w:color w:val="auto"/>
        </w:rPr>
      </w:pPr>
    </w:p>
    <w:p>
      <w:pPr>
        <w:spacing w:after="0" w:line="322" w:lineRule="exact"/>
        <w:rPr>
          <w:sz w:val="20"/>
          <w:szCs w:val="20"/>
          <w:color w:val="auto"/>
        </w:rPr>
      </w:pPr>
    </w:p>
    <w:p>
      <w:pPr>
        <w:ind w:left="660" w:right="220" w:firstLine="176"/>
        <w:spacing w:after="0" w:line="277" w:lineRule="auto"/>
        <w:tabs>
          <w:tab w:leader="none" w:pos="13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 shall be excluded,</w:t>
      </w:r>
    </w:p>
    <w:p>
      <w:pPr>
        <w:spacing w:after="0" w:line="170" w:lineRule="exact"/>
        <w:rPr>
          <w:rFonts w:ascii="Arial" w:cs="Arial" w:eastAsia="Arial" w:hAnsi="Arial"/>
          <w:sz w:val="18"/>
          <w:szCs w:val="18"/>
          <w:color w:val="auto"/>
        </w:rPr>
      </w:pPr>
    </w:p>
    <w:p>
      <w:pPr>
        <w:ind w:left="660" w:right="100" w:firstLine="176"/>
        <w:spacing w:after="0" w:line="277"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costs or expenses incurred during such period relating to environmental remediation, litigation, or other disputes in respect of events and exposures that occurred prior to the Closing Date shall be excluded, and</w:t>
      </w:r>
    </w:p>
    <w:p>
      <w:pPr>
        <w:spacing w:after="0" w:line="170" w:lineRule="exact"/>
        <w:rPr>
          <w:sz w:val="20"/>
          <w:szCs w:val="20"/>
          <w:color w:val="auto"/>
        </w:rPr>
      </w:pPr>
    </w:p>
    <w:p>
      <w:pPr>
        <w:ind w:left="660" w:right="260" w:firstLine="176"/>
        <w:spacing w:after="0" w:line="277" w:lineRule="auto"/>
        <w:tabs>
          <w:tab w:leader="none" w:pos="14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net increase or decrease in deferred revenue from the sale of Eye Care Club memberships, product warranty programs and other programs providing deferred revenue shall be excluded.</w:t>
      </w:r>
    </w:p>
    <w:p>
      <w:pPr>
        <w:spacing w:after="0" w:line="166"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Assets</w:t>
      </w:r>
      <w:r>
        <w:rPr>
          <w:rFonts w:ascii="Arial" w:cs="Arial" w:eastAsia="Arial" w:hAnsi="Arial"/>
          <w:sz w:val="16"/>
          <w:szCs w:val="16"/>
          <w:color w:val="auto"/>
        </w:rPr>
        <w:t>” shall mean, as of any date of determination, the amount that would, in conformity with GAAP, be set forth opposite the caption “total assets” (or any like caption) on the most recent consolidated balance sheet of Holdings and the Restricted Subsidiaries at such date.</w:t>
      </w:r>
    </w:p>
    <w:p>
      <w:pPr>
        <w:spacing w:after="0" w:line="116" w:lineRule="exact"/>
        <w:rPr>
          <w:sz w:val="20"/>
          <w:szCs w:val="20"/>
          <w:color w:val="auto"/>
        </w:rPr>
      </w:pPr>
    </w:p>
    <w:p>
      <w:pPr>
        <w:ind w:right="2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w:t>
      </w:r>
      <w:r>
        <w:rPr>
          <w:rFonts w:ascii="Arial" w:cs="Arial" w:eastAsia="Arial" w:hAnsi="Arial"/>
          <w:sz w:val="16"/>
          <w:szCs w:val="16"/>
          <w:color w:val="auto"/>
        </w:rPr>
        <w:t xml:space="preserve">” shall mean, as at any date of determination, an amount equal to the sum of the aggregate amount of all outstanding Indebtedness of Holdings and the Restricted Subsidiaries on a consolidated basis consisting of third-party Indebtedness for borrowed money, Capitalized Lease Obligations and debt obligations evidenced by promissory notes and similar instruments (and excluding, for the avoidance of doubt, Hedging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Total Debt shall not include Letters of Credit, except to the extent of Unpaid Drawings thereunder.</w:t>
      </w:r>
    </w:p>
    <w:p>
      <w:pPr>
        <w:spacing w:after="0" w:line="15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Debt to Consolidated EBITDA Ratio</w:t>
      </w:r>
      <w:r>
        <w:rPr>
          <w:rFonts w:ascii="Arial" w:cs="Arial" w:eastAsia="Arial" w:hAnsi="Arial"/>
          <w:sz w:val="17"/>
          <w:szCs w:val="17"/>
          <w:color w:val="auto"/>
        </w:rPr>
        <w:t xml:space="preserve">” shall mean, as of any date of determination, the ratio of (i) Consolidated Total Debt as of such date of determination,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cash and cash equivalents (in each case, free and clear of all Liens other than Permitted Liens and with “cash and cash equivalents” determined in accordance with GAAP) of Holdings and the Restricted Subsidiaries (other than the proceeds of any Indebtedness being incurred and giving rise to the need to calculate the Consolidated Total Debt to Consolidated EBITDA Ratio) to (ii) Consolidated EBITDA of Holdings for the Test Period then last ended. In the event that Holdings or any Restricted Subsidiary incurs, assumes, guarantees, redeems, retires, or extinguishes any Indebtedness or issues or redeems Disqualified Stock or preferred stock subsequent to the commencement of the Test Period but prior to or simultaneously with the date of determination, then the Consolidated Total Debt to Consolidated EBITDA Ratio shall be calculated giving Pro Forma Effect to such incurrence, assumption, guarantee, redemption, retirement, or extinguishment of Indebtedness, or such issuance or redemption of Disqualified Stock or preferred stock (in each case, including a pro forma application of the net proceeds therefrom), as if the same had occurred at the beginning of the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Pro Forma Effect shall not give effect to any Indebtedness incurred on the date of such determination (except pursuant to the first paragraph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10.1(n)</w:t>
      </w:r>
      <w:r>
        <w:rPr>
          <w:rFonts w:ascii="Arial" w:cs="Arial" w:eastAsia="Arial" w:hAnsi="Arial"/>
          <w:sz w:val="17"/>
          <w:szCs w:val="17"/>
          <w:color w:val="auto"/>
        </w:rPr>
        <w:t>).</w:t>
      </w:r>
    </w:p>
    <w:p>
      <w:pPr>
        <w:spacing w:after="0" w:line="182" w:lineRule="exact"/>
        <w:rPr>
          <w:sz w:val="20"/>
          <w:szCs w:val="20"/>
          <w:color w:val="auto"/>
        </w:rPr>
      </w:pPr>
    </w:p>
    <w:p>
      <w:pPr>
        <w:ind w:right="20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Obligations</w:t>
      </w:r>
      <w:r>
        <w:rPr>
          <w:rFonts w:ascii="Arial" w:cs="Arial" w:eastAsia="Arial" w:hAnsi="Arial"/>
          <w:sz w:val="16"/>
          <w:szCs w:val="16"/>
          <w:color w:val="auto"/>
        </w:rPr>
        <w:t>” shall mean, with respect to any Person, any obligation of such Person guaranteeing any leases, dividends, or other obligations that do not constitute Indebtedness (“</w:t>
      </w:r>
      <w:r>
        <w:rPr>
          <w:rFonts w:ascii="Arial" w:cs="Arial" w:eastAsia="Arial" w:hAnsi="Arial"/>
          <w:sz w:val="16"/>
          <w:szCs w:val="16"/>
          <w:b w:val="1"/>
          <w:bCs w:val="1"/>
          <w:color w:val="auto"/>
        </w:rPr>
        <w:t>primary obligations</w:t>
      </w:r>
      <w:r>
        <w:rPr>
          <w:rFonts w:ascii="Arial" w:cs="Arial" w:eastAsia="Arial" w:hAnsi="Arial"/>
          <w:sz w:val="16"/>
          <w:szCs w:val="16"/>
          <w:color w:val="auto"/>
        </w:rPr>
        <w:t>”)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w:t>
      </w:r>
    </w:p>
    <w:p>
      <w:pPr>
        <w:spacing w:after="0" w:line="2" w:lineRule="exact"/>
        <w:rPr>
          <w:sz w:val="20"/>
          <w:szCs w:val="20"/>
          <w:color w:val="auto"/>
        </w:rPr>
      </w:pPr>
    </w:p>
    <w:p>
      <w:pPr>
        <w:ind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186"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Continuing Term A Loan</w:t>
      </w:r>
      <w:r>
        <w:rPr>
          <w:rFonts w:ascii="Arial" w:cs="Arial" w:eastAsia="Arial" w:hAnsi="Arial"/>
          <w:sz w:val="16"/>
          <w:szCs w:val="16"/>
          <w:u w:val="single" w:color="auto"/>
          <w:color w:val="0000FF"/>
        </w:rPr>
        <w:t>” shall mean, with respect to each Term A Lender listed on Annex C to Amendment No. 2, the principal amount of Term A Loans held by such Lender immediately prior to the Amendment No. 2 Effective Date set forth opposite such Lender’s name on such Annex.</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Requirement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Restricted Subsidiary</w:t>
      </w:r>
      <w:r>
        <w:rPr>
          <w:rFonts w:ascii="Arial" w:cs="Arial" w:eastAsia="Arial" w:hAnsi="Arial"/>
          <w:sz w:val="18"/>
          <w:szCs w:val="18"/>
          <w:color w:val="auto"/>
        </w:rPr>
        <w:t xml:space="preserve">” shall have the meaning provided in the definition of </w:t>
      </w:r>
      <w:r>
        <w:rPr>
          <w:rFonts w:ascii="Arial" w:cs="Arial" w:eastAsia="Arial" w:hAnsi="Arial"/>
          <w:sz w:val="18"/>
          <w:szCs w:val="18"/>
          <w:color w:val="FF0000"/>
          <w:strike w:val="1"/>
        </w:rPr>
        <w:t>the term</w:t>
      </w:r>
      <w:r>
        <w:rPr>
          <w:rFonts w:ascii="Arial" w:cs="Arial" w:eastAsia="Arial" w:hAnsi="Arial"/>
          <w:sz w:val="18"/>
          <w:szCs w:val="18"/>
          <w:color w:val="auto"/>
        </w:rPr>
        <w:t xml:space="preserve">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xml:space="preserve">” shall have the meaning provided in the definition of </w:t>
      </w:r>
      <w:r>
        <w:rPr>
          <w:rFonts w:ascii="Arial" w:cs="Arial" w:eastAsia="Arial" w:hAnsi="Arial"/>
          <w:sz w:val="18"/>
          <w:szCs w:val="18"/>
          <w:color w:val="FF0000"/>
          <w:strike w:val="1"/>
        </w:rPr>
        <w:t>the term</w:t>
      </w:r>
      <w:r>
        <w:rPr>
          <w:rFonts w:ascii="Arial" w:cs="Arial" w:eastAsia="Arial" w:hAnsi="Arial"/>
          <w:sz w:val="18"/>
          <w:szCs w:val="18"/>
          <w:color w:val="auto"/>
        </w:rPr>
        <w:t xml:space="preserve">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Counterparty</w:t>
      </w:r>
      <w:r>
        <w:rPr>
          <w:rFonts w:ascii="Arial" w:cs="Arial" w:eastAsia="Arial" w:hAnsi="Arial"/>
          <w:sz w:val="18"/>
          <w:szCs w:val="18"/>
          <w:color w:val="auto"/>
        </w:rPr>
        <w:t>” shall mean a Person other than a retail customer.</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this Agreement, the Restatement Agreement, each Joinder Agreement, the Guarantees, the Security Documents, and any promissory notes issued by the Borrower pursuant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Event</w:t>
      </w:r>
      <w:r>
        <w:rPr>
          <w:rFonts w:ascii="Arial" w:cs="Arial" w:eastAsia="Arial" w:hAnsi="Arial"/>
          <w:sz w:val="17"/>
          <w:szCs w:val="17"/>
          <w:color w:val="auto"/>
        </w:rPr>
        <w:t>” shall mean and include the making (but not the conversion or continuation) of a Loan and the issuance of a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shall mean, collectively, each category of Commitments and each extension of credit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shall mean a category of Commitments and extensions of credit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shall mean Holdings, the Borrower, and the other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Creditor Party</w:t>
      </w:r>
      <w:r>
        <w:rPr>
          <w:rFonts w:ascii="Arial" w:cs="Arial" w:eastAsia="Arial" w:hAnsi="Arial"/>
          <w:sz w:val="18"/>
          <w:szCs w:val="18"/>
          <w:u w:val="single" w:color="auto"/>
          <w:color w:val="0000FF"/>
        </w:rPr>
        <w:t xml:space="preserve">” shall </w:t>
      </w:r>
      <w:r>
        <w:rPr>
          <w:rFonts w:ascii="Arial" w:cs="Arial" w:eastAsia="Arial" w:hAnsi="Arial"/>
          <w:sz w:val="18"/>
          <w:szCs w:val="18"/>
          <w:u w:val="single" w:color="auto"/>
          <w:color w:val="008000"/>
        </w:rPr>
        <w:t>have the meaning provided in Section</w:t>
      </w:r>
      <w:r>
        <w:rPr>
          <w:rFonts w:ascii="Arial" w:cs="Arial" w:eastAsia="Arial" w:hAnsi="Arial"/>
          <w:sz w:val="18"/>
          <w:szCs w:val="18"/>
          <w:u w:val="single" w:color="auto"/>
          <w:color w:val="0000FF"/>
        </w:rPr>
        <w:t xml:space="preserve"> 12.15.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Right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Daily Simple SOFR</w:t>
      </w:r>
      <w:r>
        <w:rPr>
          <w:rFonts w:ascii="Arial" w:cs="Arial" w:eastAsia="Arial" w:hAnsi="Arial"/>
          <w:sz w:val="18"/>
          <w:szCs w:val="18"/>
          <w:u w:val="single" w:color="auto"/>
          <w:color w:val="0000FF"/>
        </w:rPr>
        <w:t>” with respect to any applicable determination date, shall mean the secured overnight financing rate (“</w:t>
      </w:r>
      <w:r>
        <w:rPr>
          <w:rFonts w:ascii="Arial" w:cs="Arial" w:eastAsia="Arial" w:hAnsi="Arial"/>
          <w:sz w:val="18"/>
          <w:szCs w:val="18"/>
          <w:b w:val="1"/>
          <w:bCs w:val="1"/>
          <w:u w:val="single" w:color="auto"/>
          <w:color w:val="0000FF"/>
        </w:rPr>
        <w:t>SOFR</w:t>
      </w:r>
      <w:r>
        <w:rPr>
          <w:rFonts w:ascii="Arial" w:cs="Arial" w:eastAsia="Arial" w:hAnsi="Arial"/>
          <w:sz w:val="18"/>
          <w:szCs w:val="18"/>
          <w:u w:val="single" w:color="auto"/>
          <w:color w:val="0000FF"/>
        </w:rPr>
        <w:t>”) published on such date by the Federal Reserve Bank of New York, as the administrator of the benchmark (or a successor administrator) on the Federal Reserve Bank of New York’s website (or any successor source).</w:t>
      </w:r>
    </w:p>
    <w:p>
      <w:pPr>
        <w:spacing w:after="0" w:line="176" w:lineRule="exact"/>
        <w:rPr>
          <w:sz w:val="20"/>
          <w:szCs w:val="20"/>
          <w:color w:val="auto"/>
        </w:rPr>
      </w:pPr>
    </w:p>
    <w:p>
      <w:pPr>
        <w:ind w:right="8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Incurrence Prepayment Event</w:t>
      </w:r>
      <w:r>
        <w:rPr>
          <w:rFonts w:ascii="Arial" w:cs="Arial" w:eastAsia="Arial" w:hAnsi="Arial"/>
          <w:sz w:val="17"/>
          <w:szCs w:val="17"/>
          <w:color w:val="auto"/>
        </w:rPr>
        <w:t xml:space="preserve">” shall mean any issuance or incurrence by Holdings or any of the Restricted Subsidiaries of any Indebtedness (excluding any Indebtedness permitted to be issued or incurred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10.1(w)(i))</w:t>
      </w:r>
      <w:r>
        <w:rPr>
          <w:rFonts w:ascii="Arial" w:cs="Arial" w:eastAsia="Arial" w:hAnsi="Arial"/>
          <w:sz w:val="17"/>
          <w:szCs w:val="17"/>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act, or condition that with notice or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whose acts or failure to act, whether directly or indirectly, cause it to meet any part of the definition of “Lender Default”.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w:t>
      </w:r>
      <w:r>
        <w:rPr>
          <w:rFonts w:ascii="Arial" w:cs="Arial" w:eastAsia="Arial" w:hAnsi="Arial"/>
          <w:sz w:val="18"/>
          <w:szCs w:val="18"/>
          <w:color w:val="auto"/>
        </w:rPr>
        <w:t>” shall have the meaning provided such term in the definition of “Net Cash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 Payment Date</w:t>
      </w:r>
      <w:r>
        <w:rPr>
          <w:rFonts w:ascii="Arial" w:cs="Arial" w:eastAsia="Arial" w:hAnsi="Arial"/>
          <w:sz w:val="18"/>
          <w:szCs w:val="18"/>
          <w:color w:val="auto"/>
        </w:rPr>
        <w:t>” shall have the meaning provided such term in the definition of “Net Cash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318"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region or territory to the extent that such country or territory itself is the subject of any Sanction.</w:t>
      </w:r>
    </w:p>
    <w:p>
      <w:pPr>
        <w:spacing w:after="0" w:line="162"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Non-Cash Consideration</w:t>
      </w:r>
      <w:r>
        <w:rPr>
          <w:rFonts w:ascii="Arial" w:cs="Arial" w:eastAsia="Arial" w:hAnsi="Arial"/>
          <w:sz w:val="16"/>
          <w:szCs w:val="16"/>
          <w:color w:val="auto"/>
        </w:rPr>
        <w:t xml:space="preserve">” shall mean the Fair Market Value of non-cash consideration received by Holdings or a Restricted Subsidiary in connection with an Asset Sale that is so designated as Designated Non-Cash Consideration pursuant to a certificate of an Authorized Officer of Holdings or the Borrower, setting forth the basis of such valuation, executed by either a senior vice president or the principal financial officer of Holdings or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60"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xml:space="preserve">” shall mean preferred stock of Holdings or any direct or indirect parent company of Holdings (in each case other than Disqualified Stock) that is issued for cash (other than to a Restricted Subsidiary or an employee stock ownership plan or trust established by Holdings or any of its Subsidiaries) and is so designated as Designated Preferred Stock, pursuant to an officer’s certificate executed by the principal financial officer of Holdings or the parent company thereof, as the case may be, on the issuance date thereof, the cash proceeds of which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83" w:lineRule="exact"/>
        <w:rPr>
          <w:sz w:val="20"/>
          <w:szCs w:val="20"/>
          <w:color w:val="auto"/>
        </w:rPr>
      </w:pPr>
    </w:p>
    <w:p>
      <w:pPr>
        <w:ind w:right="3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Holdings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xml:space="preserve">” shall have the meaning assigned such term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“Asset Sale”.</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Lenders</w:t>
      </w:r>
      <w:r>
        <w:rPr>
          <w:rFonts w:ascii="Arial" w:cs="Arial" w:eastAsia="Arial" w:hAnsi="Arial"/>
          <w:sz w:val="16"/>
          <w:szCs w:val="16"/>
          <w:color w:val="auto"/>
        </w:rPr>
        <w:t xml:space="preserve">” shall mean such Persons (i) that have been specified in writing to the Administrative Agent and the Joint Lead Arrangers and Bookrunners prior to the commencement of “primary syndication” as being Disqualified Lenders, (ii) who are competitors of Holdings and its Subsidiaries that are separately identified in writing by the Borrower to the Administrative Agent from time to time, and (iii) in the case of each of </w:t>
      </w:r>
      <w:r>
        <w:rPr>
          <w:rFonts w:ascii="Arial" w:cs="Arial" w:eastAsia="Arial" w:hAnsi="Arial"/>
          <w:sz w:val="16"/>
          <w:szCs w:val="16"/>
          <w:u w:val="single" w:color="auto"/>
          <w:color w:val="auto"/>
        </w:rPr>
        <w:t>clauses</w:t>
      </w:r>
    </w:p>
    <w:p>
      <w:pPr>
        <w:spacing w:after="0" w:line="2" w:lineRule="exact"/>
        <w:rPr>
          <w:sz w:val="20"/>
          <w:szCs w:val="20"/>
          <w:color w:val="auto"/>
        </w:rPr>
      </w:pPr>
    </w:p>
    <w:p>
      <w:pPr>
        <w:ind w:right="80" w:firstLine="8"/>
        <w:spacing w:after="0" w:line="269" w:lineRule="auto"/>
        <w:tabs>
          <w:tab w:leader="none" w:pos="215" w:val="left"/>
        </w:tabs>
        <w:numPr>
          <w:ilvl w:val="0"/>
          <w:numId w:val="32"/>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(ii)</w:t>
      </w:r>
      <w:r>
        <w:rPr>
          <w:rFonts w:ascii="Arial" w:cs="Arial" w:eastAsia="Arial" w:hAnsi="Arial"/>
          <w:sz w:val="17"/>
          <w:szCs w:val="17"/>
          <w:color w:val="auto"/>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on the basis of such Affiliate’s name. The Administrative Agent shall have the right, and the Borrower hereby expressly authorizes the Administrative Agent, to (A) post the list of Disqualified Lenders provided by the Borrower and any updates thereto from time to time (collectively, the “</w:t>
      </w:r>
      <w:r>
        <w:rPr>
          <w:rFonts w:ascii="Arial" w:cs="Arial" w:eastAsia="Arial" w:hAnsi="Arial"/>
          <w:sz w:val="17"/>
          <w:szCs w:val="17"/>
          <w:b w:val="1"/>
          <w:bCs w:val="1"/>
          <w:color w:val="auto"/>
        </w:rPr>
        <w:t>DQ List</w:t>
      </w:r>
      <w:r>
        <w:rPr>
          <w:rFonts w:ascii="Arial" w:cs="Arial" w:eastAsia="Arial" w:hAnsi="Arial"/>
          <w:sz w:val="17"/>
          <w:szCs w:val="17"/>
          <w:color w:val="auto"/>
        </w:rPr>
        <w:t xml:space="preserve">”) on the Platform, including that portion of the Platform that is designated for “public side” Lenders or (B) provide the DQ List to each Lender requesting the same, it being understood that the DQ List may be disclosed to any assignee or Participant or prospective assignee or Participant, subject to Section </w:t>
      </w:r>
      <w:r>
        <w:rPr>
          <w:rFonts w:ascii="Arial" w:cs="Arial" w:eastAsia="Arial" w:hAnsi="Arial"/>
          <w:sz w:val="17"/>
          <w:szCs w:val="17"/>
          <w:u w:val="single" w:color="auto"/>
          <w:color w:val="auto"/>
        </w:rPr>
        <w:t>13.16</w:t>
      </w:r>
      <w:r>
        <w:rPr>
          <w:rFonts w:ascii="Arial" w:cs="Arial" w:eastAsia="Arial" w:hAnsi="Arial"/>
          <w:sz w:val="17"/>
          <w:szCs w:val="17"/>
          <w:color w:val="auto"/>
        </w:rPr>
        <w:t>.</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Stock</w:t>
      </w:r>
      <w:r>
        <w:rPr>
          <w:rFonts w:ascii="Arial" w:cs="Arial" w:eastAsia="Arial" w:hAnsi="Arial"/>
          <w:sz w:val="17"/>
          <w:szCs w:val="17"/>
          <w:color w:val="auto"/>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or similar event, pursuant to a sinking fund obligation or otherwise, or is redeemable at the option of the holder thereof (other than solely for Qualified Stock), other than as a result of a change of control, asset sale, or similar event, in whole or in part, in each case, prior to the date that is 91 days after the Latest Term Loan Maturity Date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Capital Stock is issued to any plan for the benefit of employees of Holdings or its Subsidiaries or by any such plan to such employees, such Capital Stock shall not constitute Disqualified Stock solely because it may be required to be repurchased by Holdings or its Subsidiaries in order to satisfy applicable statutory or regulatory obligations or as a result of such employee’s termination,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440" w:right="379" w:bottom="1440" w:gutter="0" w:footer="0" w:header="0"/>
        </w:sectPr>
      </w:pPr>
    </w:p>
    <w:bookmarkStart w:id="53" w:name="page54"/>
    <w:bookmarkEnd w:id="53"/>
    <w:p>
      <w:pPr>
        <w:spacing w:after="0" w:line="200" w:lineRule="exact"/>
        <w:rPr>
          <w:sz w:val="20"/>
          <w:szCs w:val="20"/>
          <w:color w:val="auto"/>
        </w:rPr>
      </w:pPr>
    </w:p>
    <w:p>
      <w:pPr>
        <w:spacing w:after="0" w:line="318"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Agents</w:t>
      </w:r>
      <w:r>
        <w:rPr>
          <w:rFonts w:ascii="Arial" w:cs="Arial" w:eastAsia="Arial" w:hAnsi="Arial"/>
          <w:sz w:val="18"/>
          <w:szCs w:val="18"/>
          <w:color w:val="auto"/>
        </w:rPr>
        <w:t>” shall mean Fifth Third Bank and SunTrust Bank, as documentation agents for the Lenders under this Agreement and the other Credit Documents.</w:t>
      </w:r>
    </w:p>
    <w:p>
      <w:pPr>
        <w:spacing w:after="0" w:line="16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shall mean, at any time, (i) with respect to any amount denominated in Dollars, such amount, and (ii) with respect to any amount denominated in any currency other than Dollars, the equivalent amount thereof in Dollars, as determined by the Administrative Agent on the basis of the Spot Rate (determined on the most recent date of determination) for the purchase of Dollars with such currency.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dollars in lawful currency of the United States.</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each Subsidiary of Holdings that is organized under the laws of the United States, any state thereof, or the District of Columbia.</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Early Opt-in Effective Date</w:t>
      </w:r>
      <w:r>
        <w:rPr>
          <w:rFonts w:ascii="Arial" w:cs="Arial" w:eastAsia="Arial" w:hAnsi="Arial"/>
          <w:sz w:val="18"/>
          <w:szCs w:val="18"/>
          <w:u w:val="single" w:color="auto"/>
          <w:color w:val="0000FF"/>
        </w:rPr>
        <w:t>” shall mean,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Early Opt-in Election</w:t>
      </w:r>
      <w:r>
        <w:rPr>
          <w:rFonts w:ascii="Arial" w:cs="Arial" w:eastAsia="Arial" w:hAnsi="Arial"/>
          <w:sz w:val="18"/>
          <w:szCs w:val="18"/>
          <w:u w:val="single" w:color="auto"/>
          <w:color w:val="0000FF"/>
        </w:rPr>
        <w:t>” shall mean the occurrence of:</w:t>
      </w:r>
    </w:p>
    <w:p>
      <w:pPr>
        <w:spacing w:after="0" w:line="229" w:lineRule="exact"/>
        <w:rPr>
          <w:sz w:val="20"/>
          <w:szCs w:val="20"/>
          <w:color w:val="auto"/>
        </w:rPr>
      </w:pPr>
    </w:p>
    <w:p>
      <w:pPr>
        <w:jc w:val="both"/>
        <w:ind w:left="660" w:firstLine="644"/>
        <w:spacing w:after="0" w:line="259" w:lineRule="auto"/>
        <w:tabs>
          <w:tab w:leader="none" w:pos="1714" w:val="left"/>
        </w:tabs>
        <w:numPr>
          <w:ilvl w:val="0"/>
          <w:numId w:val="3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a determination by the Administrative Agent, or a notification by the Borrower to the Administrative Agent that the Borrower has made a determination, that U.S. dollar-denominated syndicated credit facilities </w:t>
      </w:r>
      <w:r>
        <w:rPr>
          <w:rFonts w:ascii="Arial" w:cs="Arial" w:eastAsia="Arial" w:hAnsi="Arial"/>
          <w:sz w:val="18"/>
          <w:szCs w:val="18"/>
          <w:u w:val="single" w:color="auto"/>
          <w:color w:val="008000"/>
        </w:rPr>
        <w:t>currently being executed, or that include language similar to that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contained in </w:t>
      </w:r>
      <w:r>
        <w:rPr>
          <w:rFonts w:ascii="Arial" w:cs="Arial" w:eastAsia="Arial" w:hAnsi="Arial"/>
          <w:sz w:val="18"/>
          <w:szCs w:val="18"/>
          <w:u w:val="single" w:color="auto"/>
          <w:color w:val="0000FF"/>
        </w:rPr>
        <w:t>Section 2.10(d)</w:t>
      </w:r>
      <w:r>
        <w:rPr>
          <w:rFonts w:ascii="Arial" w:cs="Arial" w:eastAsia="Arial" w:hAnsi="Arial"/>
          <w:sz w:val="18"/>
          <w:szCs w:val="18"/>
          <w:u w:val="single" w:color="auto"/>
          <w:color w:val="008000"/>
        </w:rPr>
        <w:t xml:space="preserve">, are being executed or amended (as applicable) to incorporate or adopt a new benchmark interest rate to replace LIBOR, </w:t>
      </w:r>
      <w:r>
        <w:rPr>
          <w:rFonts w:ascii="Arial" w:cs="Arial" w:eastAsia="Arial" w:hAnsi="Arial"/>
          <w:sz w:val="18"/>
          <w:szCs w:val="18"/>
          <w:u w:val="single" w:color="auto"/>
          <w:color w:val="0000FF"/>
        </w:rPr>
        <w:t>and</w:t>
      </w:r>
    </w:p>
    <w:p>
      <w:pPr>
        <w:spacing w:after="0" w:line="186" w:lineRule="exact"/>
        <w:rPr>
          <w:rFonts w:ascii="Arial" w:cs="Arial" w:eastAsia="Arial" w:hAnsi="Arial"/>
          <w:sz w:val="18"/>
          <w:szCs w:val="18"/>
          <w:u w:val="single" w:color="auto"/>
          <w:color w:val="0000FF"/>
        </w:rPr>
      </w:pPr>
    </w:p>
    <w:p>
      <w:pPr>
        <w:ind w:left="660" w:firstLine="644"/>
        <w:spacing w:after="0" w:line="277" w:lineRule="auto"/>
        <w:tabs>
          <w:tab w:leader="none" w:pos="1819" w:val="left"/>
        </w:tabs>
        <w:numPr>
          <w:ilvl w:val="0"/>
          <w:numId w:val="3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joint election by the Administrative Agent and the Borrower to replace LIBOR with a Benchmark Replacement and the provision by the Administrative Agent of written notice of such election to the Lenders.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20" w:firstLine="648"/>
        <w:spacing w:after="0" w:line="281" w:lineRule="auto"/>
        <w:rPr>
          <w:sz w:val="20"/>
          <w:szCs w:val="20"/>
          <w:color w:val="auto"/>
        </w:rPr>
      </w:pPr>
      <w:r>
        <w:rPr>
          <w:rFonts w:ascii="Arial" w:cs="Arial" w:eastAsia="Arial" w:hAnsi="Arial"/>
          <w:sz w:val="17"/>
          <w:szCs w:val="17"/>
          <w:b w:val="1"/>
          <w:bCs w:val="1"/>
          <w:color w:val="auto"/>
        </w:rPr>
        <w:t>“EEA Financial Institution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FF0000"/>
          <w:strike w:val="1"/>
        </w:rPr>
        <w:t>means</w:t>
      </w:r>
      <w:r>
        <w:rPr>
          <w:rFonts w:ascii="Arial" w:cs="Arial" w:eastAsia="Arial" w:hAnsi="Arial"/>
          <w:sz w:val="17"/>
          <w:szCs w:val="17"/>
          <w:u w:val="single" w:color="auto"/>
          <w:color w:val="0000FF"/>
        </w:rPr>
        <w:t>shall mean</w:t>
      </w:r>
      <w:r>
        <w:rPr>
          <w:rFonts w:ascii="Arial" w:cs="Arial" w:eastAsia="Arial" w:hAnsi="Arial"/>
          <w:sz w:val="17"/>
          <w:szCs w:val="17"/>
          <w:b w:val="1"/>
          <w:bCs w:val="1"/>
          <w:color w:val="auto"/>
        </w:rPr>
        <w:t xml:space="preserve"> </w:t>
      </w:r>
      <w:r>
        <w:rPr>
          <w:rFonts w:ascii="Arial" w:cs="Arial" w:eastAsia="Arial" w:hAnsi="Arial"/>
          <w:sz w:val="17"/>
          <w:szCs w:val="17"/>
          <w:color w:val="auto"/>
        </w:rPr>
        <w:t>(a) any credit institution or investment firm established in any EEA Member Country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rPr>
        <w:t>shall mean</w:t>
      </w:r>
      <w:r>
        <w:rPr>
          <w:rFonts w:ascii="Arial" w:cs="Arial" w:eastAsia="Arial" w:hAnsi="Arial"/>
          <w:sz w:val="18"/>
          <w:szCs w:val="18"/>
          <w:color w:val="auto"/>
        </w:rPr>
        <w:t xml:space="preserve"> any of the member states of the European Union, Iceland, Liechtenstein, and Norway.</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EEA Resolution Authority</w:t>
      </w:r>
      <w:r>
        <w:rPr>
          <w:rFonts w:ascii="Arial" w:cs="Arial" w:eastAsia="Arial" w:hAnsi="Arial"/>
          <w:sz w:val="17"/>
          <w:szCs w:val="17"/>
          <w:color w:val="auto"/>
        </w:rPr>
        <w:t xml:space="preserve">” </w:t>
      </w:r>
      <w:r>
        <w:rPr>
          <w:rFonts w:ascii="Arial" w:cs="Arial" w:eastAsia="Arial" w:hAnsi="Arial"/>
          <w:sz w:val="17"/>
          <w:szCs w:val="17"/>
          <w:color w:val="FF0000"/>
          <w:strike w:val="1"/>
        </w:rPr>
        <w:t>means</w:t>
      </w:r>
      <w:r>
        <w:rPr>
          <w:rFonts w:ascii="Arial" w:cs="Arial" w:eastAsia="Arial" w:hAnsi="Arial"/>
          <w:sz w:val="17"/>
          <w:szCs w:val="17"/>
          <w:u w:val="single" w:color="auto"/>
          <w:color w:val="0000FF"/>
        </w:rPr>
        <w:t>shall mean</w:t>
      </w:r>
      <w:r>
        <w:rPr>
          <w:rFonts w:ascii="Arial" w:cs="Arial" w:eastAsia="Arial" w:hAnsi="Arial"/>
          <w:sz w:val="17"/>
          <w:szCs w:val="17"/>
          <w:color w:val="auto"/>
        </w:rPr>
        <w:t xml:space="preserve"> any public administrative authority or any Person entrusted with public administrative authority of any EEA Member Country (including any delegee) having responsibility for the resolution of any EEA Financial Institution.</w:t>
      </w:r>
    </w:p>
    <w:p>
      <w:pPr>
        <w:spacing w:after="0" w:line="140"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Claims</w:t>
      </w:r>
      <w:r>
        <w:rPr>
          <w:rFonts w:ascii="Arial" w:cs="Arial" w:eastAsia="Arial" w:hAnsi="Arial"/>
          <w:sz w:val="18"/>
          <w:szCs w:val="18"/>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Arial" w:cs="Arial" w:eastAsia="Arial" w:hAnsi="Arial"/>
          <w:sz w:val="18"/>
          <w:szCs w:val="18"/>
          <w:b w:val="1"/>
          <w:bCs w:val="1"/>
          <w:color w:val="auto"/>
        </w:rPr>
        <w:t>Claims</w:t>
      </w:r>
      <w:r>
        <w:rPr>
          <w:rFonts w:ascii="Arial" w:cs="Arial" w:eastAsia="Arial" w:hAnsi="Arial"/>
          <w:sz w:val="18"/>
          <w:szCs w:val="18"/>
          <w:color w:val="auto"/>
        </w:rPr>
        <w:t>”), including, without limitation, (i) any and all Claims by governmental or regulatory authorities for enforcement,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32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w:t>
      </w:r>
    </w:p>
    <w:p>
      <w:pPr>
        <w:spacing w:after="0" w:line="120" w:lineRule="exact"/>
        <w:rPr>
          <w:sz w:val="20"/>
          <w:szCs w:val="20"/>
          <w:color w:val="auto"/>
        </w:rPr>
      </w:pPr>
    </w:p>
    <w:p>
      <w:pPr>
        <w:ind w:right="20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spacing w:after="0" w:line="17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Offering</w:t>
      </w:r>
      <w:r>
        <w:rPr>
          <w:rFonts w:ascii="Arial" w:cs="Arial" w:eastAsia="Arial" w:hAnsi="Arial"/>
          <w:sz w:val="18"/>
          <w:szCs w:val="18"/>
          <w:color w:val="auto"/>
        </w:rPr>
        <w:t>” shall mean any public or private sale of common stock or preferred stock of Holdings or any direct or indirect parent company of Holdings (excluding Disqualified Stock), other than: (i) public offerings with respect to the Borrower or any of its direct or indirect parent company’s (including Holdings’) common stock registered on Form S-8, (ii) issuances to any Subsidiary of Holdings, (iii) any such public or private sale that constitutes an Excluded Contribution, and (iv) any Cure Amount.</w:t>
      </w:r>
    </w:p>
    <w:p>
      <w:pPr>
        <w:spacing w:after="0" w:line="180"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 and the rules and regulations promulgated thereunder.</w:t>
      </w:r>
    </w:p>
    <w:p>
      <w:pPr>
        <w:spacing w:after="0" w:line="162" w:lineRule="exact"/>
        <w:rPr>
          <w:sz w:val="20"/>
          <w:szCs w:val="20"/>
          <w:color w:val="auto"/>
        </w:rPr>
      </w:pPr>
    </w:p>
    <w:p>
      <w:pPr>
        <w:jc w:val="both"/>
        <w:ind w:right="5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trade or business (whether or not incorporated) that, together with any Credit Party, is treated as a single employer under Section 414 (b) or (c) of the Code (and Sections 414(m) and (o) of the Code for purposes of provisions relating to Section 412 of the Code).</w:t>
      </w:r>
    </w:p>
    <w:p>
      <w:pPr>
        <w:spacing w:after="0" w:line="17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or the incurrence by any Credit Party or any of its ERISA Affiliates of any liability under Title IV of ERISA with respect to the termination of any Pension Plan, including but not limited to the imposition of any Lien in favor of the PBGC or any Pension Plan; (viii) the receipt by any Credit Party or any of its ERISA Affiliates from the PBGC or a plan administrator of any notice to terminate any Pension Plan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or partial withdrawal from any Pension Plan (or a cessation of operations that is treated as such a withdrawal under Section 4062(e) of ERISA) or Multiemployer Plan; (xi) the receipt by any Credit Party or any of its ERISA Affiliates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318"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rPr>
        <w:t>shall mean</w:t>
      </w:r>
      <w:r>
        <w:rPr>
          <w:rFonts w:ascii="Arial" w:cs="Arial" w:eastAsia="Arial" w:hAnsi="Arial"/>
          <w:sz w:val="18"/>
          <w:szCs w:val="18"/>
          <w:color w:val="auto"/>
        </w:rPr>
        <w:t xml:space="preserve">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Contribution</w:t>
      </w:r>
      <w:r>
        <w:rPr>
          <w:rFonts w:ascii="Arial" w:cs="Arial" w:eastAsia="Arial" w:hAnsi="Arial"/>
          <w:sz w:val="17"/>
          <w:szCs w:val="17"/>
          <w:color w:val="auto"/>
        </w:rPr>
        <w:t xml:space="preserve">” shall mean net cash proceeds, the Fair Market Value of marketable securities, or the Fair Market Value of Qualified Proceeds received by Holdings from (i) contributions to its common equity capital, and (ii) the sale (other than to a Subsidiary of Holdings or to any management equity plan or stock option plan or any other management or employee benefit plan or agreement of Holdings) of Capital Stock (other than Disqualified Stock and Designated Preferred Stock) of Holdings,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non-cash assets shall qualify only if acquired by a parent of Holdings in an arm’s-length transaction within the six months prior to such contribution and (ii) no Cure Amount shall constitute an Excluded Contribution.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shall have the meaning set forth in the Security Agreement.</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Stock and Stock Equivalents</w:t>
      </w:r>
      <w:r>
        <w:rPr>
          <w:rFonts w:ascii="Arial" w:cs="Arial" w:eastAsia="Arial" w:hAnsi="Arial"/>
          <w:sz w:val="16"/>
          <w:szCs w:val="16"/>
          <w:color w:val="auto"/>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Capital Stock and Stock Equivalents of any Foreign Subsidiary or any CFC Holding Company, any Voting Stock or Stock Equivalents of any such Foreign Subsidiary or such CFC Holding Company in excess of 66% of the total voting power of all outstanding Voting Stock or Stock Equivalents of such Foreign Subsidiary or CFC Holding Company, (iii) any Capital Stock or Stock Equivalents to the extent the pledge thereof would violate any applicable Requirement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of the definition of “Permitted Lien” or (B) any Capital Stock or Stock Equivalents of any Subsidiary that is not Wholly-Owned by Holdings and its Subsidiaries at the time such Subsidiary becomes a Subsidiary, any Capital Stock or Stock Equivalents of each such Subsidiary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apply if (x) such other party is a Credit Party or Wholly-Owned Subsidiary or</w:t>
      </w:r>
    </w:p>
    <w:p>
      <w:pPr>
        <w:spacing w:after="0" w:line="4" w:lineRule="exact"/>
        <w:rPr>
          <w:sz w:val="20"/>
          <w:szCs w:val="20"/>
          <w:color w:val="auto"/>
        </w:rPr>
      </w:pPr>
    </w:p>
    <w:p>
      <w:pPr>
        <w:ind w:right="140" w:firstLine="8"/>
        <w:spacing w:after="0" w:line="281" w:lineRule="auto"/>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consent has been obtained to consummate such pledge (it being understood that the foregoing shall not be deemed to obligate Holdings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w:t>
      </w:r>
    </w:p>
    <w:p>
      <w:pPr>
        <w:spacing w:after="0" w:line="3" w:lineRule="exact"/>
        <w:rPr>
          <w:rFonts w:ascii="Arial" w:cs="Arial" w:eastAsia="Arial" w:hAnsi="Arial"/>
          <w:sz w:val="16"/>
          <w:szCs w:val="16"/>
          <w:color w:val="auto"/>
        </w:rPr>
      </w:pPr>
    </w:p>
    <w:p>
      <w:pPr>
        <w:ind w:right="80" w:firstLine="8"/>
        <w:spacing w:after="0" w:line="295"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Capital Stock or Stock Equivalents of any Subsidiary to the extent that the pledge of such Capital Stock or Stock Equivalents would result in materially adverse tax consequences to Holdings or any Subsidiary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any special purpose entity or a Managed Care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440" w:right="399" w:bottom="1440" w:gutter="0" w:footer="0" w:header="0"/>
        </w:sectPr>
      </w:pPr>
    </w:p>
    <w:bookmarkStart w:id="56" w:name="page57"/>
    <w:bookmarkEnd w:id="56"/>
    <w:p>
      <w:pPr>
        <w:spacing w:after="0" w:line="200" w:lineRule="exact"/>
        <w:rPr>
          <w:sz w:val="20"/>
          <w:szCs w:val="20"/>
          <w:color w:val="auto"/>
        </w:rPr>
      </w:pPr>
    </w:p>
    <w:p>
      <w:pPr>
        <w:spacing w:after="0" w:line="31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xml:space="preserve">” shall mean (i) each Subsidiary, in each case, for so long as any such Subsidiary does not (on a consolidated basis with its Restricted Subsidiaries) constitute a Material Subsidiary, (ii) each Subsidiary that is not a Wholly-Owned Subsidiary on any date such Subsidiary would otherwise be required to become a Guarantor pursuant to the requirements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(for so long as such Subsidiary remains a non Wholly-Owned Restricted Subsidiary), (iii) any CFC Holding Company, (iv) any Domestic Subsidiary that is a Subsidiary of a Foreign Subsidiary that is a CFC, (v) any Foreign Subsidiary, (vi) each Subsidiary that is prohibited by any applicable Contractual Requirement or Requirement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Holdings, the consequence of providing a Guarantee of the Obligations would adversely affect the ability of Holdings and its Subsidiaries to satisfy applicable Requirements of Law, (viii) any other Subsidiary with respect to which, (a) in the reasonable judgment of the Administrative Agent and Borrower, as agreed in writing, the cost or other consequences of providing a Guarantee of the Obligations shall be excessive in view of the benefits to be obtained by the Lenders therefrom or (b) providing such a Guarantee would result in material adverse tax consequences as reasonably determined by the Borrower in consultation with the Administrative Agent, (ix) each Unrestricted Subsidiary, (x) any Receivables Subsidiary, (xi)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(xii) each SPV or not-for-profit Subsidiary and (xiii) any Managed Care Subsidiary.</w:t>
      </w:r>
    </w:p>
    <w:p>
      <w:pPr>
        <w:spacing w:after="0" w:line="3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Swap Obligation</w:t>
      </w:r>
      <w:r>
        <w:rPr>
          <w:rFonts w:ascii="Arial" w:cs="Arial" w:eastAsia="Arial" w:hAnsi="Arial"/>
          <w:sz w:val="17"/>
          <w:szCs w:val="17"/>
          <w:color w:val="auto"/>
        </w:rPr>
        <w:t>” shall mean, with respect to any Credit Party, (a) any Swap Obligation if, and to the extent that, all or a portion of the Obligations of such Credit Party of, or the grant by such Credit Party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Credit Parties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xml:space="preserve">” shall mean, with respect to the Administrative Agent, any Lender, or any other recipient of any payment to be made by or on account of any obligation of any Credit Party hereunder or under any other Credit Document, (i) Taxes imposed on or measured by its overall net income, net profits,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Credit Documents or any transactions contemplated thereunder), (ii) any United States federal withholding Tax imposed on any payment by or on account of any obligation of any Credit Party hereunder or under any other Credit Document that is required to be imposed on amounts payable to or for the account of a Lender pursuant to laws in force at the time such Lender acquires an interest in any Credit Document (or designates a new lending office), other than in the case of a Lender that is an assignee pursuant to a request by the Borrower under </w:t>
      </w:r>
      <w:r>
        <w:rPr>
          <w:rFonts w:ascii="Arial" w:cs="Arial" w:eastAsia="Arial" w:hAnsi="Arial"/>
          <w:sz w:val="17"/>
          <w:szCs w:val="17"/>
          <w:u w:val="single" w:color="auto"/>
          <w:color w:val="auto"/>
        </w:rPr>
        <w:t>Section 13.7</w:t>
      </w:r>
      <w:r>
        <w:rPr>
          <w:rFonts w:ascii="Arial" w:cs="Arial" w:eastAsia="Arial" w:hAnsi="Arial"/>
          <w:sz w:val="17"/>
          <w:szCs w:val="17"/>
          <w:color w:val="auto"/>
        </w:rPr>
        <w:t xml:space="preserve"> (or that designates a new lending office pursuant to a request by the Borrower), except to the extent that such Lender (or its assignor, if any) was entitled, immediately prior to the designation of a new lending office (or assignment), to receive additional amounts from the Credit Parties with respect to such withholding Tax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(iii) any withholding Taxes attributable to a recipient’s failure to comply with </w:t>
      </w:r>
      <w:r>
        <w:rPr>
          <w:rFonts w:ascii="Arial" w:cs="Arial" w:eastAsia="Arial" w:hAnsi="Arial"/>
          <w:sz w:val="17"/>
          <w:szCs w:val="17"/>
          <w:u w:val="single" w:color="auto"/>
          <w:color w:val="auto"/>
        </w:rPr>
        <w:t>Section 5.4(e)</w:t>
      </w:r>
      <w:r>
        <w:rPr>
          <w:rFonts w:ascii="Arial" w:cs="Arial" w:eastAsia="Arial" w:hAnsi="Arial"/>
          <w:sz w:val="17"/>
          <w:szCs w:val="17"/>
          <w:color w:val="auto"/>
        </w:rPr>
        <w:t>, or (iv) any withholding Tax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Class</w:t>
      </w:r>
      <w:r>
        <w:rPr>
          <w:rFonts w:ascii="Arial" w:cs="Arial" w:eastAsia="Arial" w:hAnsi="Arial"/>
          <w:sz w:val="18"/>
          <w:szCs w:val="18"/>
          <w:color w:val="auto"/>
        </w:rPr>
        <w:t>” shall mean any Existing Term Loan Class and any Existing Revolving Credit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shall mean those certain letters of credit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 Term Loan Extension Request.</w:t>
      </w:r>
    </w:p>
    <w:p>
      <w:pPr>
        <w:spacing w:after="0" w:line="22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Series</w:t>
      </w:r>
      <w:r>
        <w:rPr>
          <w:rFonts w:ascii="Arial" w:cs="Arial" w:eastAsia="Arial" w:hAnsi="Arial"/>
          <w:sz w:val="17"/>
          <w:szCs w:val="17"/>
          <w:color w:val="auto"/>
        </w:rPr>
        <w:t>” shall mean all Extended Term Loans and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extension fees, and amortization schedule.</w:t>
      </w:r>
    </w:p>
    <w:p>
      <w:pPr>
        <w:spacing w:after="0" w:line="165" w:lineRule="exact"/>
        <w:rPr>
          <w:sz w:val="20"/>
          <w:szCs w:val="20"/>
          <w:color w:val="auto"/>
        </w:rPr>
      </w:pPr>
    </w:p>
    <w:p>
      <w:pPr>
        <w:ind w:right="5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Eye Care Club</w:t>
      </w:r>
      <w:r>
        <w:rPr>
          <w:rFonts w:ascii="Arial" w:cs="Arial" w:eastAsia="Arial" w:hAnsi="Arial"/>
          <w:sz w:val="17"/>
          <w:szCs w:val="17"/>
          <w:color w:val="auto"/>
        </w:rPr>
        <w:t>” shall mean the multi-year programs offered from locations operated by Holdings or its Subsidiaries pursuant to which a purchaser/customer obtains the right to obtain multiple eye examinations and discounts on eyewear during the program period.</w:t>
      </w:r>
    </w:p>
    <w:p>
      <w:pPr>
        <w:spacing w:after="0" w:line="14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80"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60"/>
          </w:cols>
          <w:pgMar w:left="320" w:top="1440" w:right="419" w:bottom="1440" w:gutter="0" w:footer="0" w:header="0"/>
          <w:type w:val="continuous"/>
        </w:sectPr>
      </w:pPr>
    </w:p>
    <w:bookmarkStart w:id="58" w:name="page59"/>
    <w:bookmarkEnd w:id="58"/>
    <w:p>
      <w:pPr>
        <w:spacing w:after="0" w:line="200" w:lineRule="exact"/>
        <w:rPr>
          <w:sz w:val="20"/>
          <w:szCs w:val="20"/>
          <w:color w:val="auto"/>
        </w:rPr>
      </w:pPr>
    </w:p>
    <w:p>
      <w:pPr>
        <w:spacing w:after="0" w:line="3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1471(b)(1) of the Code as of the date of this Agreement (or any amended or successor version described above), and any intergovernmental agreements (or related legislation or official administrative rules or practices) implementing the foregoing.</w:t>
      </w:r>
    </w:p>
    <w:p>
      <w:pPr>
        <w:spacing w:after="0" w:line="166"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xml:space="preserve">” shall mean, for any day, the weighted average of the per annum rates on overnight federal funds transactions with members of the Federal Reserve System on such day, as published on the next succeeding Business Day by the Federal Reserve Bank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mean all amounts payable pursuant to, or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Intercreditor Agreement</w:t>
      </w:r>
      <w:r>
        <w:rPr>
          <w:rFonts w:ascii="Arial" w:cs="Arial" w:eastAsia="Arial" w:hAnsi="Arial"/>
          <w:sz w:val="17"/>
          <w:szCs w:val="17"/>
          <w:color w:val="auto"/>
        </w:rPr>
        <w:t xml:space="preserve">” shall mean an Intercreditor Agreement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158"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shall mean the Obligations and the Permitted Other Indebtedness Obligations that are secured by the Collateral on an equal priority basis (but without regard to the control of remedies) with liens on the Collateral securing the Obligations.</w:t>
      </w:r>
    </w:p>
    <w:p>
      <w:pPr>
        <w:spacing w:after="0" w:line="162" w:lineRule="exact"/>
        <w:rPr>
          <w:sz w:val="20"/>
          <w:szCs w:val="20"/>
          <w:color w:val="auto"/>
        </w:rPr>
      </w:pPr>
    </w:p>
    <w:p>
      <w:pPr>
        <w:ind w:right="420" w:firstLine="648"/>
        <w:spacing w:after="0" w:line="312"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First Lien Secured</w:t>
      </w:r>
      <w:r>
        <w:rPr>
          <w:rFonts w:ascii="Arial" w:cs="Arial" w:eastAsia="Arial" w:hAnsi="Arial"/>
          <w:sz w:val="17"/>
          <w:szCs w:val="17"/>
          <w:color w:val="FF0000"/>
          <w:strike w:val="1"/>
        </w:rPr>
        <w:t xml:space="preserve"> </w:t>
      </w:r>
      <w:r>
        <w:rPr>
          <w:rFonts w:ascii="Arial" w:cs="Arial" w:eastAsia="Arial" w:hAnsi="Arial"/>
          <w:sz w:val="17"/>
          <w:szCs w:val="17"/>
          <w:b w:val="1"/>
          <w:bCs w:val="1"/>
          <w:color w:val="008000"/>
          <w:strike w:val="1"/>
        </w:rPr>
        <w:t>Leverage Test</w:t>
      </w:r>
      <w:r>
        <w:rPr>
          <w:rFonts w:ascii="Arial" w:cs="Arial" w:eastAsia="Arial" w:hAnsi="Arial"/>
          <w:sz w:val="17"/>
          <w:szCs w:val="17"/>
          <w:color w:val="008000"/>
          <w:strike w:val="1"/>
        </w:rPr>
        <w:t>” shall mean, as of any date of determination, with respect to the last day of the most recently ended Test</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Period, the Consolidated </w:t>
      </w:r>
      <w:r>
        <w:rPr>
          <w:rFonts w:ascii="Arial" w:cs="Arial" w:eastAsia="Arial" w:hAnsi="Arial"/>
          <w:sz w:val="17"/>
          <w:szCs w:val="17"/>
          <w:color w:val="FF0000"/>
          <w:strike w:val="1"/>
        </w:rPr>
        <w:t>First Lien Secured</w:t>
      </w:r>
      <w:r>
        <w:rPr>
          <w:rFonts w:ascii="Arial" w:cs="Arial" w:eastAsia="Arial" w:hAnsi="Arial"/>
          <w:sz w:val="17"/>
          <w:szCs w:val="17"/>
          <w:color w:val="008000"/>
          <w:strike w:val="1"/>
        </w:rPr>
        <w:t xml:space="preserve"> Debt to Consolidated EBITDA Ratio shall be no greater than 3.25 to 1.00.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FirstSight</w:t>
      </w:r>
      <w:r>
        <w:rPr>
          <w:rFonts w:ascii="Arial" w:cs="Arial" w:eastAsia="Arial" w:hAnsi="Arial"/>
          <w:sz w:val="18"/>
          <w:szCs w:val="18"/>
          <w:color w:val="auto"/>
        </w:rPr>
        <w:t>” shall mean FirstSight Vision Services, Inc., a California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shall mean, with respect to any Person for any period, the sum of:</w:t>
      </w:r>
    </w:p>
    <w:p>
      <w:pPr>
        <w:spacing w:after="0" w:line="229" w:lineRule="exact"/>
        <w:rPr>
          <w:sz w:val="20"/>
          <w:szCs w:val="20"/>
          <w:color w:val="auto"/>
        </w:rPr>
      </w:pPr>
    </w:p>
    <w:p>
      <w:pPr>
        <w:ind w:left="1180" w:hanging="3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225" w:lineRule="exact"/>
        <w:rPr>
          <w:rFonts w:ascii="Arial" w:cs="Arial" w:eastAsia="Arial" w:hAnsi="Arial"/>
          <w:sz w:val="18"/>
          <w:szCs w:val="18"/>
          <w:color w:val="auto"/>
        </w:rPr>
      </w:pPr>
    </w:p>
    <w:p>
      <w:pPr>
        <w:ind w:left="660" w:right="460" w:firstLine="176"/>
        <w:spacing w:after="0" w:line="277" w:lineRule="auto"/>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170" w:lineRule="exact"/>
        <w:rPr>
          <w:rFonts w:ascii="Arial" w:cs="Arial" w:eastAsia="Arial" w:hAnsi="Arial"/>
          <w:sz w:val="18"/>
          <w:szCs w:val="18"/>
          <w:color w:val="auto"/>
        </w:rPr>
      </w:pPr>
    </w:p>
    <w:p>
      <w:pPr>
        <w:ind w:left="1280" w:hanging="444"/>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cash dividend payments (excluding items eliminated in consolidation) on any series of Disqualified Stock made during such period.</w:t>
      </w:r>
    </w:p>
    <w:p>
      <w:pPr>
        <w:spacing w:after="0" w:line="24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Benefit Arrangement</w:t>
      </w:r>
      <w:r>
        <w:rPr>
          <w:rFonts w:ascii="Arial" w:cs="Arial" w:eastAsia="Arial" w:hAnsi="Arial"/>
          <w:sz w:val="18"/>
          <w:szCs w:val="18"/>
          <w:color w:val="auto"/>
        </w:rPr>
        <w:t>” shall mean any employee benefit arrangement mandated by non-U.S. law that is maintained or contributed to by any Credit Party or any of its Subsidiaries.</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162"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Plan Event</w:t>
      </w:r>
      <w:r>
        <w:rPr>
          <w:rFonts w:ascii="Arial" w:cs="Arial" w:eastAsia="Arial" w:hAnsi="Arial"/>
          <w:sz w:val="17"/>
          <w:szCs w:val="17"/>
          <w:color w:val="auto"/>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59" w:name="page60"/>
    <w:bookmarkEnd w:id="59"/>
    <w:p>
      <w:pPr>
        <w:spacing w:after="0" w:line="200" w:lineRule="exact"/>
        <w:rPr>
          <w:sz w:val="20"/>
          <w:szCs w:val="20"/>
          <w:color w:val="auto"/>
        </w:rPr>
      </w:pPr>
    </w:p>
    <w:p>
      <w:pPr>
        <w:spacing w:after="0" w:line="32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Plan or Foreign Benefit Arrangement to comply with any provisions of applicable law or regulations or with the terms of such Foreign Plan or Foreign Benefit Arrangement.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each Subsidiary of Holdings that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Agent</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Exposure</w:t>
      </w:r>
      <w:r>
        <w:rPr>
          <w:rFonts w:ascii="Arial" w:cs="Arial" w:eastAsia="Arial" w:hAnsi="Arial"/>
          <w:sz w:val="17"/>
          <w:szCs w:val="17"/>
          <w:color w:val="auto"/>
        </w:rPr>
        <w:t>” shall mean, at any time there is a Defaulting Lender, (i) with respect to a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 and (ii) with respect to the Swingline Lender, such Defaulting Lender’s Revolving Credit Commitment Percentage of Swingline Loans other than Swingline Loans as to which such Defaulting Lender’s participation obligation has been reallocated to other Lenders in accordance with the terms hereof.</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62" w:lineRule="exact"/>
        <w:rPr>
          <w:sz w:val="20"/>
          <w:szCs w:val="20"/>
          <w:color w:val="auto"/>
        </w:rPr>
      </w:pPr>
    </w:p>
    <w:p>
      <w:pPr>
        <w:ind w:right="26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Funded Debt</w:t>
      </w:r>
      <w:r>
        <w:rPr>
          <w:rFonts w:ascii="Arial" w:cs="Arial" w:eastAsia="Arial" w:hAnsi="Arial"/>
          <w:sz w:val="16"/>
          <w:szCs w:val="16"/>
          <w:color w:val="auto"/>
        </w:rPr>
        <w:t>” shall mean all Indebtedness of Holdings and the Restricted Subsidiaries for borrowed money that matures more than one year from the date of its creation or matures within one year from such date that is renewable or extendable, at the option of Holdings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w:t>
      </w:r>
    </w:p>
    <w:p>
      <w:pPr>
        <w:spacing w:after="0" w:line="15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shall mean generally accepted accounting principles in the United States,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Holdings may elect to apply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any such election, once made,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calculation or determination in this Agreement that requires the application of GAAP for periods that include fiscal quarters ended prior to Holdings’ election to apply IFRS shall remain as previously calculated or determined in accordance with GAAP. The Borrower shall give written notice of any such election made in accordance with this definition to the Administrative Agent. For the avoidance of doubt, solely making an election (without any other action) referred to in this definition will not be treated as an incurrence of Indebtedness. Notwithstanding any other provision contained herein, the amount of any Indebtedness under GAAP with respect to Capitalized Lease Obligations shall be determined in accordance with the definition of “Capitalized Lease Obligations”.</w:t>
      </w:r>
    </w:p>
    <w:p>
      <w:pPr>
        <w:spacing w:after="0" w:line="184"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60" w:name="page61"/>
    <w:bookmarkEnd w:id="60"/>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(i) the Guarantee made by Holdings and each other Guarantor in favor of the Collateral Agent for the benefit of the Secured Parties, dated as of the Closing Date, and (ii) any other guarantee of the Obligations made by a Restricted Subsidiary in form and substance reasonably acceptable to the Administrative Agent.</w:t>
      </w:r>
    </w:p>
    <w:p>
      <w:pPr>
        <w:spacing w:after="0" w:line="17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obligations</w:t>
      </w:r>
      <w:r>
        <w:rPr>
          <w:rFonts w:ascii="Arial" w:cs="Arial" w:eastAsia="Arial" w:hAnsi="Arial"/>
          <w:sz w:val="16"/>
          <w:szCs w:val="16"/>
          <w:color w:val="auto"/>
        </w:rPr>
        <w:t xml:space="preserve">”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6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shall mean (i) each Subsidiary of Holdings that is party to the Guarantee on the Restatement Effective Date, (ii) each Subsidiary of Holdings that becomes a party to the Guarantee after the Restatement Effective Date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or otherwise, and (iii)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Excluded Subsidiary be required to be a Guarantor (unless such Subsidiary is no longer an Excluded Subsidiary).</w:t>
      </w:r>
    </w:p>
    <w:p>
      <w:pPr>
        <w:spacing w:after="0" w:line="14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spacing w:after="0" w:line="16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Agreements</w:t>
      </w:r>
      <w:r>
        <w:rPr>
          <w:rFonts w:ascii="Arial" w:cs="Arial" w:eastAsia="Arial" w:hAnsi="Arial"/>
          <w:sz w:val="16"/>
          <w:szCs w:val="16"/>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Bank</w:t>
      </w:r>
      <w:r>
        <w:rPr>
          <w:rFonts w:ascii="Arial" w:cs="Arial" w:eastAsia="Arial" w:hAnsi="Arial"/>
          <w:sz w:val="18"/>
          <w:szCs w:val="18"/>
          <w:color w:val="auto"/>
        </w:rPr>
        <w:t>” shall mean (i) (a) any Person that, at the time it enters into a Hedge Agreement, is a Lender, an Agent or an Affiliate of a Lender or an Agent and (b) with respect to any Hedge Agreement entered into prior to the Restatement Effective Date, any Person that is a Lender or an Agent or an Affiliate of a Lender or an Agent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32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Restatement Effective Date and (ii) any other Person that is designated by the Borrower as a “Hedge Bank” by written notice to the Administrative Agent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or such other form reasonably acceptable to the Administrative Agent.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shall mean, with respect to any Person, the obligations of such Person under any Hedge Agreements.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Historical Financial Statements</w:t>
      </w:r>
      <w:r>
        <w:rPr>
          <w:rFonts w:ascii="Arial" w:cs="Arial" w:eastAsia="Arial" w:hAnsi="Arial"/>
          <w:sz w:val="17"/>
          <w:szCs w:val="17"/>
          <w:color w:val="auto"/>
        </w:rPr>
        <w:t>” shall mean (i) the audited consolidated balance sheets of Holdings and its Subsidiaries as at December 31, 2017 and December 31, 2018, and the related audited consolidated statements of income and cash flow of Holdings and its Subsidiaries for the years ended December 31, 2017 and December 31, 2018 and (ii) the unaudited interim consolidated balance sheets of Holdings and its Subsidiaries for the fiscal quarters ending September 30, 2018, December 31, 2018 and March 31, 2019 and the related unaudited consolidated statements of income and cash flow of Holdings and its Subsidiaries for fiscal quarters ending September 30, 2018, December 31, 2018 and March 31, 2019.</w:t>
      </w:r>
    </w:p>
    <w:p>
      <w:pPr>
        <w:spacing w:after="0" w:line="16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Holdings</w:t>
      </w:r>
      <w:r>
        <w:rPr>
          <w:rFonts w:ascii="Arial" w:cs="Arial" w:eastAsia="Arial" w:hAnsi="Arial"/>
          <w:sz w:val="16"/>
          <w:szCs w:val="16"/>
          <w:color w:val="auto"/>
        </w:rPr>
        <w:t>” shall mean (i) Holdings (as defined in the preamble to this Agreement) or (ii) after the Restatement Effective Date any other Person or Persons (“</w:t>
      </w:r>
      <w:r>
        <w:rPr>
          <w:rFonts w:ascii="Arial" w:cs="Arial" w:eastAsia="Arial" w:hAnsi="Arial"/>
          <w:sz w:val="16"/>
          <w:szCs w:val="16"/>
          <w:b w:val="1"/>
          <w:bCs w:val="1"/>
          <w:color w:val="auto"/>
        </w:rPr>
        <w:t>New Holdings</w:t>
      </w:r>
      <w:r>
        <w:rPr>
          <w:rFonts w:ascii="Arial" w:cs="Arial" w:eastAsia="Arial" w:hAnsi="Arial"/>
          <w:sz w:val="16"/>
          <w:szCs w:val="16"/>
          <w:color w:val="auto"/>
        </w:rPr>
        <w:t>”) that is a Subsidiary of (or are Subsidiaries of) Holdings or of any Parent Entity of Holdings (or the previous New Holdings, as the case may be) but not the Borrower (“</w:t>
      </w:r>
      <w:r>
        <w:rPr>
          <w:rFonts w:ascii="Arial" w:cs="Arial" w:eastAsia="Arial" w:hAnsi="Arial"/>
          <w:sz w:val="16"/>
          <w:szCs w:val="16"/>
          <w:b w:val="1"/>
          <w:bCs w:val="1"/>
          <w:color w:val="auto"/>
        </w:rPr>
        <w:t>Previous 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Holdings directly owns (i) 100% of the Equity Interests of the Borrower and (ii) 100% of the Equity Interests of each other direct Subsidiary of Previous Holdings which were owned by Previous Holdings immediately prior thereto,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and each other direct Subsidiary of Previous Holdings and substantially all of the other assets of Previous Holdings are contributed or otherwise transferred, directly or indirectly, to such New Holdings and pledged to secure the Obligations, (f) (i) no Event of Default has occurred and is continuing at the time of such substitution and such substitution does not result in any Event of Default, (ii) such substitution does not result in any material adverse tax consequences to any Credit Party and</w:t>
      </w:r>
    </w:p>
    <w:p>
      <w:pPr>
        <w:spacing w:after="0" w:line="8" w:lineRule="exact"/>
        <w:rPr>
          <w:sz w:val="20"/>
          <w:szCs w:val="20"/>
          <w:color w:val="auto"/>
        </w:rPr>
      </w:pPr>
    </w:p>
    <w:p>
      <w:pPr>
        <w:ind w:right="140" w:firstLine="8"/>
        <w:spacing w:after="0" w:line="273" w:lineRule="auto"/>
        <w:tabs>
          <w:tab w:leader="none" w:pos="3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such substitution does not result in any adverse tax consequences to any Lender (unless reimbursed hereunder) or to the Administrative Agent (unless reimbursed hereunder), (g) no Change of Control shall occur;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each of the foregoing is satisfied, Previous Holdings shall be automatically released of all its obligations under the Credit Documents and any reference to Holdings in the Credit Documents shall be meant to refer to New Holdings and (h) New Holdings shall be organized in the United States, any state thereof or the District of Columbia.</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shall have the meaning given such term in the definition of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32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Indebtedness of any direct or indirect parent company appearing upon the balance sheet of Holdings solely by reason of push down accounting under GAAP shall be excluded, (ii) to the extent not otherwise included, any obligation by such Person to be liable for, or to pay, as obligor, guarantor or otherwise, on the obligations of the type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another Person secured by a Lien on any asset owned by such Person, whether or not such Indebtedness is assumed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or (6) any earn-out obligation until such obligation, within 60 days of becoming due and payable, has not been paid and such obligation is reflected as a liability on the balance sheet of such Person in accordance with GAAP. The amount of Indebtedness of any Person for purposes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spacing w:after="0" w:line="184" w:lineRule="exact"/>
        <w:rPr>
          <w:sz w:val="20"/>
          <w:szCs w:val="20"/>
          <w:color w:val="auto"/>
        </w:rPr>
      </w:pPr>
    </w:p>
    <w:p>
      <w:pPr>
        <w:jc w:val="both"/>
        <w:ind w:right="660" w:firstLine="648"/>
        <w:spacing w:after="0" w:line="263" w:lineRule="auto"/>
        <w:rPr>
          <w:sz w:val="20"/>
          <w:szCs w:val="20"/>
          <w:color w:val="auto"/>
        </w:rPr>
      </w:pPr>
      <w:r>
        <w:rPr>
          <w:rFonts w:ascii="Arial" w:cs="Arial" w:eastAsia="Arial" w:hAnsi="Arial"/>
          <w:sz w:val="18"/>
          <w:szCs w:val="18"/>
          <w:color w:val="auto"/>
        </w:rPr>
        <w:t>For all purposes hereof, the Indebtedness of Holdings, the Borrower and the other Restricted Subsidiaries, shall exclude all intercompany Indebtedness having a term not exceeding 365 days (inclusive of any roll-over or extensions of terms) and made in the ordinary course of business consistent with past practice.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“Indemnified Person</w:t>
      </w:r>
      <w:r>
        <w:rPr>
          <w:rFonts w:ascii="Arial" w:cs="Arial" w:eastAsia="Arial" w:hAnsi="Arial"/>
          <w:sz w:val="18"/>
          <w:szCs w:val="18"/>
          <w:color w:val="auto"/>
        </w:rPr>
        <w:t>” shall have the meaning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all Taxes imposed on or with respect to any payment by or on account of any obligation of any Credit Party hereunder or under any other Credit Document, other than Excluded Taxes or Other Taxes.</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w:t>
      </w:r>
      <w:r>
        <w:rPr>
          <w:rFonts w:ascii="Arial" w:cs="Arial" w:eastAsia="Arial" w:hAnsi="Arial"/>
          <w:sz w:val="18"/>
          <w:szCs w:val="18"/>
          <w:color w:val="auto"/>
        </w:rPr>
        <w:t>” shall mean Kohlberg Kravis Roberts &amp; Co. L.P., KKR North America Fund XI L.P., KKR North America Fund XI ESC L.P., KKR North America Fund XI SBS L.P., KKR Partners III, L.P. KKR CIS Global Investor L.P., CPS Managers Fund L.P., KKR Principal Opportunities Partnership (Domestic) L.P., KKR Principal Opportunities Partnership (Domestic) L.P., Berkshire Fund VI, Limited Partnership, Berkshire Investors LLC and Berkshire Investors III LLC, and each of their respective Affiliates and successors.</w:t>
      </w:r>
    </w:p>
    <w:p>
      <w:pPr>
        <w:spacing w:after="0" w:line="180"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shall mean, with respect to any Multiemployer Plan, the condition that such Multiemployer Plan is insolvent within the meaning of Section 4245 of ERISA.</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shall mean U.S. and foreign intellectual property, including all (i) (a) patents, inventions, processes, developments, technology, and know-how; (b) copyrights and works of authorship in any media, including graphics, advertising materials, labels, package designs, and photographs; (c) trademarks, service marks, trade names, brand names, corporate names,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divisions, re-issues, re-examinations, foreign counterparts, or similar legal protections related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63" w:name="page64"/>
    <w:bookmarkEnd w:id="63"/>
    <w:p>
      <w:pPr>
        <w:spacing w:after="0" w:line="200" w:lineRule="exact"/>
        <w:rPr>
          <w:sz w:val="20"/>
          <w:szCs w:val="20"/>
          <w:color w:val="auto"/>
        </w:rPr>
      </w:pPr>
    </w:p>
    <w:p>
      <w:pPr>
        <w:spacing w:after="0" w:line="31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Holdings in the same manner as the other investments included in this definition to the extent such transactions involve the transfer of cash or other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Investments shall not include, in the case of Holdings, the Borrower, and the other Restricted Subsidiaries, intercompany loans, advances, or Indebtedness either (i) having a term not exceeding 364 days (inclusive of any roll-over or extensions of terms) and made in the ordinary course of business or (ii) arising from cash management, tax and/or accounting operations.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the definition of “Unrestricted Subsidiary” and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660" w:right="20" w:firstLine="176"/>
        <w:spacing w:after="0" w:line="296" w:lineRule="auto"/>
        <w:tabs>
          <w:tab w:leader="none" w:pos="119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Investments shall include the portion (proportionate to Holdings’ equity interest in such Subsidiary) of the Fair Market Value of the net assets of a Subsidiary of Holdings at the time that such Subsidiary is designated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 redesignation of such Subsidiary as a Restricted Subsidiary, Holdings shall be deemed to continue to have a permanent Investment in an Unrestricted Subsidiary in an amount (if positive) equal to (a) Holdings’ Investment in such Subsidiary at the time of such redesignation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portion (proportionate to Holdings’ equity interest in such Subsidiary) of the Fair Market Value of the net assets of such Subsidiary at the time of such redesignation; and</w:t>
      </w:r>
    </w:p>
    <w:p>
      <w:pPr>
        <w:spacing w:after="0" w:line="161" w:lineRule="exact"/>
        <w:rPr>
          <w:rFonts w:ascii="Arial" w:cs="Arial" w:eastAsia="Arial" w:hAnsi="Arial"/>
          <w:sz w:val="16"/>
          <w:szCs w:val="16"/>
          <w:color w:val="auto"/>
        </w:rPr>
      </w:pPr>
    </w:p>
    <w:p>
      <w:pPr>
        <w:ind w:left="1240" w:hanging="404"/>
        <w:spacing w:after="0"/>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property transferred to or from an Unrestricted Subsidiary shall be valued at its Fair Market Value at the time of such transfer.</w:t>
      </w:r>
    </w:p>
    <w:p>
      <w:pPr>
        <w:spacing w:after="0" w:line="23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 payment, return of capital, repayment, or other amount received by Holdings or a Restricted Subsidiary in respect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amounts received other than in the form of Cash Equivalents, such amount shall be equal to the Fair Market Value of such consideration).</w:t>
      </w:r>
    </w:p>
    <w:p>
      <w:pPr>
        <w:spacing w:after="0" w:line="14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shall mean a rating equal to or higher than Baa3 (or the equivalent) by Moody’s and BBB- (or the equivalent) by S&amp;P, or an equivalent rating by any other rating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shall mean:</w:t>
      </w:r>
    </w:p>
    <w:p>
      <w:pPr>
        <w:spacing w:after="0" w:line="229" w:lineRule="exact"/>
        <w:rPr>
          <w:sz w:val="20"/>
          <w:szCs w:val="20"/>
          <w:color w:val="auto"/>
        </w:rPr>
      </w:pPr>
    </w:p>
    <w:p>
      <w:pPr>
        <w:ind w:left="660" w:right="440" w:firstLine="176"/>
        <w:spacing w:after="0" w:line="277" w:lineRule="auto"/>
        <w:tabs>
          <w:tab w:leader="none" w:pos="11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170" w:lineRule="exact"/>
        <w:rPr>
          <w:rFonts w:ascii="Arial" w:cs="Arial" w:eastAsia="Arial" w:hAnsi="Arial"/>
          <w:sz w:val="18"/>
          <w:szCs w:val="18"/>
          <w:color w:val="auto"/>
        </w:rPr>
      </w:pPr>
    </w:p>
    <w:p>
      <w:pPr>
        <w:ind w:left="660" w:right="40" w:firstLine="176"/>
        <w:spacing w:after="0" w:line="277"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Holdings and its Subsidiaries,</w:t>
      </w:r>
    </w:p>
    <w:p>
      <w:pPr>
        <w:spacing w:after="0" w:line="170" w:lineRule="exact"/>
        <w:rPr>
          <w:rFonts w:ascii="Arial" w:cs="Arial" w:eastAsia="Arial" w:hAnsi="Arial"/>
          <w:sz w:val="18"/>
          <w:szCs w:val="18"/>
          <w:color w:val="auto"/>
        </w:rPr>
      </w:pPr>
    </w:p>
    <w:p>
      <w:pPr>
        <w:ind w:left="660" w:right="420" w:firstLine="176"/>
        <w:spacing w:after="0" w:line="277" w:lineRule="auto"/>
        <w:tabs>
          <w:tab w:leader="none" w:pos="12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investments in any fund that invest at least 90% in investments of the type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which fund may also hold immaterial amounts of cash pending investment or distribution, and</w:t>
      </w:r>
    </w:p>
    <w:p>
      <w:pPr>
        <w:spacing w:after="0" w:line="170" w:lineRule="exact"/>
        <w:rPr>
          <w:rFonts w:ascii="Arial" w:cs="Arial" w:eastAsia="Arial" w:hAnsi="Arial"/>
          <w:sz w:val="18"/>
          <w:szCs w:val="18"/>
          <w:color w:val="auto"/>
        </w:rPr>
      </w:pPr>
    </w:p>
    <w:p>
      <w:pPr>
        <w:ind w:left="1280" w:hanging="444"/>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high-quality investments.</w:t>
      </w:r>
    </w:p>
    <w:p>
      <w:pPr>
        <w:spacing w:after="0" w:line="221"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64" w:name="page65"/>
    <w:bookmarkEnd w:id="64"/>
    <w:p>
      <w:pPr>
        <w:spacing w:after="0" w:line="200" w:lineRule="exact"/>
        <w:rPr>
          <w:sz w:val="20"/>
          <w:szCs w:val="20"/>
          <w:color w:val="auto"/>
        </w:rPr>
      </w:pPr>
    </w:p>
    <w:p>
      <w:pPr>
        <w:spacing w:after="0" w:line="318"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Lead Arrangers and Bookrunners</w:t>
      </w:r>
      <w:r>
        <w:rPr>
          <w:rFonts w:ascii="Arial" w:cs="Arial" w:eastAsia="Arial" w:hAnsi="Arial"/>
          <w:sz w:val="18"/>
          <w:szCs w:val="18"/>
          <w:color w:val="auto"/>
        </w:rPr>
        <w:t xml:space="preserve">” shall mean BofA Securities, Inc., KKR Capital Markets LLC, JPMorgan Chase Bank, N.A. </w:t>
      </w:r>
      <w:r>
        <w:rPr>
          <w:rFonts w:ascii="Arial" w:cs="Arial" w:eastAsia="Arial" w:hAnsi="Arial"/>
          <w:sz w:val="18"/>
          <w:szCs w:val="18"/>
          <w:color w:val="FF0000"/>
        </w:rPr>
        <w:t>and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Wells Fargo Securities, LLC </w:t>
      </w:r>
      <w:r>
        <w:rPr>
          <w:rFonts w:ascii="Arial" w:cs="Arial" w:eastAsia="Arial" w:hAnsi="Arial"/>
          <w:sz w:val="18"/>
          <w:szCs w:val="18"/>
          <w:u w:val="single" w:color="auto"/>
          <w:color w:val="0000FF"/>
        </w:rPr>
        <w:t>and the Amendment No. 2 Lead Arrangers</w:t>
      </w:r>
      <w:r>
        <w:rPr>
          <w:rFonts w:ascii="Arial" w:cs="Arial" w:eastAsia="Arial" w:hAnsi="Arial"/>
          <w:sz w:val="18"/>
          <w:szCs w:val="18"/>
          <w:color w:val="auto"/>
        </w:rPr>
        <w:t xml:space="preserve"> and, for purposes of the protections and indemnification provisions hereof, the “Joint Lead Arrangers and Bookrunners” (as defined in the Original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-356235</wp:posOffset>
            </wp:positionV>
            <wp:extent cx="193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5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Debt</w:t>
      </w:r>
      <w:r>
        <w:rPr>
          <w:rFonts w:ascii="Arial" w:cs="Arial" w:eastAsia="Arial" w:hAnsi="Arial"/>
          <w:sz w:val="18"/>
          <w:szCs w:val="18"/>
          <w:color w:val="auto"/>
        </w:rPr>
        <w:t>” shall mean any Indebtedness (other than any permitted intercompany indebtedness owing to the Borrower or any Restricted Subsidiary) in respect of Subordinated Indebtedness.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KKR</w:t>
      </w:r>
      <w:r>
        <w:rPr>
          <w:rFonts w:ascii="Arial" w:cs="Arial" w:eastAsia="Arial" w:hAnsi="Arial"/>
          <w:sz w:val="18"/>
          <w:szCs w:val="18"/>
          <w:color w:val="auto"/>
        </w:rPr>
        <w:t>” shall mean each of Kohlberg Kravis Roberts &amp; Co. L.P. and KKR North America Fund XI L.P.</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Term Loan Maturity Date</w:t>
      </w:r>
      <w:r>
        <w:rPr>
          <w:rFonts w:ascii="Arial" w:cs="Arial" w:eastAsia="Arial" w:hAnsi="Arial"/>
          <w:sz w:val="18"/>
          <w:szCs w:val="18"/>
          <w:color w:val="auto"/>
        </w:rPr>
        <w:t>” 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spacing w:after="0" w:line="17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shall mean an extension of credit resulting from a drawing under any Letter of Credit which has not been reimbursed on the date when made or refinanced as a Borrowing.</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Facility Maturity Date</w:t>
      </w:r>
      <w:r>
        <w:rPr>
          <w:rFonts w:ascii="Arial" w:cs="Arial" w:eastAsia="Arial" w:hAnsi="Arial"/>
          <w:sz w:val="18"/>
          <w:szCs w:val="18"/>
          <w:color w:val="auto"/>
        </w:rPr>
        <w:t xml:space="preserve">” shall mean the date that is three Business Days prior to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Facility Maturity Date may be extended beyond such date with the consent of the Letter of Credit Issuer.</w:t>
      </w:r>
    </w:p>
    <w:p>
      <w:pPr>
        <w:spacing w:after="0" w:line="16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Obligations</w:t>
      </w:r>
      <w:r>
        <w:rPr>
          <w:rFonts w:ascii="Arial" w:cs="Arial" w:eastAsia="Arial" w:hAnsi="Arial"/>
          <w:sz w:val="16"/>
          <w:szCs w:val="16"/>
          <w:color w:val="auto"/>
        </w:rPr>
        <w:t xml:space="preserve">” shall mean, as at any date of determination, the aggregate amount available to be drawn under all outstanding Letters of Credit </w:t>
      </w:r>
      <w:r>
        <w:rPr>
          <w:rFonts w:ascii="Arial" w:cs="Arial" w:eastAsia="Arial" w:hAnsi="Arial"/>
          <w:sz w:val="16"/>
          <w:szCs w:val="16"/>
          <w:i w:val="1"/>
          <w:iCs w:val="1"/>
          <w:color w:val="auto"/>
        </w:rPr>
        <w:t xml:space="preserve">plus </w:t>
      </w:r>
      <w:r>
        <w:rPr>
          <w:rFonts w:ascii="Arial" w:cs="Arial" w:eastAsia="Arial" w:hAnsi="Arial"/>
          <w:sz w:val="16"/>
          <w:szCs w:val="16"/>
          <w:color w:val="auto"/>
        </w:rPr>
        <w:t>the aggregate of all Unpaid Drawings, including all L/C Borrowings. For all purposes of this Agreement, if on any date of determination a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Default</w:t>
      </w:r>
      <w:r>
        <w:rPr>
          <w:rFonts w:ascii="Arial" w:cs="Arial" w:eastAsia="Arial" w:hAnsi="Arial"/>
          <w:sz w:val="18"/>
          <w:szCs w:val="18"/>
          <w:color w:val="auto"/>
        </w:rPr>
        <w:t>” shall mean (i) the refusal or failure of any Lender to make available its portion of any incurrence of Loans or Reimbursement Obligations,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any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440" w:right="359" w:bottom="1440" w:gutter="0" w:footer="0" w:header="0"/>
        </w:sectPr>
      </w:pPr>
    </w:p>
    <w:bookmarkStart w:id="65" w:name="page66"/>
    <w:bookmarkEnd w:id="65"/>
    <w:p>
      <w:pPr>
        <w:spacing w:after="0" w:line="200" w:lineRule="exact"/>
        <w:rPr>
          <w:sz w:val="20"/>
          <w:szCs w:val="20"/>
          <w:color w:val="auto"/>
        </w:rPr>
      </w:pPr>
    </w:p>
    <w:p>
      <w:pPr>
        <w:spacing w:after="0" w:line="32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Lender, any Letter of Credit Issuer or any other Lender any other amount required to be paid by it hereunder within one business day of the date when due, unless the subject of a good faith dispute, (iii) a Lender has notified, in writing, the Borrower or the Administrative Agent in writing that it does not intend to comply with its funding obligations under this Agreement or has made a public statement to that effect with respect to its funding obligations under this Agreement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Lender-Related Distress Event or (vi) a Lender has become the subject of a Bail-In Action.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Presentation</w:t>
      </w:r>
      <w:r>
        <w:rPr>
          <w:rFonts w:ascii="Arial" w:cs="Arial" w:eastAsia="Arial" w:hAnsi="Arial"/>
          <w:sz w:val="18"/>
          <w:szCs w:val="18"/>
          <w:color w:val="auto"/>
        </w:rPr>
        <w:t>” shall mean the Lender Presentation of Holdings dated June 6, 2019.</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shall mean, with respect to any Lender or any other Person that directly or indirectly controls such Lender (each, a “</w:t>
      </w:r>
      <w:r>
        <w:rPr>
          <w:rFonts w:ascii="Arial" w:cs="Arial" w:eastAsia="Arial" w:hAnsi="Arial"/>
          <w:sz w:val="16"/>
          <w:szCs w:val="16"/>
          <w:b w:val="1"/>
          <w:bCs w:val="1"/>
          <w:color w:val="auto"/>
        </w:rPr>
        <w:t>Distressed Person</w:t>
      </w:r>
      <w:r>
        <w:rPr>
          <w:rFonts w:ascii="Arial" w:cs="Arial" w:eastAsia="Arial" w:hAnsi="Arial"/>
          <w:sz w:val="16"/>
          <w:szCs w:val="16"/>
          <w:color w:val="auto"/>
        </w:rPr>
        <w:t xml:space="preserve">”),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equity interest does not result in or provide such Lender with immunity from the jurisdiction of courts within the United States or from the enforcement of judgments or writs of attachment on its assets or permit such Lender (or such governmental authority or instrumentality thereof) to reject, repudiate, disavow or disaffirm any contracts or agreements made with such Lender.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shall mean each letter of credit issued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includes the Existing Letters of Credit.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Commitment</w:t>
      </w:r>
      <w:r>
        <w:rPr>
          <w:rFonts w:ascii="Arial" w:cs="Arial" w:eastAsia="Arial" w:hAnsi="Arial"/>
          <w:sz w:val="18"/>
          <w:szCs w:val="18"/>
          <w:color w:val="auto"/>
        </w:rPr>
        <w:t>” shall mean $20,000,000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Letter of Credit Commitment of (i) Bank of America, N.A. shall not exceed $6,666,666.67, (ii) JPMorgan Chase Bank, N.A. shall not exceed $6,666,666.67 and (iii) Wells Fargo Bank, N.A. shall not exceed $6,666,666.66, in each case unless otherwise agreed to by such Letter of Credit Issuer in its sole discretion), as the same may be reduced from time to time pursuant to </w:t>
      </w:r>
      <w:r>
        <w:rPr>
          <w:rFonts w:ascii="Arial" w:cs="Arial" w:eastAsia="Arial" w:hAnsi="Arial"/>
          <w:sz w:val="18"/>
          <w:szCs w:val="18"/>
          <w:u w:val="single" w:color="auto"/>
          <w:color w:val="auto"/>
        </w:rPr>
        <w:t>Section3.1</w:t>
      </w:r>
      <w:r>
        <w:rPr>
          <w:rFonts w:ascii="Arial" w:cs="Arial" w:eastAsia="Arial" w:hAnsi="Arial"/>
          <w:sz w:val="18"/>
          <w:szCs w:val="18"/>
          <w:color w:val="auto"/>
        </w:rPr>
        <w:t>.</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shall mean the day that is three Business Days prior to the scheduled Maturity Date then in effect for the Revolving Credit Facility.</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Exposure</w:t>
      </w:r>
      <w:r>
        <w:rPr>
          <w:rFonts w:ascii="Arial" w:cs="Arial" w:eastAsia="Arial" w:hAnsi="Arial"/>
          <w:sz w:val="18"/>
          <w:szCs w:val="18"/>
          <w:color w:val="auto"/>
        </w:rPr>
        <w:t xml:space="preserve">” shall mean, with respect to any Lender, at any time, the sum of (i) the amount of the principal amount of any Unpaid Drawings in respect of which such Lender has made (or is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Letter of Credit Issuer</w:t>
      </w:r>
      <w:r>
        <w:rPr>
          <w:rFonts w:ascii="Arial" w:cs="Arial" w:eastAsia="Arial" w:hAnsi="Arial"/>
          <w:sz w:val="16"/>
          <w:szCs w:val="16"/>
          <w:color w:val="auto"/>
        </w:rPr>
        <w:t xml:space="preserve"> “ shall mean (i) in the case of standby Letters of Credit only, (a) as applicable, each of Bank of America, N.A., JPMorgan Chase Bank, N.A. and Wells Fargo Bank, N.A. and (b) any of their respective Affiliates or branches, (ii) any replacement, additional issuer, or successor pursuant to Section 3.6 and (iii) solely with respect to the Existing Letter of Credit issued by it and outstanding on the Restatement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66" w:name="page67"/>
    <w:bookmarkEnd w:id="66"/>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Date, Goldman Sachs Bank USA.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80"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xml:space="preserve">” shall mean a notice executed and delivered by the Borrower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another form which is acceptable to the Letter of Credit Issuer in its reasonable discretion.</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 Outstanding</w:t>
      </w:r>
      <w:r>
        <w:rPr>
          <w:rFonts w:ascii="Arial" w:cs="Arial" w:eastAsia="Arial" w:hAnsi="Arial"/>
          <w:sz w:val="18"/>
          <w:szCs w:val="18"/>
          <w:color w:val="auto"/>
        </w:rPr>
        <w:t>” shall mean, at any time the sum of, without duplication, (i) the aggregate Stated Amount of all outstanding Letters of Credit and (ii) the aggregate amount of the principal amount of all Unpaid Drawings.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shall have the meaning provided in the definition of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shall mean any Loan bearing interest at a rate determined by reference to the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shall mean,</w:t>
      </w:r>
    </w:p>
    <w:p>
      <w:pPr>
        <w:spacing w:after="0" w:line="229" w:lineRule="exact"/>
        <w:rPr>
          <w:sz w:val="20"/>
          <w:szCs w:val="20"/>
          <w:color w:val="auto"/>
        </w:rPr>
      </w:pPr>
    </w:p>
    <w:p>
      <w:pPr>
        <w:ind w:left="660" w:right="40" w:firstLine="176"/>
        <w:spacing w:after="0" w:line="255" w:lineRule="auto"/>
        <w:tabs>
          <w:tab w:leader="none" w:pos="12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any Interest Period with respect to a LIBOR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18"/>
          <w:szCs w:val="18"/>
          <w:b w:val="1"/>
          <w:bCs w:val="1"/>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92" w:lineRule="exact"/>
        <w:rPr>
          <w:rFonts w:ascii="Arial" w:cs="Arial" w:eastAsia="Arial" w:hAnsi="Arial"/>
          <w:sz w:val="18"/>
          <w:szCs w:val="18"/>
          <w:color w:val="auto"/>
        </w:rPr>
      </w:pPr>
    </w:p>
    <w:p>
      <w:pPr>
        <w:ind w:left="660" w:right="20" w:firstLine="176"/>
        <w:spacing w:after="0" w:line="308" w:lineRule="auto"/>
        <w:tabs>
          <w:tab w:leader="none" w:pos="12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any interest calculation with respect to an ABR Loan on any date, the rate per annum equal to LIBOR, at or about 11:00 a.m., London time determined two Business Days prior to such date for Dollar deposits with a term of one month commencing that day;</w:t>
      </w:r>
    </w:p>
    <w:p>
      <w:pPr>
        <w:spacing w:after="0" w:line="146" w:lineRule="exact"/>
        <w:rPr>
          <w:sz w:val="20"/>
          <w:szCs w:val="20"/>
          <w:color w:val="auto"/>
        </w:rPr>
      </w:pPr>
    </w:p>
    <w:p>
      <w:pPr>
        <w:ind w:left="100" w:hanging="92"/>
        <w:spacing w:after="0"/>
        <w:tabs>
          <w:tab w:leader="none" w:pos="100" w:val="left"/>
        </w:tabs>
        <w:numPr>
          <w:ilvl w:val="0"/>
          <w:numId w:val="41"/>
        </w:numPr>
        <w:rPr>
          <w:rFonts w:ascii="Arial" w:cs="Arial" w:eastAsia="Arial" w:hAnsi="Arial"/>
          <w:sz w:val="17"/>
          <w:szCs w:val="17"/>
          <w:color w:val="FF0000"/>
          <w:strike w:val="1"/>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LIBOR Rate as determined below for any period would be less than </w:t>
      </w:r>
      <w:r>
        <w:rPr>
          <w:rFonts w:ascii="Arial" w:cs="Arial" w:eastAsia="Arial" w:hAnsi="Arial"/>
          <w:sz w:val="17"/>
          <w:szCs w:val="17"/>
          <w:color w:val="FF0000"/>
          <w:strike w:val="1"/>
        </w:rPr>
        <w:t>1.00%</w:t>
      </w:r>
      <w:r>
        <w:rPr>
          <w:rFonts w:ascii="Arial" w:cs="Arial" w:eastAsia="Arial" w:hAnsi="Arial"/>
          <w:sz w:val="17"/>
          <w:szCs w:val="17"/>
          <w:u w:val="single" w:color="auto"/>
          <w:color w:val="0000FF"/>
        </w:rPr>
        <w:t>zero</w:t>
      </w:r>
      <w:r>
        <w:rPr>
          <w:rFonts w:ascii="Arial" w:cs="Arial" w:eastAsia="Arial" w:hAnsi="Arial"/>
          <w:sz w:val="17"/>
          <w:szCs w:val="17"/>
          <w:color w:val="auto"/>
        </w:rPr>
        <w:t>, the LIBOR Rate for such period shall instead be</w:t>
      </w:r>
    </w:p>
    <w:p>
      <w:pPr>
        <w:spacing w:after="0" w:line="34" w:lineRule="exact"/>
        <w:rPr>
          <w:rFonts w:ascii="Arial" w:cs="Arial" w:eastAsia="Arial" w:hAnsi="Arial"/>
          <w:sz w:val="17"/>
          <w:szCs w:val="17"/>
          <w:color w:val="FF0000"/>
          <w:strike w:val="1"/>
        </w:rPr>
      </w:pPr>
    </w:p>
    <w:p>
      <w:pPr>
        <w:spacing w:after="0"/>
        <w:rPr>
          <w:rFonts w:ascii="Arial" w:cs="Arial" w:eastAsia="Arial" w:hAnsi="Arial"/>
          <w:sz w:val="17"/>
          <w:szCs w:val="17"/>
          <w:color w:val="FF0000"/>
          <w:strike w:val="1"/>
        </w:rPr>
      </w:pPr>
      <w:r>
        <w:rPr>
          <w:rFonts w:ascii="Arial" w:cs="Arial" w:eastAsia="Arial" w:hAnsi="Arial"/>
          <w:sz w:val="18"/>
          <w:szCs w:val="18"/>
          <w:color w:val="FF0000"/>
          <w:strike w:val="1"/>
        </w:rPr>
        <w:t>1.00%</w:t>
      </w:r>
      <w:r>
        <w:rPr>
          <w:rFonts w:ascii="Arial" w:cs="Arial" w:eastAsia="Arial" w:hAnsi="Arial"/>
          <w:sz w:val="18"/>
          <w:szCs w:val="18"/>
          <w:u w:val="single" w:color="auto"/>
          <w:color w:val="0000FF"/>
        </w:rPr>
        <w:t>zero</w:t>
      </w:r>
      <w:r>
        <w:rPr>
          <w:rFonts w:ascii="Arial" w:cs="Arial" w:eastAsia="Arial" w:hAnsi="Arial"/>
          <w:sz w:val="18"/>
          <w:szCs w:val="18"/>
          <w:color w:val="000000"/>
        </w:rPr>
        <w:t>.</w:t>
      </w:r>
    </w:p>
    <w:p>
      <w:pPr>
        <w:spacing w:after="0" w:line="207"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Screen Rate</w:t>
      </w:r>
      <w:r>
        <w:rPr>
          <w:rFonts w:ascii="Arial" w:cs="Arial" w:eastAsia="Arial" w:hAnsi="Arial"/>
          <w:sz w:val="16"/>
          <w:szCs w:val="16"/>
          <w:color w:val="auto"/>
        </w:rPr>
        <w:t xml:space="preserve">” </w:t>
      </w:r>
      <w:r>
        <w:rPr>
          <w:rFonts w:ascii="Arial" w:cs="Arial" w:eastAsia="Arial" w:hAnsi="Arial"/>
          <w:sz w:val="16"/>
          <w:szCs w:val="16"/>
          <w:color w:val="FF0000"/>
          <w:strike w:val="1"/>
        </w:rPr>
        <w:t>means</w:t>
      </w:r>
      <w:r>
        <w:rPr>
          <w:rFonts w:ascii="Arial" w:cs="Arial" w:eastAsia="Arial" w:hAnsi="Arial"/>
          <w:sz w:val="16"/>
          <w:szCs w:val="16"/>
          <w:u w:val="single" w:color="auto"/>
          <w:color w:val="0000FF"/>
        </w:rPr>
        <w:t>shall mean</w:t>
      </w:r>
      <w:r>
        <w:rPr>
          <w:rFonts w:ascii="Arial" w:cs="Arial" w:eastAsia="Arial" w:hAnsi="Arial"/>
          <w:sz w:val="16"/>
          <w:szCs w:val="16"/>
          <w:color w:val="auto"/>
        </w:rPr>
        <w:t xml:space="preserve"> the LIBOR quote on the applicable screen page the Administrative Agent designates to determine LIBOR (or such other commercially available source providing such quotations as may be designated by the Administrative Agent from time to time).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LIBOR Successor Rate</w:t>
      </w:r>
      <w:r>
        <w:rPr>
          <w:rFonts w:ascii="Arial" w:cs="Arial" w:eastAsia="Arial" w:hAnsi="Arial"/>
          <w:sz w:val="18"/>
          <w:szCs w:val="18"/>
          <w:color w:val="008000"/>
          <w:strike w:val="1"/>
        </w:rPr>
        <w:t>” shall have the meaning provided in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Section 2.10(d)</w:t>
      </w:r>
      <w:r>
        <w:rPr>
          <w:rFonts w:ascii="Arial" w:cs="Arial" w:eastAsia="Arial" w:hAnsi="Arial"/>
          <w:sz w:val="18"/>
          <w:szCs w:val="18"/>
          <w:color w:val="FF0000"/>
          <w:strike w:val="1"/>
        </w:rPr>
        <w:t>.</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b w:val="1"/>
          <w:bCs w:val="1"/>
          <w:color w:val="FF0000"/>
          <w:strike w:val="1"/>
        </w:rPr>
        <w:t>LIBOR Successor Rate Conforming Changes</w:t>
      </w:r>
      <w:r>
        <w:rPr>
          <w:rFonts w:ascii="Arial" w:cs="Arial" w:eastAsia="Arial" w:hAnsi="Arial"/>
          <w:sz w:val="16"/>
          <w:szCs w:val="16"/>
          <w:color w:val="008000"/>
          <w:strike w:val="1"/>
        </w:rPr>
        <w:t>” means, with respect to any</w:t>
      </w:r>
      <w:r>
        <w:rPr>
          <w:rFonts w:ascii="Arial" w:cs="Arial" w:eastAsia="Arial" w:hAnsi="Arial"/>
          <w:sz w:val="16"/>
          <w:szCs w:val="16"/>
          <w:color w:val="FF0000"/>
          <w:strike w:val="1"/>
        </w:rPr>
        <w:t xml:space="preserve"> proposed LIBOR Successor Rate, any conforming </w:t>
      </w:r>
      <w:r>
        <w:rPr>
          <w:rFonts w:ascii="Arial" w:cs="Arial" w:eastAsia="Arial" w:hAnsi="Arial"/>
          <w:sz w:val="16"/>
          <w:szCs w:val="16"/>
          <w:color w:val="008000"/>
          <w:strike w:val="1"/>
        </w:rPr>
        <w:t>changes to the</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definition of </w:t>
      </w:r>
      <w:r>
        <w:rPr>
          <w:rFonts w:ascii="Arial" w:cs="Arial" w:eastAsia="Arial" w:hAnsi="Arial"/>
          <w:sz w:val="16"/>
          <w:szCs w:val="16"/>
          <w:color w:val="FF0000"/>
          <w:strike w:val="1"/>
        </w:rPr>
        <w:t>ABR, Interest Period,</w:t>
      </w:r>
      <w:r>
        <w:rPr>
          <w:rFonts w:ascii="Arial" w:cs="Arial" w:eastAsia="Arial" w:hAnsi="Arial"/>
          <w:sz w:val="16"/>
          <w:szCs w:val="16"/>
          <w:color w:val="008000"/>
          <w:strike w:val="1"/>
        </w:rPr>
        <w:t xml:space="preserve"> timing and frequency of determining rates and making payments of interest </w:t>
      </w:r>
      <w:r>
        <w:rPr>
          <w:rFonts w:ascii="Arial" w:cs="Arial" w:eastAsia="Arial" w:hAnsi="Arial"/>
          <w:sz w:val="16"/>
          <w:szCs w:val="16"/>
          <w:color w:val="FF0000"/>
          <w:strike w:val="1"/>
        </w:rPr>
        <w:t>and other administrative matters as may be</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 xml:space="preserve">appropriate, in the discretion of the Administrative Agent and in consultation with the Borrower, to reflect the adoption of such LIBOR Successor Rate </w:t>
      </w:r>
      <w:r>
        <w:rPr>
          <w:rFonts w:ascii="Arial" w:cs="Arial" w:eastAsia="Arial" w:hAnsi="Arial"/>
          <w:sz w:val="16"/>
          <w:szCs w:val="16"/>
          <w:color w:val="008000"/>
          <w:strike w:val="1"/>
        </w:rPr>
        <w:t>and</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to permit the administration thereof by the Administrative Agent in a manner substantially consistent with market practice (or, if the Administrative Agent </w:t>
      </w:r>
      <w:r>
        <w:rPr>
          <w:rFonts w:ascii="Arial" w:cs="Arial" w:eastAsia="Arial" w:hAnsi="Arial"/>
          <w:sz w:val="16"/>
          <w:szCs w:val="16"/>
          <w:color w:val="FF0000"/>
          <w:strike w:val="1"/>
        </w:rPr>
        <w:t xml:space="preserve">determines </w:t>
      </w:r>
      <w:r>
        <w:rPr>
          <w:rFonts w:ascii="Arial" w:cs="Arial" w:eastAsia="Arial" w:hAnsi="Arial"/>
          <w:sz w:val="16"/>
          <w:szCs w:val="16"/>
          <w:color w:val="008000"/>
          <w:strike w:val="1"/>
        </w:rPr>
        <w:t>that adoption of any portion of such market practice is not administratively feasible or that no market practice for the administration of such</w:t>
      </w:r>
      <w:r>
        <w:rPr>
          <w:rFonts w:ascii="Arial" w:cs="Arial" w:eastAsia="Arial" w:hAnsi="Arial"/>
          <w:sz w:val="16"/>
          <w:szCs w:val="16"/>
          <w:color w:val="FF0000"/>
          <w:strike w:val="1"/>
        </w:rPr>
        <w:t xml:space="preserve"> LIBOR Successor Rate </w:t>
      </w:r>
      <w:r>
        <w:rPr>
          <w:rFonts w:ascii="Arial" w:cs="Arial" w:eastAsia="Arial" w:hAnsi="Arial"/>
          <w:sz w:val="16"/>
          <w:szCs w:val="16"/>
          <w:color w:val="008000"/>
          <w:strike w:val="1"/>
        </w:rPr>
        <w:t>exists, in such other manner of administration as the Administrative Agent</w:t>
      </w:r>
      <w:r>
        <w:rPr>
          <w:rFonts w:ascii="Arial" w:cs="Arial" w:eastAsia="Arial" w:hAnsi="Arial"/>
          <w:sz w:val="16"/>
          <w:szCs w:val="16"/>
          <w:color w:val="FF0000"/>
          <w:strike w:val="1"/>
        </w:rPr>
        <w:t xml:space="preserve"> determines in consultation with the Borrower).</w:t>
      </w:r>
    </w:p>
    <w:p>
      <w:pPr>
        <w:spacing w:after="0" w:line="16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440" w:right="379" w:bottom="1440" w:gutter="0" w:footer="0" w:header="0"/>
        </w:sectPr>
      </w:pPr>
    </w:p>
    <w:bookmarkStart w:id="67" w:name="page68"/>
    <w:bookmarkEnd w:id="67"/>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or a license to Intellectual Property be deemed to constitute a Lien.</w:t>
      </w:r>
    </w:p>
    <w:p>
      <w:pPr>
        <w:spacing w:after="0" w:line="180"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Condition Transaction</w:t>
      </w:r>
      <w:r>
        <w:rPr>
          <w:rFonts w:ascii="Arial" w:cs="Arial" w:eastAsia="Arial" w:hAnsi="Arial"/>
          <w:sz w:val="17"/>
          <w:szCs w:val="17"/>
          <w:color w:val="auto"/>
        </w:rPr>
        <w:t>” shall mean (a) the consummation of any acquisition (including by way of merger), Investment, Disposition, Restricted Payment requiring declaration (as determined by Borrower) by one or more of Holdings, the Borrower and the Restricted Subsidiaries and whose consummation is not conditioned on the availability of, or on obtaining, third party financing and/or (b) any prepayment, repurchase or redemption of Indebtedness requiring irrevocable notice in advance of such prepayment, repurchase or redemption.</w:t>
      </w:r>
    </w:p>
    <w:p>
      <w:pPr>
        <w:spacing w:after="0" w:line="16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Revolving Loan, Swingline Loan, Term Loan, Extended Term Loan, New Term Loan, or any other loan made by any Lender pursuant to this Agreement.</w:t>
      </w:r>
    </w:p>
    <w:p>
      <w:pPr>
        <w:spacing w:after="0" w:line="162"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Managed Care Subsidiary</w:t>
      </w:r>
      <w:r>
        <w:rPr>
          <w:rFonts w:ascii="Arial" w:cs="Arial" w:eastAsia="Arial" w:hAnsi="Arial"/>
          <w:sz w:val="17"/>
          <w:szCs w:val="17"/>
          <w:color w:val="auto"/>
        </w:rPr>
        <w:t>” shall mean FirstSight and any other Subsidiary of the Borrower (i) whose financial condition or activities are regulated under laws of any state in connection with the provision of health or vision care products or services (or related administrative services) and (ii) a pledge of the Capital Stock of whom, or whose guaranty of the Obligations or granting of a lien on its assets to secure the Obligations would violate any applicable law or regulation or require a consent of a Governmental Authority which has not been obtained.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shall have the meaning provided in the definition of </w:t>
      </w:r>
      <w:r>
        <w:rPr>
          <w:rFonts w:ascii="Arial" w:cs="Arial" w:eastAsia="Arial" w:hAnsi="Arial"/>
          <w:sz w:val="18"/>
          <w:szCs w:val="18"/>
          <w:color w:val="FF0000"/>
          <w:strike w:val="1"/>
        </w:rPr>
        <w:t>the term</w:t>
      </w:r>
      <w:r>
        <w:rPr>
          <w:rFonts w:ascii="Arial" w:cs="Arial" w:eastAsia="Arial" w:hAnsi="Arial"/>
          <w:sz w:val="18"/>
          <w:szCs w:val="18"/>
          <w:color w:val="auto"/>
        </w:rPr>
        <w:t xml:space="preserve"> “Hedge Agreement.”</w:t>
      </w:r>
    </w:p>
    <w:p>
      <w:pPr>
        <w:spacing w:after="0" w:line="22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mean a circumstance or condition affecting the business, assets, operations, properties, or financial condition of Holdings and its Subsidiaries, taken as a whole, that would, individually or in the aggregate, materially adversely affect (i) the ability of Holdings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8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Acquisition</w:t>
      </w:r>
      <w:r>
        <w:rPr>
          <w:rFonts w:ascii="Arial" w:cs="Arial" w:eastAsia="Arial" w:hAnsi="Arial"/>
          <w:sz w:val="18"/>
          <w:szCs w:val="18"/>
          <w:color w:val="auto"/>
        </w:rPr>
        <w:t>” shall mean any Permitted Acquisition or Investment, or the last to occur of a group of no greater than three Permitted Acquisitions and/or Investments (whether or not related to each other) consummated within a period of one year, if the aggregate amount of consideration paid in respect of, and liabilities incurred or assumed to finance, such Permitted Acquisition and/or Investment (or, if applicable, such group of Permitted Acquisitions and/or Investments) is in the aggregate at least $50,000,000 and the Borrower has designated such Permitted Acquisitions and/or Investments as a “Material Acquisition”.</w:t>
      </w:r>
    </w:p>
    <w:p>
      <w:pPr>
        <w:spacing w:after="0" w:line="18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Holdings and the Restricted Subsidiaries at such date or (ii) whose revenues during such Test Period were equal to or greater than 5.0% of the consolidated revenues of Holdings and the Restricted Subsidiaries for such period, in each case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and from time to time after the Restatement Effective Date, Restricted Subsidiaries that are not Material Subsidiaries (other than Subsidiaries that are Excluded Subsidiaries by virtue of any of clauses (ii) through (xii) of the definition of “Excluded Subsidiary”) have, in the aggregate, (a) total assets at the last day of such Test Period equal to or greater than 7.5% of the Consolidated Total Assets of Holdings and the Restricted Subsidiaries at such date or (b) revenues during such Test Period equal to or greater than 7.5% of the consolidated revenues of Holdings and the Restricted Subsidiaries for such period, in each case determined in accordance with GAAP, then Holdings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318"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Term A Loan Maturity Date, the New Term Loan Maturity Date, the Revolving Credit Maturity Date, the maturity date of an Extended Term Loan or the maturity date of an Extended Revolving Credit Loan, as applicable.</w:t>
      </w:r>
    </w:p>
    <w:p>
      <w:pPr>
        <w:spacing w:after="0" w:line="16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Incremental Facilities Amount</w:t>
      </w:r>
      <w:r>
        <w:rPr>
          <w:rFonts w:ascii="Arial" w:cs="Arial" w:eastAsia="Arial" w:hAnsi="Arial"/>
          <w:sz w:val="16"/>
          <w:szCs w:val="16"/>
          <w:color w:val="auto"/>
        </w:rPr>
        <w:t xml:space="preserve">” shall mean, </w:t>
      </w:r>
      <w:r>
        <w:rPr>
          <w:rFonts w:ascii="Arial" w:cs="Arial" w:eastAsia="Arial" w:hAnsi="Arial"/>
          <w:sz w:val="16"/>
          <w:szCs w:val="16"/>
          <w:color w:val="FF0000"/>
          <w:strike w:val="1"/>
        </w:rPr>
        <w:t>(A) during the Additional Restrictions Period, $50,000,000 or (B) at any other</w:t>
      </w:r>
      <w:r>
        <w:rPr>
          <w:rFonts w:ascii="Arial" w:cs="Arial" w:eastAsia="Arial" w:hAnsi="Arial"/>
          <w:sz w:val="16"/>
          <w:szCs w:val="16"/>
          <w:u w:val="single" w:color="auto"/>
          <w:color w:val="0000FF"/>
        </w:rPr>
        <w:t>at any</w:t>
      </w:r>
      <w:r>
        <w:rPr>
          <w:rFonts w:ascii="Arial" w:cs="Arial" w:eastAsia="Arial" w:hAnsi="Arial"/>
          <w:sz w:val="16"/>
          <w:szCs w:val="16"/>
          <w:color w:val="auto"/>
        </w:rPr>
        <w:t xml:space="preserve"> date of determination, (i) the amount such that, after giving effect to the incurrence of such amount Holdings would be in compliance on a Pro Forma Basis (including any adjustments required by such definition as a result of a contemplated Permitted Acquisition and, only in the case of a simultaneous incurrence of the maximum amount permitted to be incurred under this clause (i) on the date of such incurrence together with an incurrence in reliance on clause (ii) below on such date, without giving pro forma effect to such simultaneous incurrence in reliance on clause (ii) below or under the Revolving Credit Facility) with the </w:t>
      </w:r>
      <w:r>
        <w:rPr>
          <w:rFonts w:ascii="Arial" w:cs="Arial" w:eastAsia="Arial" w:hAnsi="Arial"/>
          <w:sz w:val="16"/>
          <w:szCs w:val="16"/>
          <w:color w:val="FF0000"/>
          <w:strike w:val="1"/>
        </w:rPr>
        <w:t>First Lien Secured</w:t>
      </w:r>
      <w:r>
        <w:rPr>
          <w:rFonts w:ascii="Arial" w:cs="Arial" w:eastAsia="Arial" w:hAnsi="Arial"/>
          <w:sz w:val="16"/>
          <w:szCs w:val="16"/>
          <w:u w:val="single" w:color="auto"/>
          <w:color w:val="0000FF"/>
        </w:rPr>
        <w:t>Total</w:t>
      </w:r>
      <w:r>
        <w:rPr>
          <w:rFonts w:ascii="Arial" w:cs="Arial" w:eastAsia="Arial" w:hAnsi="Arial"/>
          <w:sz w:val="16"/>
          <w:szCs w:val="16"/>
          <w:color w:val="auto"/>
        </w:rPr>
        <w:t xml:space="preserve"> Leverage Test </w:t>
      </w:r>
      <w:r>
        <w:rPr>
          <w:rFonts w:ascii="Arial" w:cs="Arial" w:eastAsia="Arial" w:hAnsi="Arial"/>
          <w:sz w:val="16"/>
          <w:szCs w:val="16"/>
          <w:color w:val="FF0000"/>
          <w:strike w:val="1"/>
        </w:rPr>
        <w:t>(assuming that all outstanding Indebtedness incurred pursuant to</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Section 10.1(x)</w:t>
      </w:r>
      <w:r>
        <w:rPr>
          <w:rFonts w:ascii="Arial" w:cs="Arial" w:eastAsia="Arial" w:hAnsi="Arial"/>
          <w:sz w:val="16"/>
          <w:szCs w:val="16"/>
          <w:color w:val="auto"/>
        </w:rPr>
        <w:t xml:space="preserve"> </w:t>
      </w:r>
      <w:r>
        <w:rPr>
          <w:rFonts w:ascii="Arial" w:cs="Arial" w:eastAsia="Arial" w:hAnsi="Arial"/>
          <w:sz w:val="16"/>
          <w:szCs w:val="16"/>
          <w:color w:val="FF0000"/>
          <w:strike w:val="1"/>
        </w:rPr>
        <w:t>prior to or</w:t>
      </w:r>
      <w:r>
        <w:rPr>
          <w:rFonts w:ascii="Arial" w:cs="Arial" w:eastAsia="Arial" w:hAnsi="Arial"/>
          <w:sz w:val="16"/>
          <w:szCs w:val="16"/>
          <w:color w:val="auto"/>
        </w:rPr>
        <w:t xml:space="preserve"> </w:t>
      </w:r>
      <w:r>
        <w:rPr>
          <w:rFonts w:ascii="Arial" w:cs="Arial" w:eastAsia="Arial" w:hAnsi="Arial"/>
          <w:sz w:val="16"/>
          <w:szCs w:val="16"/>
          <w:color w:val="FF0000"/>
          <w:strike w:val="1"/>
        </w:rPr>
        <w:t>on such date of determination would be included in the definition of “Consolidated First Lien Secured Debt”, whether or not such Indebtedness would otherwise be so included and assuming the New Revolving Credit Commitments established at such time are fully drawn)</w:t>
      </w:r>
      <w:r>
        <w:rPr>
          <w:rFonts w:ascii="Arial" w:cs="Arial" w:eastAsia="Arial" w:hAnsi="Arial"/>
          <w:sz w:val="16"/>
          <w:szCs w:val="16"/>
          <w:color w:val="000000"/>
          <w:strike w:val="1"/>
        </w:rPr>
        <w:t>,</w:t>
      </w:r>
      <w:r>
        <w:rPr>
          <w:rFonts w:ascii="Arial" w:cs="Arial" w:eastAsia="Arial" w:hAnsi="Arial"/>
          <w:sz w:val="16"/>
          <w:szCs w:val="16"/>
          <w:color w:val="FF0000"/>
          <w:strike w:val="1"/>
        </w:rPr>
        <w:t xml:space="preserve"> </w:t>
      </w:r>
      <w:r>
        <w:rPr>
          <w:rFonts w:ascii="Arial" w:cs="Arial" w:eastAsia="Arial" w:hAnsi="Arial"/>
          <w:sz w:val="16"/>
          <w:szCs w:val="16"/>
          <w:i w:val="1"/>
          <w:iCs w:val="1"/>
          <w:color w:val="000000"/>
          <w:strike w:val="1"/>
        </w:rPr>
        <w:t>plus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(ii) $100,000,000.</w:t>
      </w:r>
    </w:p>
    <w:p>
      <w:pPr>
        <w:spacing w:after="0" w:line="159"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Borrowing Amount</w:t>
      </w:r>
      <w:r>
        <w:rPr>
          <w:rFonts w:ascii="Arial" w:cs="Arial" w:eastAsia="Arial" w:hAnsi="Arial"/>
          <w:sz w:val="18"/>
          <w:szCs w:val="18"/>
          <w:color w:val="auto"/>
        </w:rPr>
        <w:t>” shall mean (i) with respect to a Borrowing of LIBOR Loans, $1,000,000 (or, if less, the entire remaining applicable Commitments at the time of such Borrowing) and (ii) with respect to a Borrowing of ABR Loans, $1,000,000 (or, if less, the entire remaining applicable Commitments at the time of such Borrowing).</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Collateral Amount</w:t>
      </w:r>
      <w:r>
        <w:rPr>
          <w:rFonts w:ascii="Arial" w:cs="Arial" w:eastAsia="Arial" w:hAnsi="Arial"/>
          <w:sz w:val="18"/>
          <w:szCs w:val="18"/>
          <w:color w:val="auto"/>
        </w:rPr>
        <w:t xml:space="preserve">” shall mean, at any time, (i) with respect to Cash Collateral consisting of cash or Cash Equivalents or deposit account balances provided to reduce or eliminate Fronting Exposure during the existence of a Defaulting Lender, an amount equal to 101%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Arial" w:cs="Arial" w:eastAsia="Arial" w:hAnsi="Arial"/>
          <w:sz w:val="18"/>
          <w:szCs w:val="18"/>
          <w:u w:val="single" w:color="auto"/>
          <w:color w:val="auto"/>
        </w:rPr>
        <w:t>Section 3.8(a)(i)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101% of the outstanding amount of all L/C Obligations.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by merger or consolidation to its business.</w:t>
      </w:r>
    </w:p>
    <w:p>
      <w:pPr>
        <w:spacing w:after="0" w:line="225"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w:t>
      </w:r>
    </w:p>
    <w:p>
      <w:pPr>
        <w:spacing w:after="0" w:line="142"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xml:space="preserve">” shall mean, initially, each parcel of real estate and the improvements thereto owned in fee by a Credit Party and identified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each other parcel of real property and improvements thereto with respect to which a Mortgage is granted pursuant to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116"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40"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Cash Proceeds</w:t>
      </w:r>
      <w:r>
        <w:rPr>
          <w:rFonts w:ascii="Arial" w:cs="Arial" w:eastAsia="Arial" w:hAnsi="Arial"/>
          <w:sz w:val="17"/>
          <w:szCs w:val="17"/>
          <w:color w:val="auto"/>
        </w:rPr>
        <w:t xml:space="preserve">” shall mean, with respect to any Prepayment Event and any incurrence of Permitted Other Indebtedness, (i) the gross cash proceeds (including payments from time to time in respect of installment obligations, if applicable, but only as and when received) received by or on behalf of Holdings or any of the Restricted Subsidiaries </w:t>
      </w:r>
      <w:r>
        <w:rPr>
          <w:rFonts w:ascii="Arial" w:cs="Arial" w:eastAsia="Arial" w:hAnsi="Arial"/>
          <w:sz w:val="17"/>
          <w:szCs w:val="17"/>
          <w:color w:val="FF0000"/>
          <w:strike w:val="1"/>
        </w:rPr>
        <w:t>(or, in the case of a Capital Markets Prepayment Event, the Parent Entity)</w:t>
      </w:r>
      <w:r>
        <w:rPr>
          <w:rFonts w:ascii="Arial" w:cs="Arial" w:eastAsia="Arial" w:hAnsi="Arial"/>
          <w:sz w:val="17"/>
          <w:szCs w:val="17"/>
          <w:color w:val="auto"/>
        </w:rPr>
        <w:t xml:space="preserve"> in respect of such Prepayment Event or incurrence of Permitted Other Indebtedness, as the case may be, less (ii) the sum of:</w:t>
      </w:r>
    </w:p>
    <w:p>
      <w:pPr>
        <w:spacing w:after="0" w:line="169" w:lineRule="exact"/>
        <w:rPr>
          <w:sz w:val="20"/>
          <w:szCs w:val="20"/>
          <w:color w:val="auto"/>
        </w:rPr>
      </w:pPr>
    </w:p>
    <w:p>
      <w:pPr>
        <w:ind w:left="660" w:right="100" w:firstLine="644"/>
        <w:spacing w:after="0" w:line="277" w:lineRule="auto"/>
        <w:tabs>
          <w:tab w:leader="none" w:pos="16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amount, if any, of all taxes (including in connection with any repatriation of funds) paid or estimated to be payable by Holdings or any of the Restricted Subsidiaries </w:t>
      </w:r>
      <w:r>
        <w:rPr>
          <w:rFonts w:ascii="Arial" w:cs="Arial" w:eastAsia="Arial" w:hAnsi="Arial"/>
          <w:sz w:val="18"/>
          <w:szCs w:val="18"/>
          <w:color w:val="FF0000"/>
          <w:strike w:val="1"/>
        </w:rPr>
        <w:t>(or,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69" w:name="page70"/>
    <w:bookmarkEnd w:id="69"/>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Capital Markets Prepayment Event, the Parent Entity)</w:t>
      </w:r>
      <w:r>
        <w:rPr>
          <w:rFonts w:ascii="Arial" w:cs="Arial" w:eastAsia="Arial" w:hAnsi="Arial"/>
          <w:sz w:val="16"/>
          <w:szCs w:val="16"/>
          <w:color w:val="FF0000"/>
        </w:rPr>
        <w:t xml:space="preserve"> </w:t>
      </w:r>
      <w:r>
        <w:rPr>
          <w:rFonts w:ascii="Arial" w:cs="Arial" w:eastAsia="Arial" w:hAnsi="Arial"/>
          <w:sz w:val="16"/>
          <w:szCs w:val="16"/>
          <w:color w:val="000000"/>
        </w:rPr>
        <w:t>in connection with such Prepayment Event or incurrence of Permitted Other Indebtedness,</w:t>
      </w:r>
    </w:p>
    <w:p>
      <w:pPr>
        <w:spacing w:after="0" w:line="248" w:lineRule="exact"/>
        <w:rPr>
          <w:sz w:val="20"/>
          <w:szCs w:val="20"/>
          <w:color w:val="auto"/>
        </w:rPr>
      </w:pPr>
    </w:p>
    <w:p>
      <w:pPr>
        <w:ind w:right="60" w:firstLine="644"/>
        <w:spacing w:after="0" w:line="275" w:lineRule="auto"/>
        <w:tabs>
          <w:tab w:leader="none" w:pos="1038"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amount of any reasonable reserve established in accordance with GAAP against any liabilities (other than any taxes deducted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(1) associated with the assets that are the subject of such Prepayment Event and (2) retained by Holdings or any of the Restricted Subsidiaries </w:t>
      </w:r>
      <w:r>
        <w:rPr>
          <w:rFonts w:ascii="Arial" w:cs="Arial" w:eastAsia="Arial" w:hAnsi="Arial"/>
          <w:sz w:val="17"/>
          <w:szCs w:val="17"/>
          <w:color w:val="FF0000"/>
        </w:rPr>
        <w:t>(or, in the case of a Capital Markets Prepayment Event, the Parent Entity)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spacing w:after="0" w:line="176" w:lineRule="exact"/>
        <w:rPr>
          <w:rFonts w:ascii="Arial" w:cs="Arial" w:eastAsia="Arial" w:hAnsi="Arial"/>
          <w:sz w:val="17"/>
          <w:szCs w:val="17"/>
          <w:color w:val="auto"/>
        </w:rPr>
      </w:pPr>
    </w:p>
    <w:p>
      <w:pPr>
        <w:ind w:firstLine="644"/>
        <w:spacing w:after="0" w:line="263" w:lineRule="auto"/>
        <w:tabs>
          <w:tab w:leader="none" w:pos="10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spacing w:after="0" w:line="183" w:lineRule="exact"/>
        <w:rPr>
          <w:rFonts w:ascii="Arial" w:cs="Arial" w:eastAsia="Arial" w:hAnsi="Arial"/>
          <w:sz w:val="18"/>
          <w:szCs w:val="18"/>
          <w:color w:val="auto"/>
        </w:rPr>
      </w:pPr>
    </w:p>
    <w:p>
      <w:pPr>
        <w:ind w:right="20" w:firstLine="644"/>
        <w:spacing w:after="0" w:line="269" w:lineRule="auto"/>
        <w:tabs>
          <w:tab w:leader="none" w:pos="1038"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in the case of any Asset Sale Prepayment Event or Casualty Event or Permitted Sale Leaseback, the amount of any proceeds of such Prepayment Event that Holdings or any Restricted Subsidiary has reinvested (or intends to reinvest within the Reinvestment Period or has entered into a binding commitment prior to the last day of the Reinvestment Period to reinvest) in the business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proceeds that has not been so reinvested within such Reinvestment Period (with respect to such Prepayment Event, the “</w:t>
      </w:r>
      <w:r>
        <w:rPr>
          <w:rFonts w:ascii="Arial" w:cs="Arial" w:eastAsia="Arial" w:hAnsi="Arial"/>
          <w:sz w:val="17"/>
          <w:szCs w:val="17"/>
          <w:b w:val="1"/>
          <w:bCs w:val="1"/>
          <w:color w:val="auto"/>
        </w:rPr>
        <w:t>Deferred Net Cash Proceeds</w:t>
      </w:r>
      <w:r>
        <w:rPr>
          <w:rFonts w:ascii="Arial" w:cs="Arial" w:eastAsia="Arial" w:hAnsi="Arial"/>
          <w:sz w:val="17"/>
          <w:szCs w:val="17"/>
          <w:color w:val="auto"/>
        </w:rPr>
        <w:t>”) shall, unless Holdings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Holdings or such Restricted Subsidiary has entered into such binding commitment, as applicable (such last day or 180th day, as applicable, the “</w:t>
      </w:r>
      <w:r>
        <w:rPr>
          <w:rFonts w:ascii="Arial" w:cs="Arial" w:eastAsia="Arial" w:hAnsi="Arial"/>
          <w:sz w:val="17"/>
          <w:szCs w:val="17"/>
          <w:b w:val="1"/>
          <w:bCs w:val="1"/>
          <w:color w:val="auto"/>
        </w:rPr>
        <w:t>Deferred Net Cash Proceeds Payment Date</w:t>
      </w:r>
      <w:r>
        <w:rPr>
          <w:rFonts w:ascii="Arial" w:cs="Arial" w:eastAsia="Arial" w:hAnsi="Arial"/>
          <w:sz w:val="17"/>
          <w:szCs w:val="17"/>
          <w:color w:val="auto"/>
        </w:rPr>
        <w:t xml:space="preserve">”), and (2) be applied to the repayment of Term Loans in accordance with </w:t>
      </w:r>
      <w:r>
        <w:rPr>
          <w:rFonts w:ascii="Arial" w:cs="Arial" w:eastAsia="Arial" w:hAnsi="Arial"/>
          <w:sz w:val="17"/>
          <w:szCs w:val="17"/>
          <w:u w:val="single" w:color="auto"/>
          <w:color w:val="auto"/>
        </w:rPr>
        <w:t>Section 5.2(a)(i)</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right="20" w:firstLine="644"/>
        <w:spacing w:after="0" w:line="311" w:lineRule="auto"/>
        <w:tabs>
          <w:tab w:leader="none" w:pos="10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Casualty Event, or Permitted Sale Leaseback by a non-Wholly-Owned Restricted Subsidiary, the pro rata portion of the Net Cash Proceeds thereof (calculated without regard to this </w:t>
      </w:r>
      <w:r>
        <w:rPr>
          <w:rFonts w:ascii="Arial" w:cs="Arial" w:eastAsia="Arial" w:hAnsi="Arial"/>
          <w:sz w:val="16"/>
          <w:szCs w:val="16"/>
          <w:u w:val="single" w:color="auto"/>
          <w:color w:val="auto"/>
        </w:rPr>
        <w:t>clause (e)</w:t>
      </w:r>
      <w:r>
        <w:rPr>
          <w:rFonts w:ascii="Arial" w:cs="Arial" w:eastAsia="Arial" w:hAnsi="Arial"/>
          <w:sz w:val="16"/>
          <w:szCs w:val="16"/>
          <w:color w:val="auto"/>
        </w:rPr>
        <w:t>) attributable to minority interests and not available for distribution to or for the account of Holdings or a Wholly-Owned Restricted Subsidiary as a result thereof,</w:t>
      </w:r>
    </w:p>
    <w:p>
      <w:pPr>
        <w:spacing w:after="0" w:line="148" w:lineRule="exact"/>
        <w:rPr>
          <w:rFonts w:ascii="Arial" w:cs="Arial" w:eastAsia="Arial" w:hAnsi="Arial"/>
          <w:sz w:val="16"/>
          <w:szCs w:val="16"/>
          <w:color w:val="auto"/>
        </w:rPr>
      </w:pPr>
    </w:p>
    <w:p>
      <w:pPr>
        <w:ind w:right="100" w:firstLine="644"/>
        <w:spacing w:after="0" w:line="296" w:lineRule="auto"/>
        <w:tabs>
          <w:tab w:leader="none" w:pos="100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escrow (other than in connection with a payment in respect of any such liability) shall be deemed to be Net Cash Proceeds of such a Prepayment Event occurring on the date of such reduction solely to the extent that Holdings and/or any Restricted Subsidiaries receives cash in an amount equal to the amount of such reduction, and</w:t>
      </w:r>
    </w:p>
    <w:p>
      <w:pPr>
        <w:spacing w:after="0" w:line="161" w:lineRule="exact"/>
        <w:rPr>
          <w:rFonts w:ascii="Arial" w:cs="Arial" w:eastAsia="Arial" w:hAnsi="Arial"/>
          <w:sz w:val="16"/>
          <w:szCs w:val="16"/>
          <w:color w:val="auto"/>
        </w:rPr>
      </w:pPr>
    </w:p>
    <w:p>
      <w:pPr>
        <w:ind w:right="260" w:firstLine="644"/>
        <w:spacing w:after="0" w:line="273" w:lineRule="auto"/>
        <w:tabs>
          <w:tab w:leader="none" w:pos="1038"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all fees and out of pocket expenses paid by Holdings or a Restricted Subsidiary </w:t>
      </w:r>
      <w:r>
        <w:rPr>
          <w:rFonts w:ascii="Arial" w:cs="Arial" w:eastAsia="Arial" w:hAnsi="Arial"/>
          <w:sz w:val="17"/>
          <w:szCs w:val="17"/>
          <w:color w:val="FF0000"/>
          <w:strike w:val="1"/>
        </w:rPr>
        <w:t>(or, in the case of a Capital Markets Prepayment</w:t>
      </w:r>
      <w:r>
        <w:rPr>
          <w:rFonts w:ascii="Arial" w:cs="Arial" w:eastAsia="Arial" w:hAnsi="Arial"/>
          <w:sz w:val="17"/>
          <w:szCs w:val="17"/>
          <w:color w:val="auto"/>
        </w:rPr>
        <w:t xml:space="preserve"> </w:t>
      </w:r>
      <w:r>
        <w:rPr>
          <w:rFonts w:ascii="Arial" w:cs="Arial" w:eastAsia="Arial" w:hAnsi="Arial"/>
          <w:sz w:val="17"/>
          <w:szCs w:val="17"/>
          <w:color w:val="FF0000"/>
          <w:strike w:val="1"/>
        </w:rPr>
        <w:t>Event, the Parent Entity)</w:t>
      </w:r>
      <w:r>
        <w:rPr>
          <w:rFonts w:ascii="Arial" w:cs="Arial" w:eastAsia="Arial" w:hAnsi="Arial"/>
          <w:sz w:val="17"/>
          <w:szCs w:val="17"/>
          <w:color w:val="FF0000"/>
        </w:rPr>
        <w:t xml:space="preserve"> </w:t>
      </w:r>
      <w:r>
        <w:rPr>
          <w:rFonts w:ascii="Arial" w:cs="Arial" w:eastAsia="Arial" w:hAnsi="Arial"/>
          <w:sz w:val="17"/>
          <w:szCs w:val="17"/>
          <w:color w:val="000000"/>
        </w:rPr>
        <w:t>in connection with any of the foregoing (for the avoidance of doubt, including, (1) in the case of the issuance of</w:t>
      </w:r>
      <w:r>
        <w:rPr>
          <w:rFonts w:ascii="Arial" w:cs="Arial" w:eastAsia="Arial" w:hAnsi="Arial"/>
          <w:sz w:val="17"/>
          <w:szCs w:val="17"/>
          <w:color w:val="FF0000"/>
        </w:rPr>
        <w:t xml:space="preserve"> </w:t>
      </w:r>
      <w:r>
        <w:rPr>
          <w:rFonts w:ascii="Arial" w:cs="Arial" w:eastAsia="Arial" w:hAnsi="Arial"/>
          <w:sz w:val="17"/>
          <w:szCs w:val="17"/>
          <w:color w:val="000000"/>
        </w:rPr>
        <w:t xml:space="preserve">Permitted Other Indebtedness </w:t>
      </w:r>
      <w:r>
        <w:rPr>
          <w:rFonts w:ascii="Arial" w:cs="Arial" w:eastAsia="Arial" w:hAnsi="Arial"/>
          <w:sz w:val="17"/>
          <w:szCs w:val="17"/>
          <w:color w:val="FF0000"/>
        </w:rPr>
        <w:t>or Capital Markets Prepayment Event</w:t>
      </w:r>
      <w:r>
        <w:rPr>
          <w:rFonts w:ascii="Arial" w:cs="Arial" w:eastAsia="Arial" w:hAnsi="Arial"/>
          <w:sz w:val="17"/>
          <w:szCs w:val="17"/>
          <w:color w:val="000000"/>
        </w:rPr>
        <w:t>,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-4746625</wp:posOffset>
            </wp:positionV>
            <wp:extent cx="3393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93440" cy="889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-494665</wp:posOffset>
            </wp:positionV>
            <wp:extent cx="17545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45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60"/>
          </w:cols>
          <w:pgMar w:left="980" w:top="1440" w:right="359" w:bottom="1440" w:gutter="0" w:footer="0" w:header="0"/>
        </w:sectPr>
      </w:pPr>
    </w:p>
    <w:bookmarkStart w:id="70" w:name="page71"/>
    <w:bookmarkEnd w:id="70"/>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only to the extent not already deducted in arriving at the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221"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shall mean, with respect to any Person, the net income (loss) of such Person, determined in accordance with GAAP and before any reduction in respect of preferred stock dividends.</w:t>
      </w:r>
    </w:p>
    <w:p>
      <w:pPr>
        <w:spacing w:after="0" w:line="162"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Contracts</w:t>
      </w:r>
      <w:r>
        <w:rPr>
          <w:rFonts w:ascii="Arial" w:cs="Arial" w:eastAsia="Arial" w:hAnsi="Arial"/>
          <w:sz w:val="18"/>
          <w:szCs w:val="18"/>
          <w:color w:val="auto"/>
        </w:rPr>
        <w:t>” shall mean binding contracts or purchase orders (i) entered with new Counterparties or (ii) for new business with existing Counterparties, in each case, under which Holdings and/or its Subsidiaries have begun to provide goods or services, which are expected to increase the Consolidated Net Income of Holdings.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 Consolidated EBITDA Adjustment</w:t>
      </w:r>
      <w:r>
        <w:rPr>
          <w:rFonts w:ascii="Arial" w:cs="Arial" w:eastAsia="Arial" w:hAnsi="Arial"/>
          <w:sz w:val="18"/>
          <w:szCs w:val="18"/>
          <w:color w:val="auto"/>
        </w:rPr>
        <w:t>” shall mean, for any applicable Test Period, the excess (not to be less than zero) of (i) aggregate amount derived from the product of (a) the aggregate number of New Stores and (b) Average New Store Consolidated EBITDA during the previous Test Period over (ii) the actual Consolidated EBITDA generated by New Stores during the Test Period.</w:t>
      </w:r>
    </w:p>
    <w:p>
      <w:pPr>
        <w:spacing w:after="0" w:line="17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Stores</w:t>
      </w:r>
      <w:r>
        <w:rPr>
          <w:rFonts w:ascii="Arial" w:cs="Arial" w:eastAsia="Arial" w:hAnsi="Arial"/>
          <w:sz w:val="18"/>
          <w:szCs w:val="18"/>
          <w:color w:val="auto"/>
        </w:rPr>
        <w:t>” shall mean, with respect to any Test Period, the number of Stores opened within the last 24 months, measured from and including the last month in such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Maturity Date</w:t>
      </w:r>
      <w:r>
        <w:rPr>
          <w:rFonts w:ascii="Arial" w:cs="Arial" w:eastAsia="Arial" w:hAnsi="Arial"/>
          <w:sz w:val="18"/>
          <w:szCs w:val="18"/>
          <w:color w:val="auto"/>
        </w:rPr>
        <w:t>” shall mean the date on which a New Term Loan matures.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Non-Bank Tax Certificate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and include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shall mean any Lender that is not a “United States person” as defined by Section 7701(a)(30) of the Code.</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w:t>
      </w:r>
      <w:r>
        <w:rPr>
          <w:rFonts w:ascii="Arial" w:cs="Arial" w:eastAsia="Arial" w:hAnsi="Arial"/>
          <w:sz w:val="18"/>
          <w:szCs w:val="18"/>
          <w:color w:val="008000"/>
          <w:strike w:val="1"/>
        </w:rPr>
        <w:t>have the meaning provided in</w:t>
      </w:r>
      <w:r>
        <w:rPr>
          <w:rFonts w:ascii="Arial" w:cs="Arial" w:eastAsia="Arial" w:hAnsi="Arial"/>
          <w:sz w:val="18"/>
          <w:szCs w:val="18"/>
          <w:color w:val="auto"/>
        </w:rPr>
        <w:t xml:space="preserve"> </w:t>
      </w:r>
      <w:r>
        <w:rPr>
          <w:rFonts w:ascii="Arial" w:cs="Arial" w:eastAsia="Arial" w:hAnsi="Arial"/>
          <w:sz w:val="18"/>
          <w:szCs w:val="18"/>
          <w:u w:val="single" w:color="auto"/>
          <w:color w:val="008000"/>
          <w:strike w:val="1"/>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2.3(a)</w:t>
      </w:r>
      <w:r>
        <w:rPr>
          <w:rFonts w:ascii="Arial" w:cs="Arial" w:eastAsia="Arial" w:hAnsi="Arial"/>
          <w:sz w:val="18"/>
          <w:szCs w:val="18"/>
          <w:color w:val="FF0000"/>
          <w:strike w:val="1"/>
        </w:rPr>
        <w:t>.</w:t>
      </w:r>
      <w:r>
        <w:rPr>
          <w:rFonts w:ascii="Arial" w:cs="Arial" w:eastAsia="Arial" w:hAnsi="Arial"/>
          <w:sz w:val="18"/>
          <w:szCs w:val="18"/>
          <w:u w:val="single" w:color="auto"/>
          <w:color w:val="0000FF"/>
        </w:rPr>
        <w:t>mean a notice of Borrowing of Term A Loans or Revolving Credit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Loans, which shall be substantially in the form of Exhibit K or such other form as may be approved by the Administrative Agent, including any form on an electronic platform or electronic</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1440" w:right="359" w:bottom="1440" w:gutter="0" w:footer="0" w:header="0"/>
          <w:type w:val="continuous"/>
        </w:sectPr>
      </w:pPr>
    </w:p>
    <w:bookmarkStart w:id="71" w:name="page72"/>
    <w:bookmarkEnd w:id="71"/>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transmission system as shall be approved by the Administrative Agent, appropriately completed and signed by an Authorized Officer of the Borrower.</w:t>
      </w:r>
    </w:p>
    <w:p>
      <w:pPr>
        <w:spacing w:after="0" w:line="233"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Conversion or Continuation</w:t>
      </w:r>
      <w:r>
        <w:rPr>
          <w:rFonts w:ascii="Arial" w:cs="Arial" w:eastAsia="Arial" w:hAnsi="Arial"/>
          <w:sz w:val="17"/>
          <w:szCs w:val="17"/>
          <w:color w:val="auto"/>
        </w:rPr>
        <w:t xml:space="preserve">” shall </w:t>
      </w:r>
      <w:r>
        <w:rPr>
          <w:rFonts w:ascii="Arial" w:cs="Arial" w:eastAsia="Arial" w:hAnsi="Arial"/>
          <w:sz w:val="17"/>
          <w:szCs w:val="17"/>
          <w:color w:val="FF0000"/>
          <w:strike w:val="1"/>
        </w:rPr>
        <w:t>have the meaning provided in</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Section 2.6(a)</w:t>
      </w:r>
      <w:r>
        <w:rPr>
          <w:rFonts w:ascii="Arial" w:cs="Arial" w:eastAsia="Arial" w:hAnsi="Arial"/>
          <w:sz w:val="17"/>
          <w:szCs w:val="17"/>
          <w:color w:val="FF0000"/>
          <w:strike w:val="1"/>
        </w:rPr>
        <w:t>.</w:t>
      </w:r>
      <w:r>
        <w:rPr>
          <w:rFonts w:ascii="Arial" w:cs="Arial" w:eastAsia="Arial" w:hAnsi="Arial"/>
          <w:sz w:val="17"/>
          <w:szCs w:val="17"/>
          <w:u w:val="single" w:color="auto"/>
          <w:color w:val="0000FF"/>
        </w:rPr>
        <w:t>mean a notice of conversion of Loans from one Type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xml:space="preserve">to the other, or a continuation of LIBOR Loans, pursuant to Section 2.6(a), which shall be </w:t>
      </w:r>
      <w:r>
        <w:rPr>
          <w:rFonts w:ascii="Arial" w:cs="Arial" w:eastAsia="Arial" w:hAnsi="Arial"/>
          <w:sz w:val="17"/>
          <w:szCs w:val="17"/>
          <w:u w:val="single" w:color="auto"/>
          <w:color w:val="008000"/>
        </w:rPr>
        <w:t>substantially in the form of Exhibit K</w:t>
      </w:r>
      <w:r>
        <w:rPr>
          <w:rFonts w:ascii="Arial" w:cs="Arial" w:eastAsia="Arial" w:hAnsi="Arial"/>
          <w:sz w:val="17"/>
          <w:szCs w:val="17"/>
          <w:u w:val="single" w:color="auto"/>
          <w:color w:val="0000FF"/>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Borrower.</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Revolving Credit Commitment, Loan, or Letter of Credit or under any Secured Cash Management Agreement, Secured Hedge Agreement (other than with respect to any Credit Party’s obligations that constitute Excluded Swap Obligations solely with respect to such Credit Party), in each case, entered into with Holdings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have the meaning provided in Section 8.11.</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Commitments</w:t>
      </w:r>
      <w:r>
        <w:rPr>
          <w:rFonts w:ascii="Arial" w:cs="Arial" w:eastAsia="Arial" w:hAnsi="Arial"/>
          <w:sz w:val="18"/>
          <w:szCs w:val="18"/>
          <w:color w:val="auto"/>
        </w:rPr>
        <w:t>” shall mean all Revolving Credit Commitments, Existing Revolving Credit Commitments, and Extended Revolving Credit Commitments, other than any New Revolving Credit Commitments (and any Extended Revolving Credit Commitments related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Transactions</w:t>
      </w:r>
      <w:r>
        <w:rPr>
          <w:rFonts w:ascii="Arial" w:cs="Arial" w:eastAsia="Arial" w:hAnsi="Arial"/>
          <w:sz w:val="18"/>
          <w:szCs w:val="18"/>
          <w:color w:val="auto"/>
        </w:rPr>
        <w:t>” shall mean the “Transactions” (as defined in the Original Credit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Other Rate Early Opt-in</w:t>
      </w:r>
      <w:r>
        <w:rPr>
          <w:rFonts w:ascii="Arial" w:cs="Arial" w:eastAsia="Arial" w:hAnsi="Arial"/>
          <w:sz w:val="18"/>
          <w:szCs w:val="18"/>
          <w:u w:val="single" w:color="auto"/>
          <w:color w:val="0000FF"/>
        </w:rPr>
        <w:t>” shall mean the Administrative Agent and the Borrower have elected to replace LIBOR with a Benchmark Replacement other than a SOFR-based rate pursuant to (1) an Early Opt-in Election and (2) Section 2.10(d)(ii) and paragraph (2) of the definition of “Benchmark Replacement”.</w:t>
      </w:r>
    </w:p>
    <w:p>
      <w:pPr>
        <w:spacing w:after="0" w:line="1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or otherwise with respect to,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 shall not include (i) any Taxes that result from an assignment, grant of a participation pursuant to </w:t>
      </w:r>
      <w:r>
        <w:rPr>
          <w:rFonts w:ascii="Arial" w:cs="Arial" w:eastAsia="Arial" w:hAnsi="Arial"/>
          <w:sz w:val="17"/>
          <w:szCs w:val="17"/>
          <w:u w:val="single" w:color="auto"/>
          <w:color w:val="auto"/>
        </w:rPr>
        <w:t>Section 13.6(c)</w:t>
      </w:r>
      <w:r>
        <w:rPr>
          <w:rFonts w:ascii="Arial" w:cs="Arial" w:eastAsia="Arial" w:hAnsi="Arial"/>
          <w:sz w:val="17"/>
          <w:szCs w:val="17"/>
          <w:color w:val="auto"/>
        </w:rPr>
        <w:t xml:space="preserve"> or transfer or assignment to or designation of a new lending office or other office for receiving payments under any Credit Document (“</w:t>
      </w:r>
      <w:r>
        <w:rPr>
          <w:rFonts w:ascii="Arial" w:cs="Arial" w:eastAsia="Arial" w:hAnsi="Arial"/>
          <w:sz w:val="17"/>
          <w:szCs w:val="17"/>
          <w:b w:val="1"/>
          <w:bCs w:val="1"/>
          <w:color w:val="auto"/>
        </w:rPr>
        <w:t>Assignment Taxes</w:t>
      </w:r>
      <w:r>
        <w:rPr>
          <w:rFonts w:ascii="Arial" w:cs="Arial" w:eastAsia="Arial" w:hAnsi="Arial"/>
          <w:sz w:val="17"/>
          <w:szCs w:val="17"/>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 Borrower or Holdings or (ii) Excluded Taxes.</w:t>
      </w:r>
    </w:p>
    <w:p>
      <w:pPr>
        <w:spacing w:after="0" w:line="172"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shall mean, for any day, the greater of (a) the Federal Funds Effective Rate and (b) an overnight rate determined by the Administrative Agent, the Letter of Credit Issuer, or the Swingline Lender, as the case may be, in accordance with banking industry rules on interbank compensation.</w:t>
      </w:r>
    </w:p>
    <w:p>
      <w:pPr>
        <w:spacing w:after="0" w:line="176"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shall mean National Vision Holdings, Inc. or any other Person that is a direct or indirect parent company (which may be organized as, among other things, a partnership) of Holdings and/or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13.6(c)(ii)</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shall mean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benefit pension plan (as defined in Section 3(2) of ERISA, but excluding any Multiemployer Plan) in respect of which any Credit Party or any ERISA Affiliate is (or, if such plan were terminated, would under Section 4062 or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Investment”.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Swap</w:t>
      </w:r>
      <w:r>
        <w:rPr>
          <w:rFonts w:ascii="Arial" w:cs="Arial" w:eastAsia="Arial" w:hAnsi="Arial"/>
          <w:sz w:val="18"/>
          <w:szCs w:val="18"/>
          <w:color w:val="auto"/>
        </w:rPr>
        <w:t xml:space="preserve">” shall mean the concurrent purchase and sale or exchange of Related Business Assets or a combination of Related Business Assets and cash or Cash Equivalents between Holdings or a Restricted Subsidiary and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or Cash Equivalents received must be applied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Convertible Indebtedness</w:t>
      </w:r>
      <w:r>
        <w:rPr>
          <w:rFonts w:ascii="Arial" w:cs="Arial" w:eastAsia="Arial" w:hAnsi="Arial"/>
          <w:sz w:val="16"/>
          <w:szCs w:val="16"/>
          <w:color w:val="auto"/>
        </w:rPr>
        <w:t xml:space="preserve">” means </w:t>
      </w:r>
      <w:r>
        <w:rPr>
          <w:rFonts w:ascii="Arial" w:cs="Arial" w:eastAsia="Arial" w:hAnsi="Arial"/>
          <w:sz w:val="16"/>
          <w:szCs w:val="16"/>
          <w:u w:val="single" w:color="auto"/>
          <w:color w:val="0000FF"/>
        </w:rPr>
        <w:t>(i) National Vision Holdings, Inc.’s 2.50% convertible senior notes due 2025 outstanding</w:t>
      </w:r>
      <w:r>
        <w:rPr>
          <w:rFonts w:ascii="Arial" w:cs="Arial" w:eastAsia="Arial" w:hAnsi="Arial"/>
          <w:sz w:val="16"/>
          <w:szCs w:val="16"/>
          <w:color w:val="auto"/>
        </w:rPr>
        <w:t xml:space="preserve"> </w:t>
      </w:r>
      <w:r>
        <w:rPr>
          <w:rFonts w:ascii="Arial" w:cs="Arial" w:eastAsia="Arial" w:hAnsi="Arial"/>
          <w:sz w:val="16"/>
          <w:szCs w:val="16"/>
          <w:u w:val="single" w:color="auto"/>
          <w:color w:val="008000"/>
        </w:rPr>
        <w:t>prior to</w:t>
      </w:r>
      <w:r>
        <w:rPr>
          <w:rFonts w:ascii="Arial" w:cs="Arial" w:eastAsia="Arial" w:hAnsi="Arial"/>
          <w:sz w:val="16"/>
          <w:szCs w:val="16"/>
          <w:color w:val="auto"/>
        </w:rPr>
        <w:t xml:space="preserve"> </w:t>
      </w:r>
      <w:r>
        <w:rPr>
          <w:rFonts w:ascii="Arial" w:cs="Arial" w:eastAsia="Arial" w:hAnsi="Arial"/>
          <w:sz w:val="16"/>
          <w:szCs w:val="16"/>
          <w:u w:val="single" w:color="auto"/>
          <w:color w:val="008000"/>
        </w:rPr>
        <w:t xml:space="preserve">the Amendment No. </w:t>
      </w:r>
      <w:r>
        <w:rPr>
          <w:rFonts w:ascii="Arial" w:cs="Arial" w:eastAsia="Arial" w:hAnsi="Arial"/>
          <w:sz w:val="16"/>
          <w:szCs w:val="16"/>
          <w:u w:val="single" w:color="auto"/>
          <w:color w:val="0000FF"/>
        </w:rPr>
        <w:t>2 Effective Date and (ii) any refinancing, refunding, renewal or extension of any Indebtedness specified in subclause (i) above;</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provided that (A)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(B) such Indebtedness constitutes</w:t>
      </w:r>
      <w:r>
        <w:rPr>
          <w:rFonts w:ascii="Arial" w:cs="Arial" w:eastAsia="Arial" w:hAnsi="Arial"/>
          <w:sz w:val="16"/>
          <w:szCs w:val="16"/>
          <w:color w:val="0000FF"/>
        </w:rPr>
        <w:t xml:space="preserve"> </w:t>
      </w:r>
      <w:r>
        <w:rPr>
          <w:rFonts w:ascii="Arial" w:cs="Arial" w:eastAsia="Arial" w:hAnsi="Arial"/>
          <w:sz w:val="16"/>
          <w:szCs w:val="16"/>
          <w:color w:val="000000"/>
        </w:rPr>
        <w:t>Indebtedness of any Parent Entity that is convertible, at the</w:t>
      </w:r>
      <w:r>
        <w:rPr>
          <w:rFonts w:ascii="Arial" w:cs="Arial" w:eastAsia="Arial" w:hAnsi="Arial"/>
          <w:sz w:val="16"/>
          <w:szCs w:val="16"/>
          <w:color w:val="0000FF"/>
        </w:rPr>
        <w:t xml:space="preserve"> </w:t>
      </w:r>
      <w:r>
        <w:rPr>
          <w:rFonts w:ascii="Arial" w:cs="Arial" w:eastAsia="Arial" w:hAnsi="Arial"/>
          <w:sz w:val="16"/>
          <w:szCs w:val="16"/>
          <w:color w:val="000000"/>
        </w:rPr>
        <w:t>option of the holder, into Equity Interests (other than Disqualified Equity Interests) of such Parent Entity, cash or a combination of such Equity Interests and cash</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000000"/>
        </w:rPr>
        <w:t xml:space="preserve"> </w:t>
      </w:r>
      <w:r>
        <w:rPr>
          <w:rFonts w:ascii="Arial" w:cs="Arial" w:eastAsia="Arial" w:hAnsi="Arial"/>
          <w:sz w:val="16"/>
          <w:szCs w:val="16"/>
          <w:color w:val="FF0000"/>
          <w:strike w:val="1"/>
        </w:rPr>
        <w:t>that</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w:t>
      </w:r>
      <w:r>
        <w:rPr>
          <w:rFonts w:ascii="Arial" w:cs="Arial" w:eastAsia="Arial" w:hAnsi="Arial"/>
          <w:sz w:val="16"/>
          <w:szCs w:val="16"/>
          <w:color w:val="FF0000"/>
          <w:strike w:val="1"/>
        </w:rPr>
        <w:t>i</w:t>
      </w:r>
      <w:r>
        <w:rPr>
          <w:rFonts w:ascii="Arial" w:cs="Arial" w:eastAsia="Arial" w:hAnsi="Arial"/>
          <w:sz w:val="16"/>
          <w:szCs w:val="16"/>
          <w:u w:val="single" w:color="auto"/>
          <w:color w:val="0000FF"/>
        </w:rPr>
        <w:t>C</w:t>
      </w:r>
      <w:r>
        <w:rPr>
          <w:rFonts w:ascii="Arial" w:cs="Arial" w:eastAsia="Arial" w:hAnsi="Arial"/>
          <w:sz w:val="16"/>
          <w:szCs w:val="16"/>
          <w:color w:val="000000"/>
        </w:rPr>
        <w:t>) such Indebtedness has no scheduled principal payments prior to the date that is five years following the date of issuance (</w:t>
      </w:r>
      <w:r>
        <w:rPr>
          <w:rFonts w:ascii="Arial" w:cs="Arial" w:eastAsia="Arial" w:hAnsi="Arial"/>
          <w:sz w:val="16"/>
          <w:szCs w:val="16"/>
          <w:u w:val="single" w:color="auto"/>
          <w:color w:val="000000"/>
        </w:rPr>
        <w:t>provided</w:t>
      </w:r>
      <w:r>
        <w:rPr>
          <w:rFonts w:ascii="Arial" w:cs="Arial" w:eastAsia="Arial" w:hAnsi="Arial"/>
          <w:sz w:val="16"/>
          <w:szCs w:val="16"/>
          <w:color w:val="000000"/>
        </w:rPr>
        <w:t>, however, this clause (</w:t>
      </w:r>
      <w:r>
        <w:rPr>
          <w:rFonts w:ascii="Arial" w:cs="Arial" w:eastAsia="Arial" w:hAnsi="Arial"/>
          <w:sz w:val="16"/>
          <w:szCs w:val="16"/>
          <w:color w:val="FF0000"/>
          <w:strike w:val="1"/>
        </w:rPr>
        <w:t>i</w:t>
      </w:r>
      <w:r>
        <w:rPr>
          <w:rFonts w:ascii="Arial" w:cs="Arial" w:eastAsia="Arial" w:hAnsi="Arial"/>
          <w:sz w:val="16"/>
          <w:szCs w:val="16"/>
          <w:u w:val="single" w:color="auto"/>
          <w:color w:val="0000FF"/>
        </w:rPr>
        <w:t>C</w:t>
      </w:r>
      <w:r>
        <w:rPr>
          <w:rFonts w:ascii="Arial" w:cs="Arial" w:eastAsia="Arial" w:hAnsi="Arial"/>
          <w:sz w:val="16"/>
          <w:szCs w:val="16"/>
          <w:color w:val="000000"/>
        </w:rPr>
        <w:t>) shall not limit payments and deliveries due upon conversion of such Indebtedness (including, for the avoidance of doubt, if such Parent Entity has the right to elect to pay, or elects to pay, the principal amount of any such Indebtedness in cash upon a holder’s exercise of its conversion or exchange right under such Indebtedness, such right or payment) and payments due upon required repurchase of such Indebtedness) and (</w:t>
      </w:r>
      <w:r>
        <w:rPr>
          <w:rFonts w:ascii="Arial" w:cs="Arial" w:eastAsia="Arial" w:hAnsi="Arial"/>
          <w:sz w:val="16"/>
          <w:szCs w:val="16"/>
          <w:color w:val="FF0000"/>
          <w:strike w:val="1"/>
        </w:rPr>
        <w:t>ii</w:t>
      </w:r>
      <w:r>
        <w:rPr>
          <w:rFonts w:ascii="Arial" w:cs="Arial" w:eastAsia="Arial" w:hAnsi="Arial"/>
          <w:sz w:val="16"/>
          <w:szCs w:val="16"/>
          <w:u w:val="single" w:color="auto"/>
          <w:color w:val="0000FF"/>
        </w:rPr>
        <w:t>D</w:t>
      </w:r>
      <w:r>
        <w:rPr>
          <w:rFonts w:ascii="Arial" w:cs="Arial" w:eastAsia="Arial" w:hAnsi="Arial"/>
          <w:sz w:val="16"/>
          <w:szCs w:val="16"/>
          <w:color w:val="000000"/>
        </w:rPr>
        <w:t>) such Indebtedness is not guaranteed by Holdings or any of its Restricted Subsidiaries.</w:t>
      </w:r>
    </w:p>
    <w:p>
      <w:pPr>
        <w:spacing w:after="0" w:line="16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Holders</w:t>
      </w:r>
      <w:r>
        <w:rPr>
          <w:rFonts w:ascii="Arial" w:cs="Arial" w:eastAsia="Arial" w:hAnsi="Arial"/>
          <w:sz w:val="17"/>
          <w:szCs w:val="17"/>
          <w:color w:val="auto"/>
        </w:rPr>
        <w:t xml:space="preserve">” shall mean each of (i) the Initial Investors and their respective Affiliates (other than any portfolio company of an Initial Investor) and members of management of Holdings or the Borrower (or any Parent Entity) who are holders of Equity Interests of Holdings (or any Parent Entity) on the Restatement Effective Date and any group (within the meaning of Section 13(d)(3) or Section 14(d)(2) of the Exchange Act or any successor provision) of which any of the foregoing are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such group and without giving effect to the existence of such group or any other group, such Initial Investors, their respective Affiliates (other than any portfolio company of an Initial Investor) and members of management, collectively, have beneficial ownership of more than 50% of the total voting power of the Voting Stock of Holdings or any Parent Entity and (ii) any Parent Entity formed not in connection with, or in contemplation of, a transaction (other than the Original Transactions) that, assuming such parent was not formed, after giving effect thereto would constitute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73" w:name="page74"/>
    <w:bookmarkEnd w:id="73"/>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w:t>
      </w:r>
    </w:p>
    <w:p>
      <w:pPr>
        <w:spacing w:after="0" w:line="229" w:lineRule="exact"/>
        <w:rPr>
          <w:sz w:val="20"/>
          <w:szCs w:val="20"/>
          <w:color w:val="auto"/>
        </w:rPr>
      </w:pPr>
    </w:p>
    <w:p>
      <w:pPr>
        <w:ind w:right="40" w:firstLine="176"/>
        <w:spacing w:after="0" w:line="259" w:lineRule="auto"/>
        <w:tabs>
          <w:tab w:leader="none" w:pos="5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Investment in Holdings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Investments made by the Borrower and the Guarantors in Restricted Subsidiaries that are not the Borrower or a Guarantor shall not, at any time, exceed the greater of (x) $50.0 million and (y) 25% of Consolidated EBITDA for the most recently ended Test Period (calculated on a Pro Forma Basis) at the time of such Investment;</w:t>
      </w:r>
    </w:p>
    <w:p>
      <w:pPr>
        <w:spacing w:after="0" w:line="186" w:lineRule="exact"/>
        <w:rPr>
          <w:rFonts w:ascii="Arial" w:cs="Arial" w:eastAsia="Arial" w:hAnsi="Arial"/>
          <w:sz w:val="18"/>
          <w:szCs w:val="18"/>
          <w:color w:val="auto"/>
        </w:rPr>
      </w:pPr>
    </w:p>
    <w:p>
      <w:pPr>
        <w:ind w:left="580" w:hanging="404"/>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Investment in cash, Cash Equivalents, or Investment Grade Securities at the time such Investment is made;</w:t>
      </w:r>
    </w:p>
    <w:p>
      <w:pPr>
        <w:spacing w:after="0" w:line="225" w:lineRule="exact"/>
        <w:rPr>
          <w:rFonts w:ascii="Arial" w:cs="Arial" w:eastAsia="Arial" w:hAnsi="Arial"/>
          <w:sz w:val="18"/>
          <w:szCs w:val="18"/>
          <w:color w:val="auto"/>
        </w:rPr>
      </w:pPr>
    </w:p>
    <w:p>
      <w:pPr>
        <w:ind w:firstLine="176"/>
        <w:spacing w:after="0" w:line="269" w:lineRule="auto"/>
        <w:tabs>
          <w:tab w:leader="none" w:pos="63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Investment by Holdings or any Restricted Subsidiary in a Person that is engaged in a Similar Business if as a result of such Investment (a “</w:t>
      </w:r>
      <w:r>
        <w:rPr>
          <w:rFonts w:ascii="Arial" w:cs="Arial" w:eastAsia="Arial" w:hAnsi="Arial"/>
          <w:sz w:val="17"/>
          <w:szCs w:val="17"/>
          <w:b w:val="1"/>
          <w:bCs w:val="1"/>
          <w:color w:val="auto"/>
        </w:rPr>
        <w:t>Permitted Acquisition</w:t>
      </w:r>
      <w:r>
        <w:rPr>
          <w:rFonts w:ascii="Arial" w:cs="Arial" w:eastAsia="Arial" w:hAnsi="Arial"/>
          <w:sz w:val="17"/>
          <w:szCs w:val="17"/>
          <w:color w:val="auto"/>
        </w:rPr>
        <w:t xml:space="preserve">”), (1) such Person becomes a Restricted Subsidiary </w:t>
      </w:r>
      <w:r>
        <w:rPr>
          <w:rFonts w:ascii="Arial" w:cs="Arial" w:eastAsia="Arial" w:hAnsi="Arial"/>
          <w:sz w:val="17"/>
          <w:szCs w:val="17"/>
          <w:color w:val="FF0000"/>
          <w:strike w:val="1"/>
        </w:rPr>
        <w:t>Guarantor (except as permitted by any other provision</w:t>
      </w:r>
      <w:r>
        <w:rPr>
          <w:rFonts w:ascii="Arial" w:cs="Arial" w:eastAsia="Arial" w:hAnsi="Arial"/>
          <w:sz w:val="17"/>
          <w:szCs w:val="17"/>
          <w:color w:val="auto"/>
        </w:rPr>
        <w:t xml:space="preserve"> </w:t>
      </w:r>
      <w:r>
        <w:rPr>
          <w:rFonts w:ascii="Arial" w:cs="Arial" w:eastAsia="Arial" w:hAnsi="Arial"/>
          <w:sz w:val="17"/>
          <w:szCs w:val="17"/>
          <w:color w:val="FF0000"/>
          <w:strike w:val="1"/>
        </w:rPr>
        <w:t>of this definition)</w:t>
      </w:r>
      <w:r>
        <w:rPr>
          <w:rFonts w:ascii="Arial" w:cs="Arial" w:eastAsia="Arial" w:hAnsi="Arial"/>
          <w:sz w:val="17"/>
          <w:szCs w:val="17"/>
          <w:color w:val="FF0000"/>
        </w:rPr>
        <w:t xml:space="preserve"> </w:t>
      </w:r>
      <w:r>
        <w:rPr>
          <w:rFonts w:ascii="Arial" w:cs="Arial" w:eastAsia="Arial" w:hAnsi="Arial"/>
          <w:sz w:val="17"/>
          <w:szCs w:val="17"/>
          <w:color w:val="000000"/>
        </w:rPr>
        <w:t>or (2) such Person, in one transaction or a series of related transactions, is merged, consolidated, or amalgamated with or into, or</w:t>
      </w:r>
      <w:r>
        <w:rPr>
          <w:rFonts w:ascii="Arial" w:cs="Arial" w:eastAsia="Arial" w:hAnsi="Arial"/>
          <w:sz w:val="17"/>
          <w:szCs w:val="17"/>
          <w:color w:val="FF0000"/>
        </w:rPr>
        <w:t xml:space="preserve"> </w:t>
      </w:r>
      <w:r>
        <w:rPr>
          <w:rFonts w:ascii="Arial" w:cs="Arial" w:eastAsia="Arial" w:hAnsi="Arial"/>
          <w:sz w:val="17"/>
          <w:szCs w:val="17"/>
          <w:color w:val="000000"/>
        </w:rPr>
        <w:t xml:space="preserve">transfers or conveys substantially all of its assets to, or is liquidated into, Holdings or a Restricted Subsidiary, and, in each case, any Investment held by such Person;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such Investment was not acquired by such Person in contemplation of such acquisition, merger, consolidation, or transfer;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further</w:t>
      </w:r>
      <w:r>
        <w:rPr>
          <w:rFonts w:ascii="Arial" w:cs="Arial" w:eastAsia="Arial" w:hAnsi="Arial"/>
          <w:sz w:val="17"/>
          <w:szCs w:val="17"/>
          <w:color w:val="000000"/>
        </w:rPr>
        <w:t xml:space="preserve">, that the aggregate consideration </w:t>
      </w:r>
      <w:r>
        <w:rPr>
          <w:rFonts w:ascii="Arial" w:cs="Arial" w:eastAsia="Arial" w:hAnsi="Arial"/>
          <w:sz w:val="17"/>
          <w:szCs w:val="17"/>
          <w:color w:val="FF0000"/>
          <w:strike w:val="1"/>
        </w:rPr>
        <w:t>payable by Holdings</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(excluding any consideration resulting from the incurrence of</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Indebtedness, other than under the Revolving Credit Facility) paid by the Borrower and the Guarantors in connection with Permitted Acquisitions where the assets acquired are not owned directly by</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the Borrower or a Guarantor</w:t>
      </w:r>
      <w:r>
        <w:rPr>
          <w:rFonts w:ascii="Arial" w:cs="Arial" w:eastAsia="Arial" w:hAnsi="Arial"/>
          <w:sz w:val="17"/>
          <w:szCs w:val="17"/>
          <w:color w:val="0000FF"/>
        </w:rPr>
        <w:t xml:space="preserve"> </w:t>
      </w:r>
      <w:r>
        <w:rPr>
          <w:rFonts w:ascii="Arial" w:cs="Arial" w:eastAsia="Arial" w:hAnsi="Arial"/>
          <w:sz w:val="17"/>
          <w:szCs w:val="17"/>
          <w:color w:val="000000"/>
        </w:rPr>
        <w:t>or any Restricted Subsidiary</w:t>
      </w:r>
      <w:r>
        <w:rPr>
          <w:rFonts w:ascii="Arial" w:cs="Arial" w:eastAsia="Arial" w:hAnsi="Arial"/>
          <w:sz w:val="17"/>
          <w:szCs w:val="17"/>
          <w:color w:val="0000FF"/>
        </w:rPr>
        <w:t xml:space="preserve"> </w:t>
      </w:r>
      <w:r>
        <w:rPr>
          <w:rFonts w:ascii="Arial" w:cs="Arial" w:eastAsia="Arial" w:hAnsi="Arial"/>
          <w:sz w:val="17"/>
          <w:szCs w:val="17"/>
          <w:color w:val="FF0000"/>
          <w:strike w:val="1"/>
        </w:rPr>
        <w:t>for all such Permitted Acquisitions</w:t>
      </w:r>
      <w:r>
        <w:rPr>
          <w:rFonts w:ascii="Arial" w:cs="Arial" w:eastAsia="Arial" w:hAnsi="Arial"/>
          <w:sz w:val="17"/>
          <w:szCs w:val="17"/>
          <w:color w:val="0000FF"/>
        </w:rPr>
        <w:t xml:space="preserve"> </w:t>
      </w:r>
      <w:r>
        <w:rPr>
          <w:rFonts w:ascii="Arial" w:cs="Arial" w:eastAsia="Arial" w:hAnsi="Arial"/>
          <w:sz w:val="17"/>
          <w:szCs w:val="17"/>
          <w:color w:val="FF0000"/>
          <w:strike w:val="1"/>
        </w:rPr>
        <w:t>during the Additional Restrictions Period shall not exceed $20,000,000;</w:t>
      </w:r>
      <w:r>
        <w:rPr>
          <w:rFonts w:ascii="Arial" w:cs="Arial" w:eastAsia="Arial" w:hAnsi="Arial"/>
          <w:sz w:val="17"/>
          <w:szCs w:val="17"/>
          <w:u w:val="single" w:color="auto"/>
          <w:color w:val="0000FF"/>
          <w:strike w:val="1"/>
        </w:rPr>
        <w:t>that is acquired does not become a Guarantor shall not, at any time, exceed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the greater of (x) $50.0 million and (y) 25.0% of Consolidated EBITDA for the most recently ended Test Period (calculated on a Pro Forma Basis) at the time of such Investment;</w:t>
      </w:r>
    </w:p>
    <w:p>
      <w:pPr>
        <w:spacing w:after="0" w:line="181" w:lineRule="exact"/>
        <w:rPr>
          <w:rFonts w:ascii="Arial" w:cs="Arial" w:eastAsia="Arial" w:hAnsi="Arial"/>
          <w:sz w:val="17"/>
          <w:szCs w:val="17"/>
          <w:color w:val="auto"/>
        </w:rPr>
      </w:pPr>
    </w:p>
    <w:p>
      <w:pPr>
        <w:ind w:right="520" w:firstLine="176"/>
        <w:spacing w:after="0" w:line="342" w:lineRule="auto"/>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any Investment in securities or other assets not constituting cash, Cash Equivalents, or Investment Grade Securities and received in connection with an Asset Sale made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any other disposition of assets not constituting an Asset Sale;</w:t>
      </w:r>
    </w:p>
    <w:p>
      <w:pPr>
        <w:spacing w:after="0" w:line="123" w:lineRule="exact"/>
        <w:rPr>
          <w:rFonts w:ascii="Arial" w:cs="Arial" w:eastAsia="Arial" w:hAnsi="Arial"/>
          <w:sz w:val="16"/>
          <w:szCs w:val="16"/>
          <w:color w:val="auto"/>
        </w:rPr>
      </w:pPr>
    </w:p>
    <w:p>
      <w:pPr>
        <w:ind w:right="20" w:firstLine="176"/>
        <w:spacing w:after="0" w:line="273" w:lineRule="auto"/>
        <w:tabs>
          <w:tab w:leader="none" w:pos="57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 any Investment existing or contemplated on the Restatement Effective Date and, in each case, listed on </w:t>
      </w:r>
      <w:r>
        <w:rPr>
          <w:rFonts w:ascii="Arial" w:cs="Arial" w:eastAsia="Arial" w:hAnsi="Arial"/>
          <w:sz w:val="17"/>
          <w:szCs w:val="17"/>
          <w:u w:val="single" w:color="auto"/>
          <w:color w:val="auto"/>
        </w:rPr>
        <w:t>Schedule 10.5</w:t>
      </w:r>
      <w:r>
        <w:rPr>
          <w:rFonts w:ascii="Arial" w:cs="Arial" w:eastAsia="Arial" w:hAnsi="Arial"/>
          <w:sz w:val="17"/>
          <w:szCs w:val="17"/>
          <w:color w:val="auto"/>
        </w:rPr>
        <w:t xml:space="preserve"> and (b) Investments consisting of any modification, replacement, renewal, reinvestment, or extension of any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such Investment is not increased from the amount of such Investment on the Restatement Effective Date except pursuant to the terms of such Investment (including in respect of any unused commitment),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 Effective Date;</w:t>
      </w:r>
    </w:p>
    <w:p>
      <w:pPr>
        <w:spacing w:after="0" w:line="177" w:lineRule="exact"/>
        <w:rPr>
          <w:rFonts w:ascii="Arial" w:cs="Arial" w:eastAsia="Arial" w:hAnsi="Arial"/>
          <w:sz w:val="17"/>
          <w:szCs w:val="17"/>
          <w:color w:val="auto"/>
        </w:rPr>
      </w:pPr>
    </w:p>
    <w:p>
      <w:pPr>
        <w:ind w:right="100" w:firstLine="176"/>
        <w:spacing w:after="0" w:line="279"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Investment acquired by Holdings or any Restricted Subsidiary (a) in exchange for any other Investment or accounts receivable held by Holdings or any such Restricted Subsidiary in connection with or as a result of a bankruptcy, workout, reorganization, or recapitalization of Holdings of such other Investment or accounts receivable or (b) as a result of a foreclosure by Holdings or any Restricted Subsidiary with respect to any secured Investment or other transfer of title with respect to any secured Investment in default;</w:t>
      </w:r>
    </w:p>
    <w:p>
      <w:pPr>
        <w:spacing w:after="0" w:line="171" w:lineRule="exact"/>
        <w:rPr>
          <w:rFonts w:ascii="Arial" w:cs="Arial" w:eastAsia="Arial" w:hAnsi="Arial"/>
          <w:sz w:val="17"/>
          <w:szCs w:val="17"/>
          <w:color w:val="auto"/>
        </w:rPr>
      </w:pPr>
    </w:p>
    <w:p>
      <w:pPr>
        <w:ind w:left="660" w:hanging="48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Hedging Obligations permitted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Cash Management Services;</w:t>
      </w:r>
    </w:p>
    <w:p>
      <w:pPr>
        <w:spacing w:after="0" w:line="225" w:lineRule="exact"/>
        <w:rPr>
          <w:rFonts w:ascii="Arial" w:cs="Arial" w:eastAsia="Arial" w:hAnsi="Arial"/>
          <w:sz w:val="18"/>
          <w:szCs w:val="18"/>
          <w:color w:val="auto"/>
        </w:rPr>
      </w:pPr>
    </w:p>
    <w:p>
      <w:pPr>
        <w:ind w:firstLine="176"/>
        <w:spacing w:after="0" w:line="263" w:lineRule="auto"/>
        <w:tabs>
          <w:tab w:leader="none" w:pos="720" w:val="left"/>
        </w:tabs>
        <w:numPr>
          <w:ilvl w:val="0"/>
          <w:numId w:val="4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any Investment in a Similar Business having an aggregate Fair Market Value, taken together with all other Investments made pursuant to this clause (viii) that are at that time outstanding, not to exceed the greater of (a) $45,000,000 and (b) 40.0% of Consolidated EBITDA for the most recently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0"/>
          </w:cols>
          <w:pgMar w:left="980" w:top="1440" w:right="359" w:bottom="1440" w:gutter="0" w:footer="0" w:header="0"/>
        </w:sectPr>
      </w:pPr>
    </w:p>
    <w:bookmarkStart w:id="74" w:name="page75"/>
    <w:bookmarkEnd w:id="74"/>
    <w:p>
      <w:pPr>
        <w:spacing w:after="0" w:line="200" w:lineRule="exact"/>
        <w:rPr>
          <w:sz w:val="20"/>
          <w:szCs w:val="20"/>
          <w:color w:val="auto"/>
        </w:rPr>
      </w:pPr>
    </w:p>
    <w:p>
      <w:pPr>
        <w:spacing w:after="0" w:line="322" w:lineRule="exact"/>
        <w:rPr>
          <w:sz w:val="20"/>
          <w:szCs w:val="20"/>
          <w:color w:val="auto"/>
        </w:rPr>
      </w:pPr>
    </w:p>
    <w:p>
      <w:pPr>
        <w:ind w:left="480" w:right="200"/>
        <w:spacing w:after="0" w:line="253" w:lineRule="auto"/>
        <w:rPr>
          <w:sz w:val="20"/>
          <w:szCs w:val="20"/>
          <w:color w:val="auto"/>
        </w:rPr>
      </w:pPr>
      <w:r>
        <w:rPr>
          <w:rFonts w:ascii="Arial" w:cs="Arial" w:eastAsia="Arial" w:hAnsi="Arial"/>
          <w:sz w:val="18"/>
          <w:szCs w:val="18"/>
          <w:u w:val="single" w:color="auto"/>
          <w:color w:val="0000FF"/>
        </w:rPr>
        <w:t>ended Test Period (calculated on a Pro Forma Basis) at the time of such Investment (with the Fair Market Value of each Investment being measured at the time made and without giving effect to subsequent changes in value); provided, however, that if any Investment pursuant to this clause (viii) is made in any Person that is not a Restricted Subsidiary at the date of the making of such Investment and such Person becomes a Restricted Subsidiary after such date, such Investment shall thereafter be deemed to have been made pursuant to clause (i) above (to the extent permitted thereby) and shall cease to have been made pursuant to this clause (viii) for so long as such Person continues to be a Restricted Subsidiary;</w:t>
      </w:r>
    </w:p>
    <w:p>
      <w:pPr>
        <w:spacing w:after="0" w:line="1"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color w:val="FF0000"/>
          <w:strike w:val="1"/>
        </w:rPr>
      </w:pPr>
      <w:r>
        <w:rPr>
          <w:rFonts w:ascii="Arial" w:cs="Arial" w:eastAsia="Arial" w:hAnsi="Arial"/>
          <w:sz w:val="18"/>
          <w:szCs w:val="18"/>
          <w:color w:val="FF0000"/>
          <w:strike w:val="1"/>
        </w:rPr>
        <w:t>[reserved];</w:t>
      </w:r>
    </w:p>
    <w:p>
      <w:pPr>
        <w:spacing w:after="0" w:line="9" w:lineRule="exact"/>
        <w:rPr>
          <w:rFonts w:ascii="Arial" w:cs="Arial" w:eastAsia="Arial" w:hAnsi="Arial"/>
          <w:sz w:val="18"/>
          <w:szCs w:val="18"/>
          <w:color w:val="FF0000"/>
          <w:strike w:val="1"/>
        </w:rPr>
      </w:pPr>
    </w:p>
    <w:p>
      <w:pPr>
        <w:ind w:left="1100" w:hanging="444"/>
        <w:spacing w:after="0"/>
        <w:tabs>
          <w:tab w:leader="none" w:pos="1100" w:val="left"/>
        </w:tabs>
        <w:numPr>
          <w:ilvl w:val="2"/>
          <w:numId w:val="45"/>
        </w:numPr>
        <w:rPr>
          <w:rFonts w:ascii="Arial" w:cs="Arial" w:eastAsia="Arial" w:hAnsi="Arial"/>
          <w:sz w:val="17"/>
          <w:szCs w:val="17"/>
          <w:color w:val="auto"/>
        </w:rPr>
      </w:pPr>
      <w:r>
        <w:rPr>
          <w:rFonts w:ascii="Arial" w:cs="Arial" w:eastAsia="Arial" w:hAnsi="Arial"/>
          <w:sz w:val="17"/>
          <w:szCs w:val="17"/>
          <w:color w:val="auto"/>
        </w:rPr>
        <w:t>Investments the payment for which consists of Equity Interests of Holdings or any direct or indirect parent company of Holdings</w:t>
      </w:r>
    </w:p>
    <w:p>
      <w:pPr>
        <w:spacing w:after="0" w:line="20"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6"/>
          <w:szCs w:val="16"/>
          <w:color w:val="auto"/>
        </w:rPr>
        <w:t xml:space="preserve">(exclusive of Disqualified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Equity Interests will not increase the amount available for Restricted Payments under </w:t>
      </w:r>
      <w:r>
        <w:rPr>
          <w:rFonts w:ascii="Arial" w:cs="Arial" w:eastAsia="Arial" w:hAnsi="Arial"/>
          <w:sz w:val="16"/>
          <w:szCs w:val="16"/>
          <w:u w:val="single" w:color="auto"/>
          <w:color w:val="auto"/>
        </w:rPr>
        <w:t>clause</w:t>
      </w:r>
    </w:p>
    <w:p>
      <w:pPr>
        <w:spacing w:after="0" w:line="32" w:lineRule="exact"/>
        <w:rPr>
          <w:rFonts w:ascii="Arial" w:cs="Arial" w:eastAsia="Arial" w:hAnsi="Arial"/>
          <w:sz w:val="17"/>
          <w:szCs w:val="17"/>
          <w:color w:val="auto"/>
        </w:rPr>
      </w:pPr>
    </w:p>
    <w:p>
      <w:pPr>
        <w:ind w:left="800" w:hanging="324"/>
        <w:spacing w:after="0"/>
        <w:tabs>
          <w:tab w:leader="none" w:pos="800" w:val="left"/>
        </w:tabs>
        <w:numPr>
          <w:ilvl w:val="1"/>
          <w:numId w:val="45"/>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10" w:lineRule="exact"/>
        <w:rPr>
          <w:rFonts w:ascii="Arial" w:cs="Arial" w:eastAsia="Arial" w:hAnsi="Arial"/>
          <w:sz w:val="18"/>
          <w:szCs w:val="18"/>
          <w:u w:val="single" w:color="auto"/>
          <w:color w:val="auto"/>
        </w:rPr>
      </w:pPr>
    </w:p>
    <w:p>
      <w:pPr>
        <w:ind w:left="1040" w:hanging="384"/>
        <w:spacing w:after="0"/>
        <w:tabs>
          <w:tab w:leader="none" w:pos="10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80" w:right="440" w:firstLine="176"/>
        <w:spacing w:after="0" w:line="277" w:lineRule="auto"/>
        <w:tabs>
          <w:tab w:leader="none" w:pos="11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(except transactions described in clause (b) of such paragraph);</w:t>
      </w:r>
    </w:p>
    <w:p>
      <w:pPr>
        <w:spacing w:after="0" w:line="170" w:lineRule="exact"/>
        <w:rPr>
          <w:rFonts w:ascii="Arial" w:cs="Arial" w:eastAsia="Arial" w:hAnsi="Arial"/>
          <w:sz w:val="18"/>
          <w:szCs w:val="18"/>
          <w:color w:val="auto"/>
        </w:rPr>
      </w:pPr>
    </w:p>
    <w:p>
      <w:pPr>
        <w:ind w:left="480" w:right="200" w:firstLine="176"/>
        <w:spacing w:after="0" w:line="277" w:lineRule="auto"/>
        <w:tabs>
          <w:tab w:leader="none" w:pos="1150" w:val="left"/>
        </w:tabs>
        <w:numPr>
          <w:ilvl w:val="2"/>
          <w:numId w:val="46"/>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equipment, or other similar assets in the ordinary course of business;</w:t>
      </w:r>
    </w:p>
    <w:p>
      <w:pPr>
        <w:spacing w:after="0" w:line="170" w:lineRule="exact"/>
        <w:rPr>
          <w:rFonts w:ascii="Arial" w:cs="Arial" w:eastAsia="Arial" w:hAnsi="Arial"/>
          <w:sz w:val="18"/>
          <w:szCs w:val="18"/>
          <w:color w:val="auto"/>
        </w:rPr>
      </w:pPr>
    </w:p>
    <w:p>
      <w:pPr>
        <w:ind w:left="480" w:firstLine="176"/>
        <w:spacing w:after="0" w:line="287" w:lineRule="auto"/>
        <w:tabs>
          <w:tab w:leader="none" w:pos="1200" w:val="left"/>
        </w:tabs>
        <w:numPr>
          <w:ilvl w:val="2"/>
          <w:numId w:val="46"/>
        </w:numPr>
        <w:rPr>
          <w:rFonts w:ascii="Arial" w:cs="Arial" w:eastAsia="Arial" w:hAnsi="Arial"/>
          <w:sz w:val="16"/>
          <w:szCs w:val="16"/>
          <w:color w:val="auto"/>
        </w:rPr>
      </w:pPr>
      <w:r>
        <w:rPr>
          <w:rFonts w:ascii="Arial" w:cs="Arial" w:eastAsia="Arial" w:hAnsi="Arial"/>
          <w:sz w:val="16"/>
          <w:szCs w:val="16"/>
          <w:color w:val="FF0000"/>
          <w:strike w:val="1"/>
        </w:rPr>
        <w:t>following the Additional Restrictions Period,</w:t>
      </w:r>
      <w:r>
        <w:rPr>
          <w:rFonts w:ascii="Arial" w:cs="Arial" w:eastAsia="Arial" w:hAnsi="Arial"/>
          <w:sz w:val="16"/>
          <w:szCs w:val="16"/>
          <w:color w:val="FF0000"/>
        </w:rPr>
        <w:t xml:space="preserve"> </w:t>
      </w:r>
      <w:r>
        <w:rPr>
          <w:rFonts w:ascii="Arial" w:cs="Arial" w:eastAsia="Arial" w:hAnsi="Arial"/>
          <w:sz w:val="16"/>
          <w:szCs w:val="16"/>
          <w:color w:val="000000"/>
        </w:rPr>
        <w:t>additional Investments having an aggregate Fair Market Value, taken together with all</w:t>
      </w:r>
      <w:r>
        <w:rPr>
          <w:rFonts w:ascii="Arial" w:cs="Arial" w:eastAsia="Arial" w:hAnsi="Arial"/>
          <w:sz w:val="16"/>
          <w:szCs w:val="16"/>
          <w:color w:val="FF0000"/>
        </w:rPr>
        <w:t xml:space="preserve"> </w:t>
      </w:r>
      <w:r>
        <w:rPr>
          <w:rFonts w:ascii="Arial" w:cs="Arial" w:eastAsia="Arial" w:hAnsi="Arial"/>
          <w:sz w:val="16"/>
          <w:szCs w:val="16"/>
          <w:color w:val="000000"/>
        </w:rPr>
        <w:t xml:space="preserve">other Investments made pursuant to this </w:t>
      </w:r>
      <w:r>
        <w:rPr>
          <w:rFonts w:ascii="Arial" w:cs="Arial" w:eastAsia="Arial" w:hAnsi="Arial"/>
          <w:sz w:val="16"/>
          <w:szCs w:val="16"/>
          <w:u w:val="single" w:color="auto"/>
          <w:color w:val="000000"/>
        </w:rPr>
        <w:t>clause (xiii)</w:t>
      </w:r>
      <w:r>
        <w:rPr>
          <w:rFonts w:ascii="Arial" w:cs="Arial" w:eastAsia="Arial" w:hAnsi="Arial"/>
          <w:sz w:val="16"/>
          <w:szCs w:val="16"/>
          <w:color w:val="000000"/>
        </w:rPr>
        <w:t xml:space="preserve"> that are at that time outstanding (without giving effect to the sale of an Unrestricted Subsidiary to the extent the proceeds of such sale do not consist of cash or marketable securities), not to exceed the greater of (a) $ 75,000,000 and</w:t>
      </w:r>
    </w:p>
    <w:p>
      <w:pPr>
        <w:spacing w:after="0" w:line="2" w:lineRule="exact"/>
        <w:rPr>
          <w:rFonts w:ascii="Arial" w:cs="Arial" w:eastAsia="Arial" w:hAnsi="Arial"/>
          <w:sz w:val="16"/>
          <w:szCs w:val="16"/>
          <w:color w:val="auto"/>
        </w:rPr>
      </w:pPr>
    </w:p>
    <w:p>
      <w:pPr>
        <w:ind w:left="4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(b) 35.0%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Investment pursuant to this </w:t>
      </w:r>
      <w:r>
        <w:rPr>
          <w:rFonts w:ascii="Arial" w:cs="Arial" w:eastAsia="Arial" w:hAnsi="Arial"/>
          <w:sz w:val="18"/>
          <w:szCs w:val="18"/>
          <w:u w:val="single" w:color="auto"/>
          <w:color w:val="auto"/>
        </w:rPr>
        <w:t>clause (xiii)</w:t>
      </w:r>
      <w:r>
        <w:rPr>
          <w:rFonts w:ascii="Arial" w:cs="Arial" w:eastAsia="Arial" w:hAnsi="Arial"/>
          <w:sz w:val="18"/>
          <w:szCs w:val="18"/>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(to the extent permitted thereby) and shall cease to have been made pursuant to this </w:t>
      </w:r>
      <w:r>
        <w:rPr>
          <w:rFonts w:ascii="Arial" w:cs="Arial" w:eastAsia="Arial" w:hAnsi="Arial"/>
          <w:sz w:val="18"/>
          <w:szCs w:val="18"/>
          <w:u w:val="single" w:color="auto"/>
          <w:color w:val="auto"/>
        </w:rPr>
        <w:t>clause (xiii)</w:t>
      </w:r>
      <w:r>
        <w:rPr>
          <w:rFonts w:ascii="Arial" w:cs="Arial" w:eastAsia="Arial" w:hAnsi="Arial"/>
          <w:sz w:val="18"/>
          <w:szCs w:val="18"/>
          <w:color w:val="auto"/>
        </w:rPr>
        <w:t xml:space="preserve"> for so long as such Person continues to be a Restricted Subsidiary;</w:t>
      </w:r>
    </w:p>
    <w:p>
      <w:pPr>
        <w:spacing w:after="0" w:line="193" w:lineRule="exact"/>
        <w:rPr>
          <w:rFonts w:ascii="Arial" w:cs="Arial" w:eastAsia="Arial" w:hAnsi="Arial"/>
          <w:sz w:val="16"/>
          <w:szCs w:val="16"/>
          <w:color w:val="auto"/>
        </w:rPr>
      </w:pPr>
    </w:p>
    <w:p>
      <w:pPr>
        <w:ind w:left="480" w:right="60" w:firstLine="176"/>
        <w:spacing w:after="0" w:line="342" w:lineRule="auto"/>
        <w:tabs>
          <w:tab w:leader="none" w:pos="1190" w:val="left"/>
        </w:tabs>
        <w:numPr>
          <w:ilvl w:val="2"/>
          <w:numId w:val="46"/>
        </w:numPr>
        <w:rPr>
          <w:rFonts w:ascii="Arial" w:cs="Arial" w:eastAsia="Arial" w:hAnsi="Arial"/>
          <w:sz w:val="16"/>
          <w:szCs w:val="16"/>
          <w:color w:val="auto"/>
        </w:rPr>
      </w:pPr>
      <w:r>
        <w:rPr>
          <w:rFonts w:ascii="Arial" w:cs="Arial" w:eastAsia="Arial" w:hAnsi="Arial"/>
          <w:sz w:val="16"/>
          <w:szCs w:val="16"/>
          <w:color w:val="FF0000"/>
          <w:strike w:val="1"/>
        </w:rPr>
        <w:t>following the Additional Restrictions Period,</w:t>
      </w:r>
      <w:r>
        <w:rPr>
          <w:rFonts w:ascii="Arial" w:cs="Arial" w:eastAsia="Arial" w:hAnsi="Arial"/>
          <w:sz w:val="16"/>
          <w:szCs w:val="16"/>
          <w:color w:val="FF0000"/>
        </w:rPr>
        <w:t xml:space="preserve"> </w:t>
      </w:r>
      <w:r>
        <w:rPr>
          <w:rFonts w:ascii="Arial" w:cs="Arial" w:eastAsia="Arial" w:hAnsi="Arial"/>
          <w:sz w:val="16"/>
          <w:szCs w:val="16"/>
          <w:color w:val="000000"/>
        </w:rPr>
        <w:t>Investments relating to any Receivables Subsidiary that, in the good faith determination of</w:t>
      </w:r>
      <w:r>
        <w:rPr>
          <w:rFonts w:ascii="Arial" w:cs="Arial" w:eastAsia="Arial" w:hAnsi="Arial"/>
          <w:sz w:val="16"/>
          <w:szCs w:val="16"/>
          <w:color w:val="FF0000"/>
        </w:rPr>
        <w:t xml:space="preserve"> </w:t>
      </w:r>
      <w:r>
        <w:rPr>
          <w:rFonts w:ascii="Arial" w:cs="Arial" w:eastAsia="Arial" w:hAnsi="Arial"/>
          <w:sz w:val="16"/>
          <w:szCs w:val="16"/>
          <w:color w:val="000000"/>
        </w:rPr>
        <w:t>the board of directors of Holdings, are necessary or advisable to effect a Receivables Facility or any repurchases in connection therewith;</w:t>
      </w:r>
    </w:p>
    <w:p>
      <w:pPr>
        <w:spacing w:after="0" w:line="123" w:lineRule="exact"/>
        <w:rPr>
          <w:rFonts w:ascii="Arial" w:cs="Arial" w:eastAsia="Arial" w:hAnsi="Arial"/>
          <w:sz w:val="16"/>
          <w:szCs w:val="16"/>
          <w:color w:val="auto"/>
        </w:rPr>
      </w:pPr>
    </w:p>
    <w:p>
      <w:pPr>
        <w:ind w:left="480" w:right="240" w:firstLine="176"/>
        <w:spacing w:after="0" w:line="308" w:lineRule="auto"/>
        <w:tabs>
          <w:tab w:leader="none" w:pos="1140" w:val="left"/>
        </w:tabs>
        <w:numPr>
          <w:ilvl w:val="2"/>
          <w:numId w:val="46"/>
        </w:numPr>
        <w:rPr>
          <w:rFonts w:ascii="Arial" w:cs="Arial" w:eastAsia="Arial" w:hAnsi="Arial"/>
          <w:sz w:val="17"/>
          <w:szCs w:val="17"/>
          <w:color w:val="auto"/>
        </w:rPr>
      </w:pPr>
      <w:r>
        <w:rPr>
          <w:rFonts w:ascii="Arial" w:cs="Arial" w:eastAsia="Arial" w:hAnsi="Arial"/>
          <w:sz w:val="17"/>
          <w:szCs w:val="17"/>
          <w:color w:val="auto"/>
        </w:rPr>
        <w:t>advances to, or guarantees of Indebtedness of, employees not in excess of the greater of (a) $10,000,000 and (b) 5.0% of Consolidated EBITDA for the most recently ended Test Period (calculated on a Pro Forma Basis) at the time of such Investment;</w:t>
      </w:r>
    </w:p>
    <w:p>
      <w:pPr>
        <w:spacing w:after="0" w:line="146" w:lineRule="exact"/>
        <w:rPr>
          <w:rFonts w:ascii="Arial" w:cs="Arial" w:eastAsia="Arial" w:hAnsi="Arial"/>
          <w:sz w:val="17"/>
          <w:szCs w:val="17"/>
          <w:color w:val="auto"/>
        </w:rPr>
      </w:pPr>
    </w:p>
    <w:p>
      <w:pPr>
        <w:ind w:left="480" w:right="80" w:firstLine="176"/>
        <w:spacing w:after="0" w:line="275" w:lineRule="auto"/>
        <w:tabs>
          <w:tab w:leader="none" w:pos="1190" w:val="left"/>
        </w:tabs>
        <w:numPr>
          <w:ilvl w:val="2"/>
          <w:numId w:val="46"/>
        </w:numPr>
        <w:rPr>
          <w:rFonts w:ascii="Arial" w:cs="Arial" w:eastAsia="Arial" w:hAnsi="Arial"/>
          <w:sz w:val="17"/>
          <w:szCs w:val="17"/>
          <w:color w:val="auto"/>
        </w:rPr>
      </w:pPr>
      <w:r>
        <w:rPr>
          <w:rFonts w:ascii="Arial" w:cs="Arial" w:eastAsia="Arial" w:hAnsi="Arial"/>
          <w:sz w:val="17"/>
          <w:szCs w:val="17"/>
          <w:color w:val="auto"/>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Holdings or any direct or indirect parent company thereof and (b) promissory notes received from stockholders of Holdings, any direct or indirect parent company of Holdings or any Subsidiary in connection with the exercise of stock options in respect of the Equity Interests of Holdings, any direct or indirect parent company of Holdings and the Subsidiaries;</w:t>
      </w:r>
    </w:p>
    <w:p>
      <w:pPr>
        <w:spacing w:after="0" w:line="176" w:lineRule="exact"/>
        <w:rPr>
          <w:rFonts w:ascii="Arial" w:cs="Arial" w:eastAsia="Arial" w:hAnsi="Arial"/>
          <w:sz w:val="17"/>
          <w:szCs w:val="17"/>
          <w:color w:val="auto"/>
        </w:rPr>
      </w:pPr>
    </w:p>
    <w:p>
      <w:pPr>
        <w:ind w:left="1240" w:hanging="584"/>
        <w:spacing w:after="0"/>
        <w:tabs>
          <w:tab w:leader="none" w:pos="12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500" w:top="1440" w:right="359" w:bottom="1440" w:gutter="0" w:footer="0" w:header="0"/>
        </w:sectPr>
      </w:pPr>
    </w:p>
    <w:bookmarkStart w:id="75" w:name="page76"/>
    <w:bookmarkEnd w:id="75"/>
    <w:p>
      <w:pPr>
        <w:spacing w:after="0" w:line="200" w:lineRule="exact"/>
        <w:rPr>
          <w:sz w:val="20"/>
          <w:szCs w:val="20"/>
          <w:color w:val="auto"/>
        </w:rPr>
      </w:pPr>
    </w:p>
    <w:p>
      <w:pPr>
        <w:spacing w:after="0" w:line="322" w:lineRule="exact"/>
        <w:rPr>
          <w:sz w:val="20"/>
          <w:szCs w:val="20"/>
          <w:color w:val="auto"/>
        </w:rPr>
      </w:pPr>
    </w:p>
    <w:p>
      <w:pPr>
        <w:ind w:right="520" w:firstLine="176"/>
        <w:spacing w:after="0" w:line="342" w:lineRule="auto"/>
        <w:tabs>
          <w:tab w:leader="none" w:pos="8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23" w:lineRule="exact"/>
        <w:rPr>
          <w:rFonts w:ascii="Arial" w:cs="Arial" w:eastAsia="Arial" w:hAnsi="Arial"/>
          <w:sz w:val="16"/>
          <w:szCs w:val="16"/>
          <w:color w:val="auto"/>
        </w:rPr>
      </w:pPr>
    </w:p>
    <w:p>
      <w:pPr>
        <w:ind w:right="660" w:firstLine="176"/>
        <w:spacing w:after="0" w:line="308" w:lineRule="auto"/>
        <w:tabs>
          <w:tab w:leader="none" w:pos="71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non-cash Investments in connection with tax planning and reorganization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activities, the security interests of the Lenders in the Collateral, taken as a whole, would not be materially impaired;</w:t>
      </w:r>
    </w:p>
    <w:p>
      <w:pPr>
        <w:spacing w:after="0" w:line="146" w:lineRule="exact"/>
        <w:rPr>
          <w:rFonts w:ascii="Arial" w:cs="Arial" w:eastAsia="Arial" w:hAnsi="Arial"/>
          <w:sz w:val="17"/>
          <w:szCs w:val="17"/>
          <w:color w:val="auto"/>
        </w:rPr>
      </w:pPr>
    </w:p>
    <w:p>
      <w:pPr>
        <w:jc w:val="both"/>
        <w:ind w:right="500" w:firstLine="176"/>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franchisee and customer contracts and loans or advances made to, and guarantees with respect to obligations of, independent eye care professionals (or to professional corporations owned by such professionals), franchisees, distributors, suppliers, licensors and licensees in the ordinary course of business;</w:t>
      </w:r>
    </w:p>
    <w:p>
      <w:pPr>
        <w:spacing w:after="0" w:line="186" w:lineRule="exact"/>
        <w:rPr>
          <w:rFonts w:ascii="Arial" w:cs="Arial" w:eastAsia="Arial" w:hAnsi="Arial"/>
          <w:sz w:val="18"/>
          <w:szCs w:val="18"/>
          <w:color w:val="auto"/>
        </w:rPr>
      </w:pPr>
    </w:p>
    <w:p>
      <w:pPr>
        <w:ind w:right="420" w:firstLine="176"/>
        <w:spacing w:after="0" w:line="277" w:lineRule="auto"/>
        <w:tabs>
          <w:tab w:leader="none" w:pos="7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licensing and contribution of Intellectual Property pursuant to joint marketing arrangements with other Persons, in the ordinary course of business;</w:t>
      </w:r>
    </w:p>
    <w:p>
      <w:pPr>
        <w:spacing w:after="0" w:line="170" w:lineRule="exact"/>
        <w:rPr>
          <w:rFonts w:ascii="Arial" w:cs="Arial" w:eastAsia="Arial" w:hAnsi="Arial"/>
          <w:sz w:val="18"/>
          <w:szCs w:val="18"/>
          <w:color w:val="auto"/>
        </w:rPr>
      </w:pPr>
    </w:p>
    <w:p>
      <w:pPr>
        <w:ind w:left="760" w:hanging="584"/>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constituting Investments, transactions pursuant to the Wal-Mart Agreements;</w:t>
      </w:r>
    </w:p>
    <w:p>
      <w:pPr>
        <w:spacing w:after="0" w:line="225" w:lineRule="exact"/>
        <w:rPr>
          <w:rFonts w:ascii="Arial" w:cs="Arial" w:eastAsia="Arial" w:hAnsi="Arial"/>
          <w:sz w:val="18"/>
          <w:szCs w:val="18"/>
          <w:color w:val="auto"/>
        </w:rPr>
      </w:pPr>
    </w:p>
    <w:p>
      <w:pPr>
        <w:jc w:val="both"/>
        <w:ind w:firstLine="644"/>
        <w:spacing w:after="0" w:line="263" w:lineRule="auto"/>
        <w:tabs>
          <w:tab w:leader="none" w:pos="1143" w:val="left"/>
        </w:tabs>
        <w:numPr>
          <w:ilvl w:val="1"/>
          <w:numId w:val="47"/>
        </w:numPr>
        <w:rPr>
          <w:rFonts w:ascii="Arial" w:cs="Arial" w:eastAsia="Arial" w:hAnsi="Arial"/>
          <w:sz w:val="18"/>
          <w:szCs w:val="18"/>
          <w:color w:val="auto"/>
        </w:rPr>
      </w:pPr>
      <w:r>
        <w:rPr>
          <w:rFonts w:ascii="Arial" w:cs="Arial" w:eastAsia="Arial" w:hAnsi="Arial"/>
          <w:sz w:val="18"/>
          <w:szCs w:val="18"/>
          <w:color w:val="FF0000"/>
          <w:strike w:val="1"/>
        </w:rPr>
        <w:t>following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other Investments;</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FF0000"/>
        </w:rPr>
        <w:t xml:space="preserve"> </w:t>
      </w:r>
      <w:r>
        <w:rPr>
          <w:rFonts w:ascii="Arial" w:cs="Arial" w:eastAsia="Arial" w:hAnsi="Arial"/>
          <w:sz w:val="18"/>
          <w:szCs w:val="18"/>
          <w:color w:val="000000"/>
        </w:rPr>
        <w:t>that (A) no Event of Default shall have occurred and be</w:t>
      </w:r>
      <w:r>
        <w:rPr>
          <w:rFonts w:ascii="Arial" w:cs="Arial" w:eastAsia="Arial" w:hAnsi="Arial"/>
          <w:sz w:val="18"/>
          <w:szCs w:val="18"/>
          <w:color w:val="FF0000"/>
        </w:rPr>
        <w:t xml:space="preserve"> </w:t>
      </w:r>
      <w:r>
        <w:rPr>
          <w:rFonts w:ascii="Arial" w:cs="Arial" w:eastAsia="Arial" w:hAnsi="Arial"/>
          <w:sz w:val="18"/>
          <w:szCs w:val="18"/>
          <w:color w:val="000000"/>
        </w:rPr>
        <w:t xml:space="preserve">continuing or would occur as a consequence thereof and (B) after giving Pro Forma Effect to such Investment the Consolidated Total Debt to Consolidated EBITDA Ratio is equal to or less than </w:t>
      </w:r>
      <w:r>
        <w:rPr>
          <w:rFonts w:ascii="Arial" w:cs="Arial" w:eastAsia="Arial" w:hAnsi="Arial"/>
          <w:sz w:val="18"/>
          <w:szCs w:val="18"/>
          <w:color w:val="FF0000"/>
          <w:strike w:val="1"/>
        </w:rPr>
        <w:t>3.00</w:t>
      </w:r>
      <w:r>
        <w:rPr>
          <w:rFonts w:ascii="Arial" w:cs="Arial" w:eastAsia="Arial" w:hAnsi="Arial"/>
          <w:sz w:val="18"/>
          <w:szCs w:val="18"/>
          <w:u w:val="single" w:color="auto"/>
          <w:color w:val="0000FF"/>
        </w:rPr>
        <w:t>3.25</w:t>
      </w:r>
      <w:r>
        <w:rPr>
          <w:rFonts w:ascii="Arial" w:cs="Arial" w:eastAsia="Arial" w:hAnsi="Arial"/>
          <w:sz w:val="18"/>
          <w:szCs w:val="18"/>
          <w:color w:val="000000"/>
        </w:rPr>
        <w:t xml:space="preserve"> :1.00; and</w:t>
      </w:r>
    </w:p>
    <w:p>
      <w:pPr>
        <w:spacing w:after="0" w:line="183" w:lineRule="exact"/>
        <w:rPr>
          <w:rFonts w:ascii="Arial" w:cs="Arial" w:eastAsia="Arial" w:hAnsi="Arial"/>
          <w:sz w:val="18"/>
          <w:szCs w:val="18"/>
          <w:color w:val="auto"/>
        </w:rPr>
      </w:pPr>
    </w:p>
    <w:p>
      <w:pPr>
        <w:jc w:val="both"/>
        <w:ind w:firstLine="644"/>
        <w:spacing w:after="0" w:line="259" w:lineRule="auto"/>
        <w:tabs>
          <w:tab w:leader="none" w:pos="117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Investments of a Subsidiary acquired after the Closing Date or of a Person merged orconsolidated with any Subsidiary in accordance with this definition of “Permitted Investments”, Section 10.3 and/or Section 10.5 after the Closing Date to the extent that such investments were not made in contemplation of or in connection with such acquisition, merger or consolidation and were in existence on the date of such acquisition, merger or consolidation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-772160</wp:posOffset>
            </wp:positionV>
            <wp:extent cx="20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2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229" w:lineRule="exact"/>
        <w:rPr>
          <w:sz w:val="20"/>
          <w:szCs w:val="20"/>
          <w:color w:val="auto"/>
        </w:rPr>
      </w:pPr>
    </w:p>
    <w:p>
      <w:pPr>
        <w:ind w:right="60" w:firstLine="176"/>
        <w:spacing w:after="0" w:line="275" w:lineRule="auto"/>
        <w:tabs>
          <w:tab w:leader="none" w:pos="53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the payment of rent or deposits made to secure obligations arising from contractual or warranty refunds, in each case incurred in the ordinary course of business;</w:t>
      </w:r>
    </w:p>
    <w:p>
      <w:pPr>
        <w:spacing w:after="0" w:line="176" w:lineRule="exact"/>
        <w:rPr>
          <w:rFonts w:ascii="Arial" w:cs="Arial" w:eastAsia="Arial" w:hAnsi="Arial"/>
          <w:sz w:val="17"/>
          <w:szCs w:val="17"/>
          <w:color w:val="auto"/>
        </w:rPr>
      </w:pPr>
    </w:p>
    <w:p>
      <w:pPr>
        <w:ind w:firstLine="176"/>
        <w:spacing w:after="0" w:line="279"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71" w:lineRule="exact"/>
        <w:rPr>
          <w:rFonts w:ascii="Arial" w:cs="Arial" w:eastAsia="Arial" w:hAnsi="Arial"/>
          <w:sz w:val="17"/>
          <w:szCs w:val="17"/>
          <w:color w:val="auto"/>
        </w:rPr>
      </w:pPr>
    </w:p>
    <w:p>
      <w:pPr>
        <w:ind w:right="20" w:firstLine="176"/>
        <w:spacing w:after="0" w:line="301" w:lineRule="auto"/>
        <w:tabs>
          <w:tab w:leader="none" w:pos="63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Arial" w:cs="Arial" w:eastAsia="Arial" w:hAnsi="Arial"/>
          <w:sz w:val="16"/>
          <w:szCs w:val="16"/>
          <w:u w:val="single" w:color="auto"/>
          <w:color w:val="auto"/>
        </w:rPr>
        <w:t>Section 8.12</w:t>
      </w:r>
      <w:r>
        <w:rPr>
          <w:rFonts w:ascii="Arial" w:cs="Arial" w:eastAsia="Arial" w:hAnsi="Arial"/>
          <w:sz w:val="16"/>
          <w:szCs w:val="16"/>
          <w:color w:val="auto"/>
        </w:rPr>
        <w:t>, or for property taxes on property Holdings or one of its Subsidiaries has determined to abandon if the sole recourse for such tax, assessment, charge, levy, or claim is to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80"/>
          </w:cols>
          <w:pgMar w:left="980" w:top="1440" w:right="339" w:bottom="1440" w:gutter="0" w:footer="0" w:header="0"/>
        </w:sectPr>
      </w:pPr>
    </w:p>
    <w:bookmarkStart w:id="76" w:name="page77"/>
    <w:bookmarkEnd w:id="76"/>
    <w:p>
      <w:pPr>
        <w:spacing w:after="0" w:line="200" w:lineRule="exact"/>
        <w:rPr>
          <w:sz w:val="20"/>
          <w:szCs w:val="20"/>
          <w:color w:val="auto"/>
        </w:rPr>
      </w:pPr>
    </w:p>
    <w:p>
      <w:pPr>
        <w:spacing w:after="0" w:line="322" w:lineRule="exact"/>
        <w:rPr>
          <w:sz w:val="20"/>
          <w:szCs w:val="20"/>
          <w:color w:val="auto"/>
        </w:rPr>
      </w:pPr>
    </w:p>
    <w:p>
      <w:pPr>
        <w:ind w:left="4" w:right="220" w:firstLine="176"/>
        <w:spacing w:after="0" w:line="263" w:lineRule="auto"/>
        <w:tabs>
          <w:tab w:leader="none" w:pos="6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183" w:lineRule="exact"/>
        <w:rPr>
          <w:rFonts w:ascii="Arial" w:cs="Arial" w:eastAsia="Arial" w:hAnsi="Arial"/>
          <w:sz w:val="18"/>
          <w:szCs w:val="18"/>
          <w:color w:val="auto"/>
        </w:rPr>
      </w:pPr>
    </w:p>
    <w:p>
      <w:pPr>
        <w:ind w:left="4" w:firstLine="176"/>
        <w:spacing w:after="0" w:line="255" w:lineRule="auto"/>
        <w:tabs>
          <w:tab w:leader="none" w:pos="5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92" w:lineRule="exact"/>
        <w:rPr>
          <w:rFonts w:ascii="Arial" w:cs="Arial" w:eastAsia="Arial" w:hAnsi="Arial"/>
          <w:sz w:val="18"/>
          <w:szCs w:val="18"/>
          <w:color w:val="auto"/>
        </w:rPr>
      </w:pPr>
    </w:p>
    <w:p>
      <w:pPr>
        <w:ind w:left="624" w:hanging="444"/>
        <w:spacing w:after="0"/>
        <w:tabs>
          <w:tab w:leader="none" w:pos="624"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outstanding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w:t>
      </w:r>
      <w:r>
        <w:rPr>
          <w:rFonts w:ascii="Arial" w:cs="Arial" w:eastAsia="Arial" w:hAnsi="Arial"/>
          <w:sz w:val="16"/>
          <w:szCs w:val="16"/>
          <w:u w:val="single" w:color="auto"/>
          <w:color w:val="0000FF"/>
        </w:rPr>
        <w:t>l)(ii), (r), (</w:t>
      </w:r>
      <w:r>
        <w:rPr>
          <w:rFonts w:ascii="Arial" w:cs="Arial" w:eastAsia="Arial" w:hAnsi="Arial"/>
          <w:sz w:val="16"/>
          <w:szCs w:val="16"/>
          <w:u w:val="single" w:color="auto"/>
          <w:color w:val="auto"/>
        </w:rPr>
        <w:t>w)</w:t>
      </w:r>
      <w:r>
        <w:rPr>
          <w:rFonts w:ascii="Arial" w:cs="Arial" w:eastAsia="Arial" w:hAnsi="Arial"/>
          <w:sz w:val="16"/>
          <w:szCs w:val="16"/>
          <w:color w:val="auto"/>
        </w:rPr>
        <w:t xml:space="preserve"> or (x)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4" w:hanging="4"/>
        <w:spacing w:after="0" w:line="283" w:lineRule="auto"/>
        <w:tabs>
          <w:tab w:leader="none" w:pos="2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property or equipment (or assets affixed or appurtenant thereto) other than the property or equipment being financed or refinanced under such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replacements of such property, equipment or assets, and additions and accessions and in the case of multiple financings of equipment provided by any lender, other equipment financed by such lender; (b) in the case of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assets other than the assets owned by the Restricted Subsidiaries incurring such Indebtedness; (c) in the case of Liens securing Permitted Other Indebtedness Obligations that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(d) in the case of Liens securing Permitted Other Indebtedness Obligations that do not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without any further consent of the Lenders, the Administrative Agent and the Collateral Agent shall be authorized to execute and deliver on behalf of the Secured Parties the First Lien Intercreditor Agreement and the Second Lien Intercreditor Agreement contemplated by this clause (vi);</w:t>
      </w:r>
    </w:p>
    <w:p>
      <w:pPr>
        <w:spacing w:after="0" w:line="397" w:lineRule="exact"/>
        <w:rPr>
          <w:rFonts w:ascii="Arial" w:cs="Arial" w:eastAsia="Arial" w:hAnsi="Arial"/>
          <w:sz w:val="16"/>
          <w:szCs w:val="16"/>
          <w:color w:val="auto"/>
        </w:rPr>
      </w:pPr>
    </w:p>
    <w:p>
      <w:pPr>
        <w:ind w:left="4" w:right="180" w:firstLine="176"/>
        <w:spacing w:after="0" w:line="301" w:lineRule="auto"/>
        <w:tabs>
          <w:tab w:leader="none" w:pos="674"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other than with respect to Mortgaged Property, Liens existing on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securing Indebtedness or other obligations in excess of (a) $5,000,000 individually or (b) $10,000,000 in the aggregate (when taken together with all other Liens securing obligations outstanding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that are not listed on </w:t>
      </w:r>
      <w:r>
        <w:rPr>
          <w:rFonts w:ascii="Arial" w:cs="Arial" w:eastAsia="Arial" w:hAnsi="Arial"/>
          <w:sz w:val="16"/>
          <w:szCs w:val="16"/>
          <w:u w:val="single" w:color="auto"/>
          <w:color w:val="auto"/>
        </w:rPr>
        <w:t>Schedule 10.2</w:t>
      </w:r>
      <w:r>
        <w:rPr>
          <w:rFonts w:ascii="Arial" w:cs="Arial" w:eastAsia="Arial" w:hAnsi="Arial"/>
          <w:sz w:val="16"/>
          <w:szCs w:val="16"/>
          <w:color w:val="auto"/>
        </w:rPr>
        <w:t xml:space="preserve">) shall only be permitted if set forth on </w:t>
      </w:r>
      <w:r>
        <w:rPr>
          <w:rFonts w:ascii="Arial" w:cs="Arial" w:eastAsia="Arial" w:hAnsi="Arial"/>
          <w:sz w:val="16"/>
          <w:szCs w:val="16"/>
          <w:u w:val="single" w:color="auto"/>
          <w:color w:val="auto"/>
        </w:rPr>
        <w:t>Schedule 10.2</w:t>
      </w:r>
      <w:r>
        <w:rPr>
          <w:rFonts w:ascii="Arial" w:cs="Arial" w:eastAsia="Arial" w:hAnsi="Arial"/>
          <w:sz w:val="16"/>
          <w:szCs w:val="16"/>
          <w:color w:val="auto"/>
        </w:rPr>
        <w:t>, and, in each case, any modifications, replacements, renewals, or extensions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5079365</wp:posOffset>
            </wp:positionH>
            <wp:positionV relativeFrom="paragraph">
              <wp:posOffset>-3756660</wp:posOffset>
            </wp:positionV>
            <wp:extent cx="161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64"/>
          </w:cols>
          <w:pgMar w:left="976" w:top="1440" w:right="359" w:bottom="1440" w:gutter="0" w:footer="0" w:header="0"/>
        </w:sectPr>
      </w:pPr>
    </w:p>
    <w:bookmarkStart w:id="77" w:name="page78"/>
    <w:bookmarkEnd w:id="77"/>
    <w:p>
      <w:pPr>
        <w:spacing w:after="0" w:line="200" w:lineRule="exact"/>
        <w:rPr>
          <w:sz w:val="20"/>
          <w:szCs w:val="20"/>
          <w:color w:val="auto"/>
        </w:rPr>
      </w:pPr>
    </w:p>
    <w:p>
      <w:pPr>
        <w:spacing w:after="0" w:line="322" w:lineRule="exact"/>
        <w:rPr>
          <w:sz w:val="20"/>
          <w:szCs w:val="20"/>
          <w:color w:val="auto"/>
        </w:rPr>
      </w:pPr>
    </w:p>
    <w:p>
      <w:pPr>
        <w:ind w:firstLine="176"/>
        <w:spacing w:after="0" w:line="290"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Liens on property or shares of stock of a Person at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Liens are not created or incurred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Holdings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65" w:lineRule="exact"/>
        <w:rPr>
          <w:rFonts w:ascii="Arial" w:cs="Arial" w:eastAsia="Arial" w:hAnsi="Arial"/>
          <w:sz w:val="16"/>
          <w:szCs w:val="16"/>
          <w:color w:val="auto"/>
        </w:rPr>
      </w:pPr>
    </w:p>
    <w:p>
      <w:pPr>
        <w:ind w:right="180" w:firstLine="176"/>
        <w:spacing w:after="0" w:line="269"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Liens on property at the time Holdings or a Restricted Subsidiary acquired the property, including any acquisition by means of a merger or consolidation with or into Holdings or any Restricted Subsidiary or the designation of an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acquisition, merger, consolidation, or designation;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Holdings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85" w:lineRule="exact"/>
        <w:rPr>
          <w:rFonts w:ascii="Arial" w:cs="Arial" w:eastAsia="Arial" w:hAnsi="Arial"/>
          <w:sz w:val="17"/>
          <w:szCs w:val="17"/>
          <w:color w:val="auto"/>
        </w:rPr>
      </w:pPr>
    </w:p>
    <w:p>
      <w:pPr>
        <w:ind w:right="120" w:firstLine="176"/>
        <w:spacing w:after="0" w:line="277" w:lineRule="auto"/>
        <w:tabs>
          <w:tab w:leader="none" w:pos="5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of a Restricted Subsidiary owing to Holdings or another Restricted Subsidiary permitted to be incurred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176"/>
        <w:spacing w:after="0" w:line="308"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146" w:lineRule="exact"/>
        <w:rPr>
          <w:rFonts w:ascii="Arial" w:cs="Arial" w:eastAsia="Arial" w:hAnsi="Arial"/>
          <w:sz w:val="17"/>
          <w:szCs w:val="17"/>
          <w:color w:val="auto"/>
        </w:rPr>
      </w:pPr>
    </w:p>
    <w:p>
      <w:pPr>
        <w:ind w:right="80" w:firstLine="176"/>
        <w:spacing w:after="0" w:line="342" w:lineRule="auto"/>
        <w:tabs>
          <w:tab w:leader="none" w:pos="67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right="60" w:firstLine="176"/>
        <w:spacing w:after="0" w:line="342"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leases, subleases, licenses, or sublicenses (including of Intellectual Property) granted to others in the ordinary course of business which do not materially interfere with the ordinary conduct of the business of Holdings or any Restricted Subsidiary and do not secure any Indebtedness;</w:t>
      </w:r>
    </w:p>
    <w:p>
      <w:pPr>
        <w:spacing w:after="0" w:line="123" w:lineRule="exact"/>
        <w:rPr>
          <w:rFonts w:ascii="Arial" w:cs="Arial" w:eastAsia="Arial" w:hAnsi="Arial"/>
          <w:sz w:val="16"/>
          <w:szCs w:val="16"/>
          <w:color w:val="auto"/>
        </w:rPr>
      </w:pPr>
    </w:p>
    <w:p>
      <w:pPr>
        <w:ind w:right="280" w:firstLine="176"/>
        <w:spacing w:after="0" w:line="277" w:lineRule="auto"/>
        <w:tabs>
          <w:tab w:leader="none" w:pos="7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660" w:hanging="48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in favor of Holdings, the Borrower, or any other Guarantor;</w:t>
      </w:r>
    </w:p>
    <w:p>
      <w:pPr>
        <w:spacing w:after="0" w:line="225" w:lineRule="exact"/>
        <w:rPr>
          <w:rFonts w:ascii="Arial" w:cs="Arial" w:eastAsia="Arial" w:hAnsi="Arial"/>
          <w:sz w:val="18"/>
          <w:szCs w:val="18"/>
          <w:color w:val="auto"/>
        </w:rPr>
      </w:pPr>
    </w:p>
    <w:p>
      <w:pPr>
        <w:ind w:right="100" w:firstLine="176"/>
        <w:spacing w:after="0" w:line="277" w:lineRule="auto"/>
        <w:tabs>
          <w:tab w:leader="none" w:pos="7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equipment of Holdings or any Restricted Subsidiary granted in the ordinary course of business to Holdings’ or such Restricted Subsidiary’s client at which such equipment is located;</w:t>
      </w:r>
    </w:p>
    <w:p>
      <w:pPr>
        <w:spacing w:after="0" w:line="170" w:lineRule="exact"/>
        <w:rPr>
          <w:rFonts w:ascii="Arial" w:cs="Arial" w:eastAsia="Arial" w:hAnsi="Arial"/>
          <w:sz w:val="18"/>
          <w:szCs w:val="18"/>
          <w:color w:val="auto"/>
        </w:rPr>
      </w:pPr>
    </w:p>
    <w:p>
      <w:pPr>
        <w:ind w:left="760" w:hanging="584"/>
        <w:spacing w:after="0"/>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FF0000"/>
          <w:strike w:val="1"/>
        </w:rPr>
        <w:t>following the Additional Restrictions Period,</w:t>
      </w:r>
      <w:r>
        <w:rPr>
          <w:rFonts w:ascii="Arial" w:cs="Arial" w:eastAsia="Arial" w:hAnsi="Arial"/>
          <w:sz w:val="16"/>
          <w:szCs w:val="16"/>
          <w:color w:val="FF0000"/>
        </w:rPr>
        <w:t xml:space="preserve"> </w:t>
      </w:r>
      <w:r>
        <w:rPr>
          <w:rFonts w:ascii="Arial" w:cs="Arial" w:eastAsia="Arial" w:hAnsi="Arial"/>
          <w:sz w:val="16"/>
          <w:szCs w:val="16"/>
          <w:color w:val="000000"/>
        </w:rPr>
        <w:t>Liens on accounts receivable and related assets incurred in connection with a Receivables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80"/>
          </w:cols>
          <w:pgMar w:left="980" w:top="1440" w:right="339" w:bottom="1440" w:gutter="0" w:footer="0" w:header="0"/>
        </w:sectPr>
      </w:pPr>
    </w:p>
    <w:bookmarkStart w:id="78" w:name="page79"/>
    <w:bookmarkEnd w:id="78"/>
    <w:p>
      <w:pPr>
        <w:spacing w:after="0" w:line="200" w:lineRule="exact"/>
        <w:rPr>
          <w:sz w:val="20"/>
          <w:szCs w:val="20"/>
          <w:color w:val="auto"/>
        </w:rPr>
      </w:pPr>
    </w:p>
    <w:p>
      <w:pPr>
        <w:spacing w:after="0" w:line="322" w:lineRule="exact"/>
        <w:rPr>
          <w:sz w:val="20"/>
          <w:szCs w:val="20"/>
          <w:color w:val="auto"/>
        </w:rPr>
      </w:pPr>
    </w:p>
    <w:p>
      <w:pPr>
        <w:ind w:left="-176" w:right="120" w:firstLine="176"/>
        <w:spacing w:after="0" w:line="271" w:lineRule="auto"/>
        <w:tabs>
          <w:tab w:leader="none" w:pos="63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Liens to secure any refinancing, refunding, extension, renewal, or replacement (or successive refinancing, refunding, extensions, renewals, or replacements) as a whole, or in part, of any Indebtedness secured by any Lien referred to in </w:t>
      </w:r>
      <w:r>
        <w:rPr>
          <w:rFonts w:ascii="Arial" w:cs="Arial" w:eastAsia="Arial" w:hAnsi="Arial"/>
          <w:sz w:val="17"/>
          <w:szCs w:val="17"/>
          <w:u w:val="single" w:color="auto"/>
          <w:color w:val="auto"/>
        </w:rPr>
        <w:t>clauses (vi)</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(other than pursuant to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Section 10.1(l)(ii))</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(vii)</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(viii)</w:t>
      </w:r>
      <w:r>
        <w:rPr>
          <w:rFonts w:ascii="Arial" w:cs="Arial" w:eastAsia="Arial" w:hAnsi="Arial"/>
          <w:sz w:val="17"/>
          <w:szCs w:val="17"/>
          <w:color w:val="0000FF"/>
        </w:rPr>
        <w:t xml:space="preserve">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(ix)</w:t>
      </w:r>
      <w:r>
        <w:rPr>
          <w:rFonts w:ascii="Arial" w:cs="Arial" w:eastAsia="Arial" w:hAnsi="Arial"/>
          <w:sz w:val="17"/>
          <w:szCs w:val="17"/>
          <w:u w:val="single" w:color="auto"/>
          <w:color w:val="0000FF"/>
        </w:rPr>
        <w:t>, (x), and (xv)</w:t>
      </w:r>
      <w:r>
        <w:rPr>
          <w:rFonts w:ascii="Arial" w:cs="Arial" w:eastAsia="Arial" w:hAnsi="Arial"/>
          <w:sz w:val="17"/>
          <w:szCs w:val="17"/>
          <w:color w:val="000000"/>
        </w:rPr>
        <w:t>, of this definition of “Permitted Liens”;</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FF"/>
        </w:rPr>
        <w:t xml:space="preserve"> </w:t>
      </w:r>
      <w:r>
        <w:rPr>
          <w:rFonts w:ascii="Arial" w:cs="Arial" w:eastAsia="Arial" w:hAnsi="Arial"/>
          <w:sz w:val="17"/>
          <w:szCs w:val="17"/>
          <w:color w:val="000000"/>
        </w:rPr>
        <w:t>that (a) such new Lien shall be limited to</w:t>
      </w:r>
      <w:r>
        <w:rPr>
          <w:rFonts w:ascii="Arial" w:cs="Arial" w:eastAsia="Arial" w:hAnsi="Arial"/>
          <w:sz w:val="17"/>
          <w:szCs w:val="17"/>
          <w:color w:val="0000FF"/>
        </w:rPr>
        <w:t xml:space="preserve"> </w:t>
      </w:r>
      <w:r>
        <w:rPr>
          <w:rFonts w:ascii="Arial" w:cs="Arial" w:eastAsia="Arial" w:hAnsi="Arial"/>
          <w:sz w:val="17"/>
          <w:szCs w:val="17"/>
          <w:color w:val="000000"/>
        </w:rPr>
        <w:t xml:space="preserve">all or part of the same property that secured the original Lien (plus improvements on such property), and (b) the Indebtedness secured by such Lien at such time is not increased to any amount greater than the sum of (1) the outstanding principal amount or, if greater, committed amount of the Indebtedness described under </w:t>
      </w:r>
      <w:r>
        <w:rPr>
          <w:rFonts w:ascii="Arial" w:cs="Arial" w:eastAsia="Arial" w:hAnsi="Arial"/>
          <w:sz w:val="17"/>
          <w:szCs w:val="17"/>
          <w:u w:val="single" w:color="auto"/>
          <w:color w:val="000000"/>
        </w:rPr>
        <w:t>clauses (vi)</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(vii)</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(viii)</w:t>
      </w:r>
      <w:r>
        <w:rPr>
          <w:rFonts w:ascii="Arial" w:cs="Arial" w:eastAsia="Arial" w:hAnsi="Arial"/>
          <w:sz w:val="17"/>
          <w:szCs w:val="17"/>
          <w:color w:val="000000"/>
        </w:rPr>
        <w:t xml:space="preserve">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(ix)</w:t>
      </w:r>
      <w:r>
        <w:rPr>
          <w:rFonts w:ascii="Arial" w:cs="Arial" w:eastAsia="Arial" w:hAnsi="Arial"/>
          <w:sz w:val="17"/>
          <w:szCs w:val="17"/>
          <w:u w:val="single" w:color="auto"/>
          <w:color w:val="0000FF"/>
        </w:rPr>
        <w:t>, (x) and (xv)</w:t>
      </w:r>
      <w:r>
        <w:rPr>
          <w:rFonts w:ascii="Arial" w:cs="Arial" w:eastAsia="Arial" w:hAnsi="Arial"/>
          <w:sz w:val="17"/>
          <w:szCs w:val="17"/>
          <w:color w:val="000000"/>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spacing w:after="0" w:line="178" w:lineRule="exact"/>
        <w:rPr>
          <w:rFonts w:ascii="Arial" w:cs="Arial" w:eastAsia="Arial" w:hAnsi="Arial"/>
          <w:sz w:val="17"/>
          <w:szCs w:val="17"/>
          <w:color w:val="auto"/>
        </w:rPr>
      </w:pPr>
    </w:p>
    <w:p>
      <w:pPr>
        <w:ind w:left="-176" w:right="100" w:firstLine="176"/>
        <w:spacing w:after="0" w:line="277" w:lineRule="auto"/>
        <w:tabs>
          <w:tab w:leader="none" w:pos="5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deposits made or other security provided to secure liabilities to insurance carriers under insurance or self-insurance arrangements in the ordinary course of business;</w:t>
      </w:r>
    </w:p>
    <w:p>
      <w:pPr>
        <w:spacing w:after="0" w:line="170" w:lineRule="exact"/>
        <w:rPr>
          <w:rFonts w:ascii="Arial" w:cs="Arial" w:eastAsia="Arial" w:hAnsi="Arial"/>
          <w:sz w:val="18"/>
          <w:szCs w:val="18"/>
          <w:color w:val="auto"/>
        </w:rPr>
      </w:pPr>
    </w:p>
    <w:p>
      <w:pPr>
        <w:ind w:left="-176" w:right="40" w:firstLine="176"/>
        <w:spacing w:after="0" w:line="286" w:lineRule="auto"/>
        <w:tabs>
          <w:tab w:leader="none" w:pos="48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other Liens securing obligations which do not exceed </w:t>
      </w:r>
      <w:r>
        <w:rPr>
          <w:rFonts w:ascii="Arial" w:cs="Arial" w:eastAsia="Arial" w:hAnsi="Arial"/>
          <w:sz w:val="17"/>
          <w:szCs w:val="17"/>
          <w:u w:val="single" w:color="auto"/>
          <w:color w:val="0000FF"/>
        </w:rPr>
        <w:t>the greater of (a)</w:t>
      </w:r>
      <w:r>
        <w:rPr>
          <w:rFonts w:ascii="Arial" w:cs="Arial" w:eastAsia="Arial" w:hAnsi="Arial"/>
          <w:sz w:val="17"/>
          <w:szCs w:val="17"/>
          <w:color w:val="auto"/>
        </w:rPr>
        <w:t xml:space="preserve"> $45,000,000</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auto"/>
        </w:rPr>
        <w:t xml:space="preserve"> </w:t>
      </w:r>
      <w:r>
        <w:rPr>
          <w:rFonts w:ascii="Arial" w:cs="Arial" w:eastAsia="Arial" w:hAnsi="Arial"/>
          <w:sz w:val="17"/>
          <w:szCs w:val="17"/>
          <w:color w:val="FF0000"/>
          <w:strike w:val="1"/>
        </w:rPr>
        <w:t>that Indebtedness for borrowed money</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may not be secured in reliance on this clause (xx) during the Additional Restrictions Period; </w:t>
      </w:r>
      <w:r>
        <w:rPr>
          <w:rFonts w:ascii="Arial" w:cs="Arial" w:eastAsia="Arial" w:hAnsi="Arial"/>
          <w:sz w:val="17"/>
          <w:szCs w:val="17"/>
          <w:u w:val="single" w:color="auto"/>
          <w:color w:val="0000FF"/>
          <w:strike w:val="1"/>
        </w:rPr>
        <w:t>and (b) 40.0% of Consolidated EBITDA</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8000"/>
          <w:strike w:val="1"/>
        </w:rPr>
        <w:t>for the most</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8000"/>
          <w:strike w:val="1"/>
        </w:rPr>
        <w:t xml:space="preserve">recently ended Test Period </w:t>
      </w:r>
      <w:r>
        <w:rPr>
          <w:rFonts w:ascii="Arial" w:cs="Arial" w:eastAsia="Arial" w:hAnsi="Arial"/>
          <w:sz w:val="17"/>
          <w:szCs w:val="17"/>
          <w:u w:val="single" w:color="auto"/>
          <w:color w:val="0000FF"/>
          <w:strike w:val="1"/>
        </w:rPr>
        <w:t>(calculated on a Pro Forma Basis) at the time of the incurrence of such Lien;</w:t>
      </w:r>
    </w:p>
    <w:p>
      <w:pPr>
        <w:spacing w:after="0" w:line="165" w:lineRule="exact"/>
        <w:rPr>
          <w:rFonts w:ascii="Arial" w:cs="Arial" w:eastAsia="Arial" w:hAnsi="Arial"/>
          <w:sz w:val="17"/>
          <w:szCs w:val="17"/>
          <w:color w:val="auto"/>
        </w:rPr>
      </w:pPr>
    </w:p>
    <w:p>
      <w:pPr>
        <w:ind w:left="524" w:hanging="524"/>
        <w:spacing w:after="0"/>
        <w:tabs>
          <w:tab w:leader="none" w:pos="5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11.10</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76" w:right="60" w:firstLine="176"/>
        <w:spacing w:after="0" w:line="277" w:lineRule="auto"/>
        <w:tabs>
          <w:tab w:leader="none" w:pos="5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176" w:right="60" w:firstLine="176"/>
        <w:spacing w:after="0" w:line="257" w:lineRule="auto"/>
        <w:tabs>
          <w:tab w:leader="none" w:pos="6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spacing w:after="0" w:line="187" w:lineRule="exact"/>
        <w:rPr>
          <w:rFonts w:ascii="Arial" w:cs="Arial" w:eastAsia="Arial" w:hAnsi="Arial"/>
          <w:sz w:val="18"/>
          <w:szCs w:val="18"/>
          <w:color w:val="auto"/>
        </w:rPr>
      </w:pPr>
    </w:p>
    <w:p>
      <w:pPr>
        <w:ind w:left="-176" w:firstLine="176"/>
        <w:spacing w:after="0" w:line="277" w:lineRule="auto"/>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any assets other than those that are the subject of such repurchase agreement;</w:t>
      </w:r>
    </w:p>
    <w:p>
      <w:pPr>
        <w:spacing w:after="0" w:line="170" w:lineRule="exact"/>
        <w:rPr>
          <w:rFonts w:ascii="Arial" w:cs="Arial" w:eastAsia="Arial" w:hAnsi="Arial"/>
          <w:sz w:val="18"/>
          <w:szCs w:val="18"/>
          <w:color w:val="auto"/>
        </w:rPr>
      </w:pPr>
    </w:p>
    <w:p>
      <w:pPr>
        <w:ind w:left="-176" w:right="600" w:firstLine="176"/>
        <w:spacing w:after="0" w:line="308" w:lineRule="auto"/>
        <w:tabs>
          <w:tab w:leader="none" w:pos="574"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46" w:lineRule="exact"/>
        <w:rPr>
          <w:rFonts w:ascii="Arial" w:cs="Arial" w:eastAsia="Arial" w:hAnsi="Arial"/>
          <w:sz w:val="17"/>
          <w:szCs w:val="17"/>
          <w:color w:val="auto"/>
        </w:rPr>
      </w:pPr>
    </w:p>
    <w:p>
      <w:pPr>
        <w:ind w:left="-176" w:right="40" w:firstLine="176"/>
        <w:spacing w:after="0" w:line="301" w:lineRule="auto"/>
        <w:tabs>
          <w:tab w:leader="none" w:pos="6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Liens that are contractual rights of set-off (a) relating to the establishment of depository relations with banks not given in connection with the issuance of Indebtedness, (b) relating to pooled deposit or sweep accounts of Holdings or any of the Restricted Subsidiaries to permit satisfaction of overdraft or similar obligations incurred in the ordinary course of business of Holdings and the Restricted Subsidiaries, or (c) relating to purchase orders and other agreements entered into by Holdings or any of the Restricted Subsidiaries in the ordinary course of business;</w:t>
      </w:r>
    </w:p>
    <w:p>
      <w:pPr>
        <w:spacing w:after="0" w:line="157" w:lineRule="exact"/>
        <w:rPr>
          <w:rFonts w:ascii="Arial" w:cs="Arial" w:eastAsia="Arial" w:hAnsi="Arial"/>
          <w:sz w:val="16"/>
          <w:szCs w:val="16"/>
          <w:color w:val="auto"/>
        </w:rPr>
      </w:pPr>
    </w:p>
    <w:p>
      <w:pPr>
        <w:jc w:val="both"/>
        <w:ind w:left="-176" w:right="180" w:firstLine="176"/>
        <w:spacing w:after="0" w:line="263" w:lineRule="auto"/>
        <w:tabs>
          <w:tab w:leader="none" w:pos="6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(a) solely on any cash earnest money deposits made by Holdings or any of the Restricted Subsidiaries in connection with any letter of intent or purchase agreement permitted under this Agreement or (b) consisting of an agreement to dispose of any property pursuant to a disposition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1281430</wp:posOffset>
            </wp:positionH>
            <wp:positionV relativeFrom="paragraph">
              <wp:posOffset>-5291455</wp:posOffset>
            </wp:positionV>
            <wp:extent cx="1936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-4879975</wp:posOffset>
            </wp:positionV>
            <wp:extent cx="1936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364"/>
          </w:cols>
          <w:pgMar w:left="1156" w:top="1440" w:right="379" w:bottom="1440" w:gutter="0" w:footer="0" w:header="0"/>
        </w:sectPr>
      </w:pPr>
    </w:p>
    <w:bookmarkStart w:id="79" w:name="page80"/>
    <w:bookmarkEnd w:id="79"/>
    <w:p>
      <w:pPr>
        <w:spacing w:after="0" w:line="200" w:lineRule="exact"/>
        <w:rPr>
          <w:sz w:val="20"/>
          <w:szCs w:val="20"/>
          <w:color w:val="auto"/>
        </w:rPr>
      </w:pPr>
    </w:p>
    <w:p>
      <w:pPr>
        <w:spacing w:after="0" w:line="322" w:lineRule="exact"/>
        <w:rPr>
          <w:sz w:val="20"/>
          <w:szCs w:val="20"/>
          <w:color w:val="auto"/>
        </w:rPr>
      </w:pPr>
    </w:p>
    <w:p>
      <w:pPr>
        <w:ind w:left="660" w:right="60" w:firstLine="176"/>
        <w:spacing w:after="0" w:line="263" w:lineRule="auto"/>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rights reserved or vested in any Person by the terms of any lease, license, franchise, grant, or permit held by Holdings or any of the Restricted Subsidiaries or by a statutory provision, to terminate any such lease, license, franchise, grant, or permit, or to require annual or periodic payments as a condition to the continuance thereof;</w:t>
      </w:r>
    </w:p>
    <w:p>
      <w:pPr>
        <w:spacing w:after="0" w:line="183" w:lineRule="exact"/>
        <w:rPr>
          <w:rFonts w:ascii="Arial" w:cs="Arial" w:eastAsia="Arial" w:hAnsi="Arial"/>
          <w:sz w:val="18"/>
          <w:szCs w:val="18"/>
          <w:color w:val="auto"/>
        </w:rPr>
      </w:pPr>
    </w:p>
    <w:p>
      <w:pPr>
        <w:ind w:left="1460" w:hanging="624"/>
        <w:spacing w:after="0"/>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restrictive covenants affecting the use to which real property may be put;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covenants are complied with;</w:t>
      </w:r>
    </w:p>
    <w:p>
      <w:pPr>
        <w:spacing w:after="0" w:line="225" w:lineRule="exact"/>
        <w:rPr>
          <w:rFonts w:ascii="Arial" w:cs="Arial" w:eastAsia="Arial" w:hAnsi="Arial"/>
          <w:sz w:val="18"/>
          <w:szCs w:val="18"/>
          <w:color w:val="auto"/>
        </w:rPr>
      </w:pPr>
    </w:p>
    <w:p>
      <w:pPr>
        <w:ind w:left="660" w:right="100" w:firstLine="176"/>
        <w:spacing w:after="0" w:line="277" w:lineRule="auto"/>
        <w:tabs>
          <w:tab w:leader="none" w:pos="14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w:t>
      </w:r>
    </w:p>
    <w:p>
      <w:pPr>
        <w:spacing w:after="0" w:line="170" w:lineRule="exact"/>
        <w:rPr>
          <w:rFonts w:ascii="Arial" w:cs="Arial" w:eastAsia="Arial" w:hAnsi="Arial"/>
          <w:sz w:val="18"/>
          <w:szCs w:val="18"/>
          <w:color w:val="auto"/>
        </w:rPr>
      </w:pPr>
    </w:p>
    <w:p>
      <w:pPr>
        <w:ind w:left="660" w:right="540" w:firstLine="176"/>
        <w:spacing w:after="0" w:line="277" w:lineRule="auto"/>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zoning by-laws and other land use restrictions, including, without limitation, site plan agreements, development agreements, and contract zoning agreements;</w:t>
      </w:r>
    </w:p>
    <w:p>
      <w:pPr>
        <w:spacing w:after="0" w:line="170" w:lineRule="exact"/>
        <w:rPr>
          <w:rFonts w:ascii="Arial" w:cs="Arial" w:eastAsia="Arial" w:hAnsi="Arial"/>
          <w:sz w:val="18"/>
          <w:szCs w:val="18"/>
          <w:color w:val="auto"/>
        </w:rPr>
      </w:pPr>
    </w:p>
    <w:p>
      <w:pPr>
        <w:ind w:left="660" w:right="20" w:firstLine="176"/>
        <w:spacing w:after="0" w:line="277" w:lineRule="auto"/>
        <w:tabs>
          <w:tab w:leader="none" w:pos="15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1560" w:hanging="724"/>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arising under the Security Documents;</w:t>
      </w:r>
    </w:p>
    <w:p>
      <w:pPr>
        <w:spacing w:after="0" w:line="225" w:lineRule="exact"/>
        <w:rPr>
          <w:rFonts w:ascii="Arial" w:cs="Arial" w:eastAsia="Arial" w:hAnsi="Arial"/>
          <w:sz w:val="18"/>
          <w:szCs w:val="18"/>
          <w:color w:val="auto"/>
        </w:rPr>
      </w:pPr>
    </w:p>
    <w:p>
      <w:pPr>
        <w:ind w:left="660" w:right="100" w:firstLine="176"/>
        <w:spacing w:after="0" w:line="277" w:lineRule="auto"/>
        <w:tabs>
          <w:tab w:leader="none" w:pos="15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on goods purchased in the ordinary course of business the purchase price of which is financed by a documentary letter of credit issued for the account of Holdings, the Borrower or any of their Subsidiaries;</w:t>
      </w:r>
    </w:p>
    <w:p>
      <w:pPr>
        <w:spacing w:after="0" w:line="170" w:lineRule="exact"/>
        <w:rPr>
          <w:rFonts w:ascii="Arial" w:cs="Arial" w:eastAsia="Arial" w:hAnsi="Arial"/>
          <w:sz w:val="18"/>
          <w:szCs w:val="18"/>
          <w:color w:val="auto"/>
        </w:rPr>
      </w:pPr>
    </w:p>
    <w:p>
      <w:pPr>
        <w:ind w:left="660" w:right="180" w:firstLine="176"/>
        <w:spacing w:after="0" w:line="286" w:lineRule="auto"/>
        <w:tabs>
          <w:tab w:leader="none" w:pos="1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(a) Liens on Equity Interests in joint ventures;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Holdings or any Restricted Subsidiary in joint ventures;</w:t>
      </w:r>
    </w:p>
    <w:p>
      <w:pPr>
        <w:spacing w:after="0" w:line="165" w:lineRule="exact"/>
        <w:rPr>
          <w:rFonts w:ascii="Arial" w:cs="Arial" w:eastAsia="Arial" w:hAnsi="Arial"/>
          <w:sz w:val="17"/>
          <w:szCs w:val="17"/>
          <w:color w:val="auto"/>
        </w:rPr>
      </w:pPr>
    </w:p>
    <w:p>
      <w:pPr>
        <w:ind w:left="660" w:right="100" w:firstLine="176"/>
        <w:spacing w:after="0" w:line="296" w:lineRule="auto"/>
        <w:tabs>
          <w:tab w:leader="none" w:pos="155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that are earmarked to be used to satisfy or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161" w:lineRule="exact"/>
        <w:rPr>
          <w:rFonts w:ascii="Arial" w:cs="Arial" w:eastAsia="Arial" w:hAnsi="Arial"/>
          <w:sz w:val="16"/>
          <w:szCs w:val="16"/>
          <w:color w:val="auto"/>
        </w:rPr>
      </w:pPr>
    </w:p>
    <w:p>
      <w:pPr>
        <w:ind w:left="1640" w:hanging="804"/>
        <w:spacing w:after="0"/>
        <w:tabs>
          <w:tab w:leader="none" w:pos="1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any Foreign Subsidiary, other Liens and privileges arising mandatorily by any Requirement of Law;</w:t>
      </w:r>
    </w:p>
    <w:p>
      <w:pPr>
        <w:spacing w:after="0" w:line="225" w:lineRule="exact"/>
        <w:rPr>
          <w:rFonts w:ascii="Arial" w:cs="Arial" w:eastAsia="Arial" w:hAnsi="Arial"/>
          <w:sz w:val="18"/>
          <w:szCs w:val="18"/>
          <w:color w:val="auto"/>
        </w:rPr>
      </w:pPr>
    </w:p>
    <w:p>
      <w:pPr>
        <w:jc w:val="both"/>
        <w:ind w:left="660" w:right="100" w:firstLine="176"/>
        <w:spacing w:after="0" w:line="263" w:lineRule="auto"/>
        <w:tabs>
          <w:tab w:leader="none" w:pos="16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pursuant to a Requirements of Law, Liens on cash or Permitted Investments securing Swap Obligations in the ordinary course of business; and Liens on the assets of a Managed Care Subsidiary pursuant to applicable rules, or regulations of, or undertakings made to, any Governmental Authority having jurisdiction and authority over such Managed Care Subsidiary; and</w:t>
      </w:r>
    </w:p>
    <w:p>
      <w:pPr>
        <w:spacing w:after="0" w:line="183" w:lineRule="exact"/>
        <w:rPr>
          <w:rFonts w:ascii="Arial" w:cs="Arial" w:eastAsia="Arial" w:hAnsi="Arial"/>
          <w:sz w:val="18"/>
          <w:szCs w:val="18"/>
          <w:color w:val="auto"/>
        </w:rPr>
      </w:pPr>
    </w:p>
    <w:p>
      <w:pPr>
        <w:ind w:left="1540" w:hanging="704"/>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arising pursuant to the Wal-Mart Agreements.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purposes of this definition, the term :Indebtedness” shall be deemed to include interest on, and fees, expenses and other obligations payable with respect to, such Indebtedness.</w:t>
      </w:r>
    </w:p>
    <w:p>
      <w:pPr>
        <w:spacing w:after="0" w:line="16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w:t>
      </w:r>
      <w:r>
        <w:rPr>
          <w:rFonts w:ascii="Arial" w:cs="Arial" w:eastAsia="Arial" w:hAnsi="Arial"/>
          <w:sz w:val="18"/>
          <w:szCs w:val="18"/>
          <w:color w:val="auto"/>
        </w:rPr>
        <w:t>” shall mean subordinated or senior Indebtedness (which Indebtedness may (i) be unsecured, (ii) have the same lien priority as the First Lien Obligations (without regard to control of remedies); provided such Permitted Other Indebtedness is in the form of secured first lien notes, or (iii) be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p>
    <w:p>
      <w:pPr>
        <w:spacing w:after="0" w:line="32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by a Lien ranking junior to the Lien securing the First Lien Obligations), in each case issued or incurred by the Borrower or other Guarantor, (a) the terms of which do not provide for any scheduled repayment, mandatory repayment, or redemption or sinking fund obligations prior to, at the time of incurrence, the Latest Maturity Date (other than, in each case, customary offers or obligations to repurchase upon a change of control, asset sale, or casualty or condemnation event, AHYDO payments and customary acceleration rights after an event of default), (b) the covenants, taken as a whole, are not more restrictive to the Borrower and the other Restricted Subsidiaries than those herein (taken as a whole) (except for covenants applicable only to periods after the Latest Maturity Date at the time of such refinancing)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the Lenders or (2) no consent shall be required by the Administrative Agent or any of the Lenders if any covenants are only applicable after the Latest Maturity Date at the time of such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Holdings (other than the Borrower or a Guarantor) is an obligor, and (d) that, if secured, is not secured by a lien any assets other than the Collateral.</w:t>
      </w:r>
    </w:p>
    <w:p>
      <w:pPr>
        <w:spacing w:after="0" w:line="17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Documents</w:t>
      </w:r>
      <w:r>
        <w:rPr>
          <w:rFonts w:ascii="Arial" w:cs="Arial" w:eastAsia="Arial" w:hAnsi="Arial"/>
          <w:sz w:val="18"/>
          <w:szCs w:val="18"/>
          <w:color w:val="auto"/>
        </w:rPr>
        <w:t>” shall mean any document or instrument (including any guarantee, security agreement, or mortgage and which may include any or all of the Credit Documents) issued or executed and delivered with respect to any Permitted Other Indebtedness by any Credit Party.</w:t>
      </w:r>
    </w:p>
    <w:p>
      <w:pPr>
        <w:spacing w:after="0" w:line="17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 Obligations</w:t>
      </w:r>
      <w:r>
        <w:rPr>
          <w:rFonts w:ascii="Arial" w:cs="Arial" w:eastAsia="Arial" w:hAnsi="Arial"/>
          <w:sz w:val="17"/>
          <w:szCs w:val="17"/>
          <w:color w:val="auto"/>
        </w:rPr>
        <w:t>” shall mean, if any Permitted Other Indebtedness is issued or incurred, all advances to, and debts, liabilities, obligations, covenants, and duties of,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Credit Party under any Permitted Other Indebtedness Document.</w:t>
      </w:r>
    </w:p>
    <w:p>
      <w:pPr>
        <w:spacing w:after="0" w:line="17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Secured Parties</w:t>
      </w:r>
      <w:r>
        <w:rPr>
          <w:rFonts w:ascii="Arial" w:cs="Arial" w:eastAsia="Arial" w:hAnsi="Arial"/>
          <w:sz w:val="18"/>
          <w:szCs w:val="18"/>
          <w:color w:val="auto"/>
        </w:rPr>
        <w:t>” shall mean the holders from time to time of secured Permitted Other Indebtedness Obligations (and any representative on their behalf).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Provision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Sale Leaseback</w:t>
      </w:r>
      <w:r>
        <w:rPr>
          <w:rFonts w:ascii="Arial" w:cs="Arial" w:eastAsia="Arial" w:hAnsi="Arial"/>
          <w:sz w:val="16"/>
          <w:szCs w:val="16"/>
          <w:color w:val="auto"/>
        </w:rPr>
        <w:t xml:space="preserve">” shall mean any Sale Leaseback consummated by Holdings or any of the Restricted Subsidiaries after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Sale Leaseback not between Holdings and a Restricted Subsidiary is consummated for fair value as determined at the time of consummation in good faith by (i) Holdings or such Restricted Subsidiary or (ii) in the case of any Sale Leaseback (or series of related Sales Leasebacks), the aggregate proceeds of which exceed the greater of (a) $40,000,000 and (b) 35.0% of Consolidated EBITDA for the most recently ended Test Period (calculated on a Pro Forma Basis) at the time of the incurrence of such Sale Leaseback, the board of directors (or analogous governing body) of Holdings or such Restricted Subsidiary (which such determination may take into account any retained interest or other Investment of Holdings or such Restricted Subsidiary in connection with, and any other material economic terms of,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40" w:right="359" w:bottom="1440" w:gutter="0" w:footer="0" w:header="0"/>
        </w:sectPr>
      </w:pPr>
    </w:p>
    <w:bookmarkStart w:id="81" w:name="page82"/>
    <w:bookmarkEnd w:id="81"/>
    <w:p>
      <w:pPr>
        <w:spacing w:after="0" w:line="200" w:lineRule="exact"/>
        <w:rPr>
          <w:sz w:val="20"/>
          <w:szCs w:val="20"/>
          <w:color w:val="auto"/>
        </w:rPr>
      </w:pPr>
    </w:p>
    <w:p>
      <w:pPr>
        <w:spacing w:after="0" w:line="3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Leaseback)</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further</w:t>
      </w:r>
      <w:r>
        <w:rPr>
          <w:rFonts w:ascii="Arial" w:cs="Arial" w:eastAsia="Arial" w:hAnsi="Arial"/>
          <w:sz w:val="18"/>
          <w:szCs w:val="18"/>
          <w:color w:val="auto"/>
        </w:rPr>
        <w:t xml:space="preserve"> </w:t>
      </w:r>
      <w:r>
        <w:rPr>
          <w:rFonts w:ascii="Arial" w:cs="Arial" w:eastAsia="Arial" w:hAnsi="Arial"/>
          <w:sz w:val="18"/>
          <w:szCs w:val="18"/>
          <w:color w:val="FF0000"/>
          <w:strike w:val="1"/>
        </w:rPr>
        <w:t>that during the Additional Restrictions Period, the Consolidated Total Debt to Consolidated EBITDA Ratio</w:t>
      </w:r>
      <w:r>
        <w:rPr>
          <w:rFonts w:ascii="Arial" w:cs="Arial" w:eastAsia="Arial" w:hAnsi="Arial"/>
          <w:sz w:val="18"/>
          <w:szCs w:val="18"/>
          <w:color w:val="auto"/>
        </w:rPr>
        <w:t xml:space="preserve"> </w:t>
      </w:r>
      <w:r>
        <w:rPr>
          <w:rFonts w:ascii="Arial" w:cs="Arial" w:eastAsia="Arial" w:hAnsi="Arial"/>
          <w:sz w:val="18"/>
          <w:szCs w:val="18"/>
          <w:color w:val="008000"/>
          <w:strike w:val="1"/>
        </w:rPr>
        <w:t>for the most</w:t>
      </w:r>
      <w:r>
        <w:rPr>
          <w:rFonts w:ascii="Arial" w:cs="Arial" w:eastAsia="Arial" w:hAnsi="Arial"/>
          <w:sz w:val="18"/>
          <w:szCs w:val="18"/>
          <w:color w:val="auto"/>
        </w:rPr>
        <w:t xml:space="preserve"> </w:t>
      </w:r>
      <w:r>
        <w:rPr>
          <w:rFonts w:ascii="Arial" w:cs="Arial" w:eastAsia="Arial" w:hAnsi="Arial"/>
          <w:sz w:val="18"/>
          <w:szCs w:val="18"/>
          <w:color w:val="008000"/>
          <w:strike w:val="1"/>
        </w:rPr>
        <w:t>recently ended Test Period</w:t>
      </w:r>
      <w:r>
        <w:rPr>
          <w:rFonts w:ascii="Arial" w:cs="Arial" w:eastAsia="Arial" w:hAnsi="Arial"/>
          <w:sz w:val="18"/>
          <w:szCs w:val="18"/>
          <w:color w:val="008000"/>
        </w:rPr>
        <w:t xml:space="preserve"> </w:t>
      </w:r>
      <w:r>
        <w:rPr>
          <w:rFonts w:ascii="Arial" w:cs="Arial" w:eastAsia="Arial" w:hAnsi="Arial"/>
          <w:sz w:val="18"/>
          <w:szCs w:val="18"/>
          <w:color w:val="FF0000"/>
          <w:strike w:val="1"/>
        </w:rPr>
        <w:t>is equal to or less than 3.00:1.00</w:t>
      </w:r>
      <w:r>
        <w:rPr>
          <w:rFonts w:ascii="Arial" w:cs="Arial" w:eastAsia="Arial" w:hAnsi="Arial"/>
          <w:sz w:val="18"/>
          <w:szCs w:val="18"/>
          <w:color w:val="000000"/>
        </w:rPr>
        <w:t>.</w:t>
      </w:r>
    </w:p>
    <w:p>
      <w:pPr>
        <w:spacing w:after="0" w:line="16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firm, corporation, limited liability company, association, trust, or other enterprise or any Governmental Authority.</w:t>
      </w:r>
    </w:p>
    <w:p>
      <w:pPr>
        <w:spacing w:after="0" w:line="162"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any ERISA Affiliate is (or, if such plan were terminated, would under Section 4062 or Section 4069 of ERISA be reasonably likely to be deemed to be) an “employer” as defined in Section 3(5) of ERISA.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shall mean the Pledge Agreement, dated as of the Closing Date, entered into by the Credit Parties party thereto and the Collateral Agent for the benefit of the Secured Parties.</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Post-Acquisition Period</w:t>
      </w:r>
      <w:r>
        <w:rPr>
          <w:rFonts w:ascii="Arial" w:cs="Arial" w:eastAsia="Arial" w:hAnsi="Arial"/>
          <w:sz w:val="18"/>
          <w:szCs w:val="18"/>
          <w:color w:val="auto"/>
        </w:rPr>
        <w:t>” shall mean, with respect to any Permitted Acquisition, the period beginning on the date such Permitted Acquisition is consummated and ending on the last day of the sixth full consecutive fiscal quarter immediately following the date on which such Permitted Acquisition is consummated.</w:t>
      </w:r>
    </w:p>
    <w:p>
      <w:pPr>
        <w:spacing w:after="0" w:line="17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xml:space="preserve">” shall mean any </w:t>
      </w:r>
      <w:r>
        <w:rPr>
          <w:rFonts w:ascii="Arial" w:cs="Arial" w:eastAsia="Arial" w:hAnsi="Arial"/>
          <w:sz w:val="18"/>
          <w:szCs w:val="18"/>
          <w:color w:val="FF0000"/>
          <w:strike w:val="1"/>
        </w:rPr>
        <w:t>Capital Markets Prepayment Event,</w:t>
      </w:r>
      <w:r>
        <w:rPr>
          <w:rFonts w:ascii="Arial" w:cs="Arial" w:eastAsia="Arial" w:hAnsi="Arial"/>
          <w:sz w:val="18"/>
          <w:szCs w:val="18"/>
          <w:color w:val="auto"/>
        </w:rPr>
        <w:t xml:space="preserve"> Asset Sale Prepayment Event, Debt Incurrence Prepayment Event, Casualty Event, or any Permitted Sale Leaseback.</w:t>
      </w:r>
    </w:p>
    <w:p>
      <w:pPr>
        <w:spacing w:after="0" w:line="162"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Prepayment Notice</w:t>
      </w:r>
      <w:r>
        <w:rPr>
          <w:rFonts w:ascii="Arial" w:cs="Arial" w:eastAsia="Arial" w:hAnsi="Arial"/>
          <w:sz w:val="16"/>
          <w:szCs w:val="16"/>
          <w:u w:val="single" w:color="auto"/>
          <w:color w:val="0000FF"/>
        </w:rPr>
        <w:t>” shall mean a notice of the Borrower’s intent to prepay Loans, including Term Loans, Revolving Credit Loans, and Swingline Loans, as applicable, in accordance with Section 5.1, in a form approved by the Administrative Agent, including any form on an electronic platform or electronic transmission system as shall be approved by the Administrative Agent, appropriately completed and signed by an Authorized Officer.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obligor</w:t>
      </w:r>
      <w:r>
        <w:rPr>
          <w:rFonts w:ascii="Arial" w:cs="Arial" w:eastAsia="Arial" w:hAnsi="Arial"/>
          <w:sz w:val="18"/>
          <w:szCs w:val="18"/>
          <w:color w:val="auto"/>
        </w:rPr>
        <w:t>” shall have the meaning provided such term in the definition of “Contingent Obligations”.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Adjustment</w:t>
      </w:r>
      <w:r>
        <w:rPr>
          <w:rFonts w:ascii="Arial" w:cs="Arial" w:eastAsia="Arial" w:hAnsi="Arial"/>
          <w:sz w:val="16"/>
          <w:szCs w:val="16"/>
          <w:color w:val="auto"/>
        </w:rPr>
        <w:t xml:space="preserve">” shall mean, for any Test Period that includes all or any part of a fiscal quarter included in any Post-Acquisition Period, with respect to the Acquired EBITDA of the applicable Acquired Entity or Business or Converted Restricted Subsidiary or the Consolidated EBITDA of Holdings, the pro forma increase or decrease in such Acquired EBITDA or such Consolidated EBITDA, as the case may be, projected by Holdings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Holdings and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election of Holdings,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 and (ii) the aggregate increase to Consolidated EBITDA for any period pursuant to this definition and clauses (i)(i), (i)(q) and (i)(r) of the definition of “Consolidated EBITDA” shall not exceed 25%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Consolidated EBITDA for such period (after giving effect to any increase in Consolidated EBITDA pursuant to the definition of “Acquired EBITDA”).</w:t>
      </w:r>
    </w:p>
    <w:p>
      <w:pPr>
        <w:spacing w:after="0" w:line="23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Basis</w:t>
      </w:r>
      <w:r>
        <w:rPr>
          <w:rFonts w:ascii="Arial" w:cs="Arial" w:eastAsia="Arial" w:hAnsi="Arial"/>
          <w:sz w:val="16"/>
          <w:szCs w:val="16"/>
          <w:color w:val="auto"/>
        </w:rPr>
        <w:t>,” “</w:t>
      </w:r>
      <w:r>
        <w:rPr>
          <w:rFonts w:ascii="Arial" w:cs="Arial" w:eastAsia="Arial" w:hAnsi="Arial"/>
          <w:sz w:val="16"/>
          <w:szCs w:val="16"/>
          <w:b w:val="1"/>
          <w:bCs w:val="1"/>
          <w:color w:val="auto"/>
        </w:rPr>
        <w:t>Pro Forma Compliance</w:t>
      </w:r>
      <w:r>
        <w:rPr>
          <w:rFonts w:ascii="Arial" w:cs="Arial" w:eastAsia="Arial" w:hAnsi="Arial"/>
          <w:sz w:val="16"/>
          <w:szCs w:val="16"/>
          <w:color w:val="auto"/>
        </w:rPr>
        <w:t>,” and “</w:t>
      </w:r>
      <w:r>
        <w:rPr>
          <w:rFonts w:ascii="Arial" w:cs="Arial" w:eastAsia="Arial" w:hAnsi="Arial"/>
          <w:sz w:val="16"/>
          <w:szCs w:val="16"/>
          <w:b w:val="1"/>
          <w:bCs w:val="1"/>
          <w:color w:val="auto"/>
        </w:rPr>
        <w:t>Pro Forma Effect</w:t>
      </w:r>
      <w:r>
        <w:rPr>
          <w:rFonts w:ascii="Arial" w:cs="Arial" w:eastAsia="Arial" w:hAnsi="Arial"/>
          <w:sz w:val="16"/>
          <w:szCs w:val="16"/>
          <w:color w:val="auto"/>
        </w:rPr>
        <w:t>” shall mean, with respect to compliance with any test, financial ratio, or covenant hereunder, that (i) to the extent applicable, the Pro Forma Adjustment shall have been made and (ii) all Specified Transactions and the following transactions in connection therewith shall be deemed to have occurred as of the first day of the applicable period of measurement in such test or covenant:</w:t>
      </w:r>
    </w:p>
    <w:p>
      <w:pPr>
        <w:spacing w:after="0" w:line="2" w:lineRule="exact"/>
        <w:rPr>
          <w:sz w:val="20"/>
          <w:szCs w:val="20"/>
          <w:color w:val="auto"/>
        </w:rPr>
      </w:pPr>
    </w:p>
    <w:p>
      <w:pPr>
        <w:ind w:right="40" w:firstLine="8"/>
        <w:spacing w:after="0" w:line="267" w:lineRule="auto"/>
        <w:tabs>
          <w:tab w:leader="none" w:pos="24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income statement items (whether positive or negative) attributable to the property or Person subject to such Specified Transaction, (1) in the case of a sale, transfer, or other disposition of all or substantially all Capital Stock in any Subsidiary of Holdings or any division, product line, or facility used for operations of Holdings 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Holdings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Holdings, the Borrower or any of the other Restricted Subsidiaries, and (3) factually supportable or (y) otherwise consistent with the definition of “Pro Forma Adjustment”.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Entity</w:t>
      </w:r>
      <w:r>
        <w:rPr>
          <w:rFonts w:ascii="Arial" w:cs="Arial" w:eastAsia="Arial" w:hAnsi="Arial"/>
          <w:sz w:val="18"/>
          <w:szCs w:val="18"/>
          <w:color w:val="auto"/>
        </w:rPr>
        <w:t xml:space="preserve">” shall have the meaning provided in the definition of </w:t>
      </w:r>
      <w:r>
        <w:rPr>
          <w:rFonts w:ascii="Arial" w:cs="Arial" w:eastAsia="Arial" w:hAnsi="Arial"/>
          <w:sz w:val="18"/>
          <w:szCs w:val="18"/>
          <w:color w:val="FF0000"/>
          <w:strike w:val="1"/>
        </w:rPr>
        <w:t>the term</w:t>
      </w:r>
      <w:r>
        <w:rPr>
          <w:rFonts w:ascii="Arial" w:cs="Arial" w:eastAsia="Arial" w:hAnsi="Arial"/>
          <w:sz w:val="18"/>
          <w:szCs w:val="18"/>
          <w:color w:val="auto"/>
        </w:rPr>
        <w:t xml:space="preserve"> “Acquired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Transaction</w:t>
      </w:r>
      <w:r>
        <w:rPr>
          <w:rFonts w:ascii="Arial" w:cs="Arial" w:eastAsia="Arial" w:hAnsi="Arial"/>
          <w:sz w:val="18"/>
          <w:szCs w:val="18"/>
          <w:color w:val="auto"/>
        </w:rPr>
        <w:t>” shall have the meaning assigned to such term in Section 406 of ERISA and Section 4975(c) of the Code.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Costs</w:t>
      </w:r>
      <w:r>
        <w:rPr>
          <w:rFonts w:ascii="Arial" w:cs="Arial" w:eastAsia="Arial" w:hAnsi="Arial"/>
          <w:sz w:val="18"/>
          <w:szCs w:val="18"/>
          <w:color w:val="auto"/>
        </w:rPr>
        <w:t>”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Proceeds</w:t>
      </w:r>
      <w:r>
        <w:rPr>
          <w:rFonts w:ascii="Arial" w:cs="Arial" w:eastAsia="Arial" w:hAnsi="Arial"/>
          <w:sz w:val="18"/>
          <w:szCs w:val="18"/>
          <w:color w:val="auto"/>
        </w:rPr>
        <w:t>” shall mean assets that are used or useful in, or Capital Stock of any Person engaged in, a Similar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Stock</w:t>
      </w:r>
      <w:r>
        <w:rPr>
          <w:rFonts w:ascii="Arial" w:cs="Arial" w:eastAsia="Arial" w:hAnsi="Arial"/>
          <w:sz w:val="18"/>
          <w:szCs w:val="18"/>
          <w:color w:val="auto"/>
        </w:rPr>
        <w:t>” of any Person shall mean Capital Stock of such Person other than Disqualified Stock of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9.1(f)</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Facility</w:t>
      </w:r>
      <w:r>
        <w:rPr>
          <w:rFonts w:ascii="Arial" w:cs="Arial" w:eastAsia="Arial" w:hAnsi="Arial"/>
          <w:sz w:val="18"/>
          <w:szCs w:val="18"/>
          <w:color w:val="auto"/>
        </w:rPr>
        <w:t>”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Holdings and the Restricted Subsidiaries (other than a Receivables Subsidiary) pursuant to which Holdings or any Restricted Subsidiary sells, directly or indirectly, grants a security interest in or otherwise transfers its accounts receivable to either (i) a Person that is not a Restricted Subsidiary or (ii) a Receivables Subsidiary that in turn funds such purchase by purporting to sell its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440" w:right="359" w:bottom="1440" w:gutter="0" w:footer="0" w:header="0"/>
        </w:sectPr>
      </w:pPr>
    </w:p>
    <w:bookmarkStart w:id="83" w:name="page84"/>
    <w:bookmarkEnd w:id="83"/>
    <w:p>
      <w:pPr>
        <w:spacing w:after="0" w:line="200" w:lineRule="exact"/>
        <w:rPr>
          <w:sz w:val="20"/>
          <w:szCs w:val="20"/>
          <w:color w:val="auto"/>
        </w:rPr>
      </w:pPr>
    </w:p>
    <w:p>
      <w:pPr>
        <w:spacing w:after="0" w:line="3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receivable to a Person that is not a Restricted Subsidiary or by borrowing from such a Person or from another Receivables Subsidiary that in turn funds itself by borrowing from such a Person.</w:t>
      </w:r>
    </w:p>
    <w:p>
      <w:pPr>
        <w:spacing w:after="0" w:line="166" w:lineRule="exact"/>
        <w:rPr>
          <w:sz w:val="20"/>
          <w:szCs w:val="20"/>
          <w:color w:val="auto"/>
        </w:rPr>
      </w:pPr>
    </w:p>
    <w:p>
      <w:pPr>
        <w:ind w:right="5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w:t>
      </w:r>
      <w:r>
        <w:rPr>
          <w:rFonts w:ascii="Arial" w:cs="Arial" w:eastAsia="Arial" w:hAnsi="Arial"/>
          <w:sz w:val="18"/>
          <w:szCs w:val="18"/>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17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Subsidiary</w:t>
      </w:r>
      <w:r>
        <w:rPr>
          <w:rFonts w:ascii="Arial" w:cs="Arial" w:eastAsia="Arial" w:hAnsi="Arial"/>
          <w:sz w:val="18"/>
          <w:szCs w:val="18"/>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Holdings or any Subsidiary makes an Investment and to which Holdings or any Subsidiary transfers accounts receivables and related assets.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13.6(b)(iv)</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any successor to all or a portion thereof establishing margin requirements.</w:t>
      </w:r>
    </w:p>
    <w:p>
      <w:pPr>
        <w:spacing w:after="0" w:line="16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any successor to all or a portion thereof establishing margin requirements.</w:t>
      </w:r>
    </w:p>
    <w:p>
      <w:pPr>
        <w:spacing w:after="0" w:line="16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of the Board as from time to time in effect and any successor to all or a portion thereof establishing margin requirements.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Obligations</w:t>
      </w:r>
      <w:r>
        <w:rPr>
          <w:rFonts w:ascii="Arial" w:cs="Arial" w:eastAsia="Arial" w:hAnsi="Arial"/>
          <w:sz w:val="18"/>
          <w:szCs w:val="18"/>
          <w:color w:val="auto"/>
        </w:rPr>
        <w:t xml:space="preserve">” shall mean the Borrower’s obligations to reimburse Unpaid Drawings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Reinvestment Period</w:t>
      </w:r>
      <w:r>
        <w:rPr>
          <w:rFonts w:ascii="Arial" w:cs="Arial" w:eastAsia="Arial" w:hAnsi="Arial"/>
          <w:sz w:val="17"/>
          <w:szCs w:val="17"/>
          <w:color w:val="auto"/>
        </w:rPr>
        <w:t>” shall mean (</w:t>
      </w:r>
      <w:r>
        <w:rPr>
          <w:rFonts w:ascii="Arial" w:cs="Arial" w:eastAsia="Arial" w:hAnsi="Arial"/>
          <w:sz w:val="17"/>
          <w:szCs w:val="17"/>
          <w:color w:val="FF0000"/>
          <w:strike w:val="1"/>
        </w:rPr>
        <w:t>i) during the Additional Restrictions Period, 180 days following the date of receipt of Net Cash Proceeds of</w:t>
      </w:r>
      <w:r>
        <w:rPr>
          <w:rFonts w:ascii="Arial" w:cs="Arial" w:eastAsia="Arial" w:hAnsi="Arial"/>
          <w:sz w:val="17"/>
          <w:szCs w:val="17"/>
          <w:color w:val="auto"/>
        </w:rPr>
        <w:t xml:space="preserve"> </w:t>
      </w:r>
      <w:r>
        <w:rPr>
          <w:rFonts w:ascii="Arial" w:cs="Arial" w:eastAsia="Arial" w:hAnsi="Arial"/>
          <w:sz w:val="17"/>
          <w:szCs w:val="17"/>
          <w:color w:val="FF0000"/>
          <w:strike w:val="1"/>
        </w:rPr>
        <w:t>an Asset Sale Prepayment Event, Casualty Event, or Permitted Sale Leaseback or (ii) at any other date of determination, 365</w:t>
      </w:r>
      <w:r>
        <w:rPr>
          <w:rFonts w:ascii="Arial" w:cs="Arial" w:eastAsia="Arial" w:hAnsi="Arial"/>
          <w:sz w:val="17"/>
          <w:szCs w:val="17"/>
          <w:u w:val="single" w:color="auto"/>
          <w:color w:val="0000FF"/>
        </w:rPr>
        <w:t>450</w:t>
      </w:r>
      <w:r>
        <w:rPr>
          <w:rFonts w:ascii="Arial" w:cs="Arial" w:eastAsia="Arial" w:hAnsi="Arial"/>
          <w:sz w:val="17"/>
          <w:szCs w:val="17"/>
          <w:color w:val="FF0000"/>
        </w:rPr>
        <w:t xml:space="preserve"> </w:t>
      </w:r>
      <w:r>
        <w:rPr>
          <w:rFonts w:ascii="Arial" w:cs="Arial" w:eastAsia="Arial" w:hAnsi="Arial"/>
          <w:sz w:val="17"/>
          <w:szCs w:val="17"/>
          <w:color w:val="000000"/>
        </w:rPr>
        <w:t>days following the date of</w:t>
      </w:r>
      <w:r>
        <w:rPr>
          <w:rFonts w:ascii="Arial" w:cs="Arial" w:eastAsia="Arial" w:hAnsi="Arial"/>
          <w:sz w:val="17"/>
          <w:szCs w:val="17"/>
          <w:color w:val="FF0000"/>
        </w:rPr>
        <w:t xml:space="preserve"> </w:t>
      </w:r>
      <w:r>
        <w:rPr>
          <w:rFonts w:ascii="Arial" w:cs="Arial" w:eastAsia="Arial" w:hAnsi="Arial"/>
          <w:sz w:val="17"/>
          <w:szCs w:val="17"/>
          <w:color w:val="000000"/>
        </w:rPr>
        <w:t>receipt of Net Cash Proceeds of an Asset Sale Prepayment Event, Casualty Event, or Permitted Sale Leaseback.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Business Assets</w:t>
      </w:r>
      <w:r>
        <w:rPr>
          <w:rFonts w:ascii="Arial" w:cs="Arial" w:eastAsia="Arial" w:hAnsi="Arial"/>
          <w:sz w:val="18"/>
          <w:szCs w:val="18"/>
          <w:color w:val="auto"/>
        </w:rPr>
        <w:t xml:space="preserve">” shall mean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Holdings or the Restricted Subsidiaries in exchange for assets transferred by Holdings or a Restricted Subsidiary shall not be deemed to be Related Business Assets if they consist of securities of a Person, unless upon receipt of the securities of such Person, such Person would become a Restricted Subsidiary.</w:t>
      </w:r>
    </w:p>
    <w:p>
      <w:pPr>
        <w:spacing w:after="0" w:line="180"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320" w:top="1440" w:right="419" w:bottom="1440" w:gutter="0" w:footer="0" w:header="0"/>
        </w:sectPr>
      </w:pPr>
    </w:p>
    <w:bookmarkStart w:id="84" w:name="page85"/>
    <w:bookmarkEnd w:id="84"/>
    <w:p>
      <w:pPr>
        <w:spacing w:after="0" w:line="200" w:lineRule="exact"/>
        <w:rPr>
          <w:sz w:val="20"/>
          <w:szCs w:val="20"/>
          <w:color w:val="auto"/>
        </w:rPr>
      </w:pPr>
    </w:p>
    <w:p>
      <w:pPr>
        <w:spacing w:after="0" w:line="318"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76"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discharge, disposal, escaping, leaking, pumping, pouring, dumping, emptying, injection, or leaching into the environment.</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Relevant Governmental Body</w:t>
      </w:r>
      <w:r>
        <w:rPr>
          <w:rFonts w:ascii="Arial" w:cs="Arial" w:eastAsia="Arial" w:hAnsi="Arial"/>
          <w:sz w:val="18"/>
          <w:szCs w:val="18"/>
          <w:u w:val="single" w:color="auto"/>
          <w:color w:val="0000FF"/>
        </w:rPr>
        <w:t>” shall mean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Amount</w:t>
      </w:r>
      <w:r>
        <w:rPr>
          <w:rFonts w:ascii="Arial" w:cs="Arial" w:eastAsia="Arial" w:hAnsi="Arial"/>
          <w:sz w:val="18"/>
          <w:szCs w:val="18"/>
          <w:color w:val="auto"/>
        </w:rPr>
        <w:t>” shall mean the Term A Loan Repayment Amount, a New Term Loan Repayment Amount with respect to any Series, or an Extended Term Loan Repayment Amount with respect to any Extension Series,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 Commitment</w:t>
      </w:r>
      <w:r>
        <w:rPr>
          <w:rFonts w:ascii="Arial" w:cs="Arial" w:eastAsia="Arial" w:hAnsi="Arial"/>
          <w:sz w:val="18"/>
          <w:szCs w:val="18"/>
          <w:color w:val="auto"/>
        </w:rPr>
        <w:t>” means the commitments of the Lenders to make Replacement 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Reportable Event</w:t>
      </w:r>
      <w:r>
        <w:rPr>
          <w:rFonts w:ascii="Arial" w:cs="Arial" w:eastAsia="Arial" w:hAnsi="Arial"/>
          <w:sz w:val="17"/>
          <w:szCs w:val="17"/>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PBGC Reg. § 4043.</w:t>
      </w:r>
    </w:p>
    <w:p>
      <w:pPr>
        <w:spacing w:after="0" w:line="15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shall mean, at any date, (i) Non-Defaulting Lenders having or holding a majority of the sum of (a) the Adjusted Total Revolving Credit Commitment at such date, (b) the Adjusted Total Term Loan Commitment at such date, and (c) the outstanding principal amount of the Term Loans (excluding Term Loans held by Defaulting Lenders) at such date or (ii) if the Total Revolving Credit Commitment and the Total Term Loan Commitment have been terminated or for the purposes of acceleration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Non-Defaulting Lenders having or holding a majority of the outstanding principal amount of the Loans and Letter of Credit Exposure (excluding the Loans and Letter of Credit Exposure of Defaulting Lenders) in the aggregate at such date.</w:t>
      </w:r>
    </w:p>
    <w:p>
      <w:pPr>
        <w:spacing w:after="0" w:line="187"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Credit Lenders</w:t>
      </w:r>
      <w:r>
        <w:rPr>
          <w:rFonts w:ascii="Arial" w:cs="Arial" w:eastAsia="Arial" w:hAnsi="Arial"/>
          <w:sz w:val="18"/>
          <w:szCs w:val="18"/>
          <w:color w:val="auto"/>
        </w:rPr>
        <w:t>” shall mean, at any date, Non-Defaulting Lenders holding a majority of the Adjusted Total Revolving Credit Commitment at such date (or, if the Total Revolving Credit Commitment has been terminated at such time, a majority of the Revolving Credit Exposure (excluding Revolving Credit Exposure of Defaulting Lenders) at such time).</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A Loan Lenders</w:t>
      </w:r>
      <w:r>
        <w:rPr>
          <w:rFonts w:ascii="Arial" w:cs="Arial" w:eastAsia="Arial" w:hAnsi="Arial"/>
          <w:sz w:val="18"/>
          <w:szCs w:val="18"/>
          <w:color w:val="auto"/>
        </w:rPr>
        <w:t>” shall mean, at any date, Non-Defaulting Lenders having or holding a majority of the sum of (i) the Adjusted Total Term A Loan Commitment at such date and (ii) the aggregate outstanding principal amount of the Term A Loans (excluding Term A Loans held by Defaulting Lenders) at such date.</w:t>
      </w:r>
    </w:p>
    <w:p>
      <w:pPr>
        <w:spacing w:after="0" w:line="17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Loan Lenders</w:t>
      </w:r>
      <w:r>
        <w:rPr>
          <w:rFonts w:ascii="Arial" w:cs="Arial" w:eastAsia="Arial" w:hAnsi="Arial"/>
          <w:sz w:val="18"/>
          <w:szCs w:val="18"/>
          <w:color w:val="auto"/>
        </w:rPr>
        <w:t>” 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the certificate of incorporation and by-laws or other organizational or governing documents of such Person, and any law, treaty, rule, or regulation or determination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40" w:right="359" w:bottom="1440" w:gutter="0" w:footer="0" w:header="0"/>
        </w:sectPr>
      </w:pPr>
    </w:p>
    <w:bookmarkStart w:id="85" w:name="page86"/>
    <w:bookmarkEnd w:id="85"/>
    <w:p>
      <w:pPr>
        <w:spacing w:after="0" w:line="200" w:lineRule="exact"/>
        <w:rPr>
          <w:sz w:val="20"/>
          <w:szCs w:val="20"/>
          <w:color w:val="auto"/>
        </w:rPr>
      </w:pPr>
    </w:p>
    <w:p>
      <w:pPr>
        <w:spacing w:after="0" w:line="3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arbitrator or a court or other Governmental Authority, in each case applicable to or binding upon such Person or any of its property or assets or to which such Person or any of its property or assets is subject.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Rescindable Amount</w:t>
      </w:r>
      <w:r>
        <w:rPr>
          <w:rFonts w:ascii="Arial" w:cs="Arial" w:eastAsia="Arial" w:hAnsi="Arial"/>
          <w:sz w:val="18"/>
          <w:szCs w:val="18"/>
          <w:u w:val="single" w:color="auto"/>
          <w:color w:val="0000FF"/>
        </w:rPr>
        <w:t>” shall have the meaning as provided in Section 2.04(d).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12.9(a)</w:t>
      </w:r>
      <w:r>
        <w:rPr>
          <w:rFonts w:ascii="Arial" w:cs="Arial" w:eastAsia="Arial" w:hAnsi="Arial"/>
          <w:sz w:val="18"/>
          <w:szCs w:val="18"/>
          <w:color w:val="auto"/>
        </w:rPr>
        <w:t>.</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rPr>
        <w:t>shall mean</w:t>
      </w:r>
      <w:r>
        <w:rPr>
          <w:rFonts w:ascii="Arial" w:cs="Arial" w:eastAsia="Arial" w:hAnsi="Arial"/>
          <w:sz w:val="18"/>
          <w:szCs w:val="18"/>
          <w:color w:val="auto"/>
        </w:rPr>
        <w:t xml:space="preserve"> an EEA Resolution Authority or, with respect to any UK Financial Institution, a UK Resolution Authority.</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Agreement</w:t>
      </w:r>
      <w:r>
        <w:rPr>
          <w:rFonts w:ascii="Arial" w:cs="Arial" w:eastAsia="Arial" w:hAnsi="Arial"/>
          <w:sz w:val="18"/>
          <w:szCs w:val="18"/>
          <w:color w:val="auto"/>
        </w:rPr>
        <w:t>” shall mean the Joinder and Amendment and Restatement Agreement, dated as of July 18, 2019, by and among the Credit Parties, the Administrative Agent, the Collateral Agent, the Former Agent and the Lenders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Refinancing</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Restatement Effective Date</w:t>
      </w:r>
      <w:r>
        <w:rPr>
          <w:rFonts w:ascii="Arial" w:cs="Arial" w:eastAsia="Arial" w:hAnsi="Arial"/>
          <w:sz w:val="16"/>
          <w:szCs w:val="16"/>
          <w:color w:val="auto"/>
        </w:rPr>
        <w:t xml:space="preserve">” shall mean July 18, 2019, the date on which the conditions precedent to effectiveness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shall mean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shall mean any Subsidiary of Holdings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Retired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Commitment</w:t>
      </w:r>
      <w:r>
        <w:rPr>
          <w:rFonts w:ascii="Arial" w:cs="Arial" w:eastAsia="Arial" w:hAnsi="Arial"/>
          <w:sz w:val="16"/>
          <w:szCs w:val="16"/>
          <w:color w:val="auto"/>
        </w:rPr>
        <w:t xml:space="preserve">” shall mean, as to each Revolving Credit Lender, its obligation to make Revolving Credit Loans to the Borrower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in an aggregate principal amount (carried out to the ninth decimal place) at any one time outstanding not to exceed the amount set forth, and opposite such Lender’s name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under the caption Revolving Credit Commitment or in the Assignment and Acceptance pursuant to which such Lender becomes a party hereto, as applicable, as such amount may be adjusted from time to time in accordance with this Agreement (including </w:t>
      </w:r>
      <w:r>
        <w:rPr>
          <w:rFonts w:ascii="Arial" w:cs="Arial" w:eastAsia="Arial" w:hAnsi="Arial"/>
          <w:sz w:val="16"/>
          <w:szCs w:val="16"/>
          <w:u w:val="single" w:color="auto"/>
          <w:color w:val="auto"/>
        </w:rPr>
        <w:t>Section 2.14</w:t>
      </w:r>
      <w:r>
        <w:rPr>
          <w:rFonts w:ascii="Arial" w:cs="Arial" w:eastAsia="Arial" w:hAnsi="Arial"/>
          <w:sz w:val="16"/>
          <w:szCs w:val="16"/>
          <w:color w:val="auto"/>
        </w:rPr>
        <w:t>). The aggregate Revolving Credit Commitments of all Revolving Credit Lenders, as of the Restatement Effective Date, shall be $300,000,000, as such amount may be adjusted from time to time in accordance with the terms of this Agreement.</w:t>
      </w:r>
    </w:p>
    <w:p>
      <w:pPr>
        <w:spacing w:after="0" w:line="16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Commitment Percentage</w:t>
      </w:r>
      <w:r>
        <w:rPr>
          <w:rFonts w:ascii="Arial" w:cs="Arial" w:eastAsia="Arial" w:hAnsi="Arial"/>
          <w:sz w:val="18"/>
          <w:szCs w:val="18"/>
          <w:color w:val="auto"/>
        </w:rPr>
        <w:t xml:space="preserve">” shall mean at any time, for each Lender, the percentage (carried out to the ninth decimal place) obtained by dividing (i) such Lender’s Revolving Credit Commitment at such time by (ii) the amount of the Total Revolving Credit Commitment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spacing w:after="0" w:line="183"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Exposure</w:t>
      </w:r>
      <w:r>
        <w:rPr>
          <w:rFonts w:ascii="Arial" w:cs="Arial" w:eastAsia="Arial" w:hAnsi="Arial"/>
          <w:sz w:val="18"/>
          <w:szCs w:val="18"/>
          <w:color w:val="auto"/>
        </w:rPr>
        <w:t>” 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at such time.</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shall mean, at any time, the aggregate amount of the Revolving Credit Lenders’ Revolving Credit Commitments at such time.</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shall mean, at any time, any Lender that has a Revolving Credit Commitment or Extended Revolving Credit Commitment at such time.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20"/>
          </w:cols>
          <w:pgMar w:left="320" w:top="1440" w:right="359" w:bottom="1440" w:gutter="0" w:footer="0" w:header="0"/>
          <w:type w:val="continuous"/>
        </w:sectPr>
      </w:pPr>
    </w:p>
    <w:bookmarkStart w:id="86" w:name="page87"/>
    <w:bookmarkEnd w:id="86"/>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Maturity Date</w:t>
      </w:r>
      <w:r>
        <w:rPr>
          <w:rFonts w:ascii="Arial" w:cs="Arial" w:eastAsia="Arial" w:hAnsi="Arial"/>
          <w:sz w:val="16"/>
          <w:szCs w:val="16"/>
          <w:color w:val="auto"/>
        </w:rPr>
        <w:t>” shall mean July 18, 2024 or, if such date is not a Business Day, the immediately preceding Business Day .</w:t>
      </w:r>
    </w:p>
    <w:p>
      <w:pPr>
        <w:spacing w:after="0" w:line="248"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the date on which the Revolving Credit Commitments shall have terminated, no Revolving Credit Loans or Swingline Loans shall be outstanding and the Letters of Credit Outstanding shall have been reduced to zero or Cash Collateralized.</w:t>
      </w:r>
    </w:p>
    <w:p>
      <w:pPr>
        <w:spacing w:after="0" w:line="11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shall mean, collectively or individually as the context may require, any (i) Revolving Credit Loan or (ii) Extended Revolving Credit Loan, in each case made pursuant to and in accordance with the terms and conditions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Services or any successor by merger or consolidation to its business.</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Leaseback</w:t>
      </w:r>
      <w:r>
        <w:rPr>
          <w:rFonts w:ascii="Arial" w:cs="Arial" w:eastAsia="Arial" w:hAnsi="Arial"/>
          <w:sz w:val="18"/>
          <w:szCs w:val="18"/>
          <w:color w:val="auto"/>
        </w:rPr>
        <w:t>” shall mean any arrangement with any Person providing for the leasing by Holdings or any Restricted Subsidiary of any real or tangible personal property, which property has been or is to be sold or transferred by Holdings or such Restricted Subsidiary to such Person in contemplation of such leasing.</w:t>
      </w:r>
    </w:p>
    <w:p>
      <w:pPr>
        <w:spacing w:after="0" w:line="17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sanction administered or enforced by the United States Government (including without limitation, OFAC), the United Nations Security Council, the European Union or any member state thereof, Her Majesty’s Treasury of the United Kingdom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successor thereto.</w:t>
      </w:r>
    </w:p>
    <w:p>
      <w:pPr>
        <w:spacing w:after="0" w:line="225"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Lien Intercreditor Agreement</w:t>
      </w:r>
      <w:r>
        <w:rPr>
          <w:rFonts w:ascii="Arial" w:cs="Arial" w:eastAsia="Arial" w:hAnsi="Arial"/>
          <w:sz w:val="17"/>
          <w:szCs w:val="17"/>
          <w:color w:val="auto"/>
        </w:rPr>
        <w:t>” shall mean a First Lien/Second Lien Intercreditor Agreement substantially in the form of Exhibit I (with such changes to such form as may be reasonably acceptable to the Administrative Agent and the Borrower) among the Administrative Agent, the Collateral Agent and the representatives for purposes thereof for any Permitted Other Indebtedness Secured Parties that are holders of Permitted Other Indebtedness Obligations having a Lien on the Collateral ranking junior to the Lien securing the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2.14 Additional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9.1 Financials</w:t>
      </w:r>
      <w:r>
        <w:rPr>
          <w:rFonts w:ascii="Arial" w:cs="Arial" w:eastAsia="Arial" w:hAnsi="Arial"/>
          <w:sz w:val="18"/>
          <w:szCs w:val="18"/>
          <w:color w:val="auto"/>
        </w:rPr>
        <w:t xml:space="preserve">” shall mean the financial statements delivered, or required to be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together with the accompanying officer’s certificate delivered, or required to be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Holdings or any of the Restricted Subsidiaries and any Cash Management Bank, which is specified in writing by the Borrower to the Administrative Agent as constituting a Secured Cash Management Agreement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Obligations</w:t>
      </w:r>
      <w:r>
        <w:rPr>
          <w:rFonts w:ascii="Arial" w:cs="Arial" w:eastAsia="Arial" w:hAnsi="Arial"/>
          <w:sz w:val="18"/>
          <w:szCs w:val="18"/>
          <w:color w:val="auto"/>
        </w:rPr>
        <w:t>” shall mean Obligations under Secured Cash Management Agreements.</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shall mean any Hedge Agreement that is entered into by and between Holdings,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Obligations</w:t>
      </w:r>
      <w:r>
        <w:rPr>
          <w:rFonts w:ascii="Arial" w:cs="Arial" w:eastAsia="Arial" w:hAnsi="Arial"/>
          <w:sz w:val="18"/>
          <w:szCs w:val="18"/>
          <w:color w:val="auto"/>
        </w:rPr>
        <w:t>” shall mean Obligations under Secured Hedge Agreements.</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shall mean the Administrative Agent, the Collateral Agent, the Letter of Credit Issuer, and each Lender, in each case with respect to the Credit Facilities, each Hedge Bank that is party to any Secured Hedge Agreement with Holdings, the Borrower or any Restricted Subsidiary, each Cash Management Bank that is party to a Secured Cash Management Agreement with the Borrower or any Restricted Subsidiary and each sub-agent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appointed by the Administrative Agent with respect to matters relating to the Credit Facilities or the Collateral Agent with respect to matters relating to any Security Document.</w:t>
      </w:r>
    </w:p>
    <w:p>
      <w:pPr>
        <w:spacing w:after="0" w:line="18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the Security Agreement, dated as of the Closing Date, entered into by the Borrower, the other grantors party thereto, and the Collateral Agent for the benefit of the Secured Parties.</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xml:space="preserve">” shall mean, collectively, the Pledge Agreement, the Security Agreement, the Mortgages, if executed, the First Lien Intercreditor Agreement, if executed, and each other security agreement or other instrument or document executed and delivered pursuant to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or pursuant to any other such Security Documents to secure the Obligations or to govern the lien priorities of the holders of Liens on the Collateral.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Holdings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Section 11.5 would constitute a “Significant Subsidiary” under clause (a) above.</w:t>
      </w:r>
    </w:p>
    <w:p>
      <w:pPr>
        <w:spacing w:after="0" w:line="161" w:lineRule="exact"/>
        <w:rPr>
          <w:sz w:val="20"/>
          <w:szCs w:val="20"/>
          <w:color w:val="auto"/>
        </w:rPr>
      </w:pPr>
    </w:p>
    <w:p>
      <w:pPr>
        <w:ind w:right="8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Similar Business</w:t>
      </w:r>
      <w:r>
        <w:rPr>
          <w:rFonts w:ascii="Arial" w:cs="Arial" w:eastAsia="Arial" w:hAnsi="Arial"/>
          <w:sz w:val="17"/>
          <w:szCs w:val="17"/>
          <w:color w:val="auto"/>
        </w:rPr>
        <w:t>” shall mean any business conducted or proposed to be conducted by Holdings and the Restricted Subsidiaries on the Restatement Effective Date or any business that is similar, reasonably related, synergistic, incidental, or ancillary thereto.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SOFR</w:t>
      </w:r>
      <w:r>
        <w:rPr>
          <w:rFonts w:ascii="Arial" w:cs="Arial" w:eastAsia="Arial" w:hAnsi="Arial"/>
          <w:sz w:val="18"/>
          <w:szCs w:val="18"/>
          <w:u w:val="single" w:color="auto"/>
          <w:color w:val="008000"/>
        </w:rPr>
        <w:t>” shall have the meaning provided in</w:t>
      </w:r>
      <w:r>
        <w:rPr>
          <w:rFonts w:ascii="Arial" w:cs="Arial" w:eastAsia="Arial" w:hAnsi="Arial"/>
          <w:sz w:val="18"/>
          <w:szCs w:val="18"/>
          <w:u w:val="single" w:color="auto"/>
          <w:color w:val="0000FF"/>
        </w:rPr>
        <w:t xml:space="preserve"> the definition of “Daily Simple SOFR”.</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SOFR Early Opt-in</w:t>
      </w:r>
      <w:r>
        <w:rPr>
          <w:rFonts w:ascii="Arial" w:cs="Arial" w:eastAsia="Arial" w:hAnsi="Arial"/>
          <w:sz w:val="18"/>
          <w:szCs w:val="18"/>
          <w:u w:val="single" w:color="auto"/>
          <w:color w:val="0000FF"/>
        </w:rPr>
        <w:t>” shall mean the Administrative Agent and the Borrower have elected to replace LIBOR pursuant to (1) an Early Opt-in Election and (2) Section 2.10(d)(i) and paragraph (1) of the definition of “Benchmark Replacement”.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Sold Entity or Business</w:t>
      </w:r>
      <w:r>
        <w:rPr>
          <w:rFonts w:ascii="Arial" w:cs="Arial" w:eastAsia="Arial" w:hAnsi="Arial"/>
          <w:sz w:val="18"/>
          <w:szCs w:val="18"/>
          <w:color w:val="auto"/>
        </w:rPr>
        <w:t xml:space="preserve">” shall have the meaning provided in the definition of </w:t>
      </w:r>
      <w:r>
        <w:rPr>
          <w:rFonts w:ascii="Arial" w:cs="Arial" w:eastAsia="Arial" w:hAnsi="Arial"/>
          <w:sz w:val="18"/>
          <w:szCs w:val="18"/>
          <w:color w:val="FF0000"/>
          <w:strike w:val="1"/>
        </w:rPr>
        <w:t>the term</w:t>
      </w:r>
      <w:r>
        <w:rPr>
          <w:rFonts w:ascii="Arial" w:cs="Arial" w:eastAsia="Arial" w:hAnsi="Arial"/>
          <w:sz w:val="18"/>
          <w:szCs w:val="18"/>
          <w:color w:val="auto"/>
        </w:rPr>
        <w:t xml:space="preserve"> “Consolidated EBITDA”.</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shall mean, after giving effect to the consummation of the Transactions, (i) the sum of the liabilities (including contingent liabilities) of Holdings and its Subsidiaries, on a consolidated basis, does not exceed the present fair saleable value of the present assets of Holdings and its Subsidiaries, on a consolidated basis; (ii) the fair value of the property of Holdings and its Subsidiaries, on a consolidated basis, is greater than the total amount of liabilities (including contingent liabilities) of Holdings and its Subsidiaries, on a consolidated basis; (iii) the capital of Holdings and its Subsidiaries, on a consolidated basis, is not unreasonably small in relation to their business as contemplated on the date hereof; and (iv) Holdings and its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0" w:right="359" w:bottom="1440" w:gutter="0" w:footer="0" w:header="0"/>
        </w:sectPr>
      </w:pPr>
    </w:p>
    <w:bookmarkStart w:id="88" w:name="page89"/>
    <w:bookmarkEnd w:id="88"/>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with respect to any period, any Investment (including a Permitted Acquisition), any asset sale, incurrence or repayment of Indebtedness, Restricted Payment, Subsidiary designation, New Term Loan, New Revolving Credit Commitment, or other event or action that in each case by the terms of this Agreement requires Pro Forma Compliance with a test or covenant hereunder or requires such test or covenant to be calculated on a Pro Forma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shall mean any of KKR and its Affiliates but excluding portfolio companies of any of the foregoing.</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it does not have as of the date of determination a spot buying rate for any such currency.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xml:space="preserve">” of any Letter of Credit shall mean the maximum amount from time to time available to be drawn thereunder, determined without regard to whether any conditions to drawing could then be met;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Equivalents</w:t>
      </w:r>
      <w:r>
        <w:rPr>
          <w:rFonts w:ascii="Arial" w:cs="Arial" w:eastAsia="Arial" w:hAnsi="Arial"/>
          <w:sz w:val="18"/>
          <w:szCs w:val="18"/>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162"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Stores</w:t>
      </w:r>
      <w:r>
        <w:rPr>
          <w:rFonts w:ascii="Arial" w:cs="Arial" w:eastAsia="Arial" w:hAnsi="Arial"/>
          <w:sz w:val="18"/>
          <w:szCs w:val="18"/>
          <w:color w:val="auto"/>
        </w:rPr>
        <w:t>” shall mean any retail store (which may include any real property, fixtures, equipment, inventory and other property related thereto) operated, or to be operated, by Holdings or any Restricted Subsidiary.</w:t>
      </w:r>
    </w:p>
    <w:p>
      <w:pPr>
        <w:spacing w:after="0" w:line="162"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Indebtedness</w:t>
      </w:r>
      <w:r>
        <w:rPr>
          <w:rFonts w:ascii="Arial" w:cs="Arial" w:eastAsia="Arial" w:hAnsi="Arial"/>
          <w:sz w:val="16"/>
          <w:szCs w:val="16"/>
          <w:color w:val="auto"/>
        </w:rPr>
        <w:t>” shall mean Indebtedness of Holdings, the Borrower, or any other Guarantor that is by its terms subordinated in right of payment to the obligations of Holdings, the Borrower, or such Guarantor, as applicable, under this Agreement or the Guarantee, as applicable.</w:t>
      </w:r>
    </w:p>
    <w:p>
      <w:pPr>
        <w:spacing w:after="0" w:line="11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Holdings.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Credit Party,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318" w:lineRule="exact"/>
        <w:rPr>
          <w:sz w:val="20"/>
          <w:szCs w:val="20"/>
          <w:color w:val="auto"/>
        </w:rPr>
      </w:pPr>
    </w:p>
    <w:p>
      <w:pPr>
        <w:ind w:right="8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shall mean $20,000,000. The Swingline Commitment is part of and not in addition to the Revolving Credit Commitment.</w:t>
      </w:r>
    </w:p>
    <w:p>
      <w:pPr>
        <w:spacing w:after="0" w:line="162"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Exposure</w:t>
      </w:r>
      <w:r>
        <w:rPr>
          <w:rFonts w:ascii="Arial" w:cs="Arial" w:eastAsia="Arial" w:hAnsi="Arial"/>
          <w:sz w:val="18"/>
          <w:szCs w:val="18"/>
          <w:color w:val="auto"/>
        </w:rPr>
        <w:t>” 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Lender</w:t>
      </w:r>
      <w:r>
        <w:rPr>
          <w:rFonts w:ascii="Arial" w:cs="Arial" w:eastAsia="Arial" w:hAnsi="Arial"/>
          <w:sz w:val="16"/>
          <w:szCs w:val="16"/>
          <w:color w:val="auto"/>
        </w:rPr>
        <w:t>” shall mean Bank of America, N.A., in its capacity as lender of Swingline Loans hereunder or any replacement or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shall mean, with respect to any Swingline Loan, the date that is five Business Days prior to the Revolving Credit Maturity Date.</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shall mean JPMorgan Chase Bank, N.A. and Wells Fargo Securities, LLC, as syndication agents for the Lenders under this Agreement and the other Credit Documents.</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Lender</w:t>
      </w:r>
      <w:r>
        <w:rPr>
          <w:rFonts w:ascii="Arial" w:cs="Arial" w:eastAsia="Arial" w:hAnsi="Arial"/>
          <w:sz w:val="18"/>
          <w:szCs w:val="18"/>
          <w:color w:val="auto"/>
        </w:rPr>
        <w:t>” shall mean a Lender with a Term A Loan Commitment or an outstanding Term A Loan.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Commitment</w:t>
      </w:r>
      <w:r>
        <w:rPr>
          <w:rFonts w:ascii="Arial" w:cs="Arial" w:eastAsia="Arial" w:hAnsi="Arial"/>
          <w:sz w:val="18"/>
          <w:szCs w:val="18"/>
          <w:color w:val="auto"/>
        </w:rPr>
        <w:t xml:space="preserve">” shall mean, in the case of each Lender that is a Lender on the Restatement Effective Date, the amount (carried out to the ninth decimal place) set forth opposite such Lender’s name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as such Lender’s “Term A Loan Commitment”. The aggregate amount of the Term A Loan Commitments as of the Restatement Effective Date is $420,000,000.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Loan Maturity Date</w:t>
      </w:r>
      <w:r>
        <w:rPr>
          <w:rFonts w:ascii="Arial" w:cs="Arial" w:eastAsia="Arial" w:hAnsi="Arial"/>
          <w:sz w:val="17"/>
          <w:szCs w:val="17"/>
          <w:color w:val="auto"/>
        </w:rPr>
        <w:t>” shall mean July 18, 2024 or, if such date is not a Business Day, the immediately preceding Business Day.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Loans</w:t>
      </w:r>
      <w:r>
        <w:rPr>
          <w:rFonts w:ascii="Arial" w:cs="Arial" w:eastAsia="Arial" w:hAnsi="Arial"/>
          <w:sz w:val="18"/>
          <w:szCs w:val="18"/>
          <w:color w:val="auto"/>
        </w:rPr>
        <w:t xml:space="preserve">” shall mean the Term A Loans funded on the Restatement Effective Date pursuant to the terms and conditions of the Restatement Agreement and this Agreement (including </w:t>
      </w:r>
      <w:r>
        <w:rPr>
          <w:rFonts w:ascii="Arial" w:cs="Arial" w:eastAsia="Arial" w:hAnsi="Arial"/>
          <w:sz w:val="18"/>
          <w:szCs w:val="18"/>
          <w:u w:val="single" w:color="auto"/>
          <w:color w:val="auto"/>
        </w:rPr>
        <w:t>Section 2.1(a)(ii)</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Immediately after giving effect to Amendment No. 2, the aggregate amount of Term A Loans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outstanding as of the Amendment No. 2 Effective Date is $200,000,000.</w:t>
      </w:r>
    </w:p>
    <w:p>
      <w:pPr>
        <w:spacing w:after="0" w:line="176" w:lineRule="exact"/>
        <w:rPr>
          <w:sz w:val="20"/>
          <w:szCs w:val="20"/>
          <w:color w:val="auto"/>
        </w:rPr>
      </w:pPr>
    </w:p>
    <w:p>
      <w:pPr>
        <w:ind w:right="3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w:t>
      </w:r>
      <w:r>
        <w:rPr>
          <w:rFonts w:ascii="Arial" w:cs="Arial" w:eastAsia="Arial" w:hAnsi="Arial"/>
          <w:sz w:val="17"/>
          <w:szCs w:val="17"/>
          <w:color w:val="auto"/>
        </w:rPr>
        <w:t xml:space="preserve">” shall mean, with respect to each Lender, such Lender’s </w:t>
      </w:r>
      <w:r>
        <w:rPr>
          <w:rFonts w:ascii="Arial" w:cs="Arial" w:eastAsia="Arial" w:hAnsi="Arial"/>
          <w:sz w:val="17"/>
          <w:szCs w:val="17"/>
          <w:u w:val="single" w:color="auto"/>
          <w:color w:val="0000FF"/>
        </w:rPr>
        <w:t>Term</w:t>
      </w:r>
      <w:r>
        <w:rPr>
          <w:rFonts w:ascii="Arial" w:cs="Arial" w:eastAsia="Arial" w:hAnsi="Arial"/>
          <w:sz w:val="17"/>
          <w:szCs w:val="17"/>
          <w:color w:val="auto"/>
        </w:rPr>
        <w:t xml:space="preserve"> A Loan Commitment, and, if applicable, New Term Loan Commitment with respect to any Series and Replacement Term Loan Commitment with respect to any Series.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 (g)(i)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w:t>
      </w:r>
      <w:r>
        <w:rPr>
          <w:rFonts w:ascii="Arial" w:cs="Arial" w:eastAsia="Arial" w:hAnsi="Arial"/>
          <w:sz w:val="18"/>
          <w:szCs w:val="18"/>
          <w:color w:val="auto"/>
        </w:rPr>
        <w:t>” shall mean, at any time, any Lender that has a Term Loan Commitment or an outstanding Term Loan.</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the Term A Loans, any New Term Loans, any Replacement Term Loans, and any Extended Term Loans, collectively or individually,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3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Term SOFR</w:t>
      </w:r>
      <w:r>
        <w:rPr>
          <w:rFonts w:ascii="Arial" w:cs="Arial" w:eastAsia="Arial" w:hAnsi="Arial"/>
          <w:sz w:val="18"/>
          <w:szCs w:val="18"/>
          <w:u w:val="single" w:color="auto"/>
          <w:color w:val="0000FF"/>
        </w:rPr>
        <w:t>” shall mean,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Terminated Contracts</w:t>
      </w:r>
      <w:r>
        <w:rPr>
          <w:rFonts w:ascii="Arial" w:cs="Arial" w:eastAsia="Arial" w:hAnsi="Arial"/>
          <w:sz w:val="16"/>
          <w:szCs w:val="16"/>
          <w:color w:val="auto"/>
        </w:rPr>
        <w:t>” shall mean binding contracts with Counterparties that have terminated (whether on or before their stated expiration).</w:t>
      </w:r>
    </w:p>
    <w:p>
      <w:pPr>
        <w:spacing w:after="0" w:line="248" w:lineRule="exact"/>
        <w:rPr>
          <w:sz w:val="20"/>
          <w:szCs w:val="20"/>
          <w:color w:val="auto"/>
        </w:rPr>
      </w:pPr>
    </w:p>
    <w:p>
      <w:pPr>
        <w:ind w:right="3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shall mean, for any determination under this Agreement, the four consecutive fiscal quarters of Holdings then last ended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spacing w:after="0" w:line="158"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Credit Exposure</w:t>
      </w:r>
      <w:r>
        <w:rPr>
          <w:rFonts w:ascii="Arial" w:cs="Arial" w:eastAsia="Arial" w:hAnsi="Arial"/>
          <w:sz w:val="18"/>
          <w:szCs w:val="18"/>
          <w:color w:val="auto"/>
        </w:rPr>
        <w:t xml:space="preserve">” shall mean, at any date, the sum, without duplication, of (i) the Total Revolving Credit Commitment at such date (or, if the Total Revolving Credit Commitment shall have terminated on such date, the aggregate Revolving Credit Exposure of all Lenders at such date), (ii) the Total Term Loan Commitment at such date, and (iii) without duplication of </w:t>
      </w:r>
      <w:r>
        <w:rPr>
          <w:rFonts w:ascii="Arial" w:cs="Arial" w:eastAsia="Arial" w:hAnsi="Arial"/>
          <w:sz w:val="18"/>
          <w:szCs w:val="18"/>
          <w:u w:val="single" w:color="auto"/>
          <w:color w:val="auto"/>
        </w:rPr>
        <w:t>clause (ii)</w:t>
      </w:r>
      <w:r>
        <w:rPr>
          <w:rFonts w:ascii="Arial" w:cs="Arial" w:eastAsia="Arial" w:hAnsi="Arial"/>
          <w:sz w:val="18"/>
          <w:szCs w:val="18"/>
          <w:color w:val="auto"/>
        </w:rPr>
        <w:t>, the aggregate outstanding principal amount of all Term Loans at such date.</w:t>
      </w:r>
    </w:p>
    <w:p>
      <w:pPr>
        <w:spacing w:after="0" w:line="180"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Total</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8000"/>
        </w:rPr>
        <w:t>Leverage Test</w:t>
      </w:r>
      <w:r>
        <w:rPr>
          <w:rFonts w:ascii="Arial" w:cs="Arial" w:eastAsia="Arial" w:hAnsi="Arial"/>
          <w:sz w:val="18"/>
          <w:szCs w:val="18"/>
          <w:u w:val="single" w:color="auto"/>
          <w:color w:val="008000"/>
        </w:rPr>
        <w:t>” shall mean, as of any date of determination, with respect to the last day of the most recently ended Test Period, the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Consolidated </w:t>
      </w:r>
      <w:r>
        <w:rPr>
          <w:rFonts w:ascii="Arial" w:cs="Arial" w:eastAsia="Arial" w:hAnsi="Arial"/>
          <w:sz w:val="18"/>
          <w:szCs w:val="18"/>
          <w:u w:val="single" w:color="auto"/>
          <w:color w:val="0000FF"/>
        </w:rPr>
        <w:t>Total</w:t>
      </w:r>
      <w:r>
        <w:rPr>
          <w:rFonts w:ascii="Arial" w:cs="Arial" w:eastAsia="Arial" w:hAnsi="Arial"/>
          <w:sz w:val="18"/>
          <w:szCs w:val="18"/>
          <w:u w:val="single" w:color="auto"/>
          <w:color w:val="008000"/>
        </w:rPr>
        <w:t xml:space="preserve"> Debt to Consolidated EBITDA Ratio shall be no greater than 3.25 to 1.00.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Credit Commitment</w:t>
      </w:r>
      <w:r>
        <w:rPr>
          <w:rFonts w:ascii="Arial" w:cs="Arial" w:eastAsia="Arial" w:hAnsi="Arial"/>
          <w:sz w:val="18"/>
          <w:szCs w:val="18"/>
          <w:color w:val="auto"/>
        </w:rPr>
        <w:t>” shall mean the sum of the Revolving Credit Commitments of all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A Loan Commitment</w:t>
      </w:r>
      <w:r>
        <w:rPr>
          <w:rFonts w:ascii="Arial" w:cs="Arial" w:eastAsia="Arial" w:hAnsi="Arial"/>
          <w:sz w:val="18"/>
          <w:szCs w:val="18"/>
          <w:color w:val="auto"/>
        </w:rPr>
        <w:t>” shall mean the sum of the Term A Loan Commitments of all Lenders.</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Loan Commitment</w:t>
      </w:r>
      <w:r>
        <w:rPr>
          <w:rFonts w:ascii="Arial" w:cs="Arial" w:eastAsia="Arial" w:hAnsi="Arial"/>
          <w:sz w:val="18"/>
          <w:szCs w:val="18"/>
          <w:color w:val="auto"/>
        </w:rPr>
        <w:t>” shall mean the sum of the Term A Loan Commitments and the New Term Loan Commitments, if applicable, of all the Lenders.</w:t>
      </w:r>
    </w:p>
    <w:p>
      <w:pPr>
        <w:spacing w:after="0" w:line="162"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shall mean any fees, costs, or expenses incurred or paid by Holdings, the Borrower, or any of their respective Affiliates in connection with the Transactions, this Agreement, and the other Credit Documents, and the transactions contemplated hereby and thereby.</w:t>
      </w:r>
    </w:p>
    <w:p>
      <w:pPr>
        <w:spacing w:after="0" w:line="116"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shall mean, collectively, the transactions contemplated by this Agreement to occur on the Restatement Effective Date, including the repayment of Indebtedness under the Original Credit Agreement in connection therewith, the consummation of any other transactions in connection with the foregoing (including the payment of the fees and expenses incurred in connection with any of the foregoing (including the Transaction Expenses)).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13.6(e)</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shall mean (i) as to any Term Loan, its nature as an ABR Loan or a LIBOR Loan and (ii) as to any Revolving Loan, its nature as an ABR Loan or a LIBOR Revolving Credit Loan.</w:t>
      </w:r>
    </w:p>
    <w:p>
      <w:pPr>
        <w:spacing w:after="0" w:line="162"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Financial Institution</w:t>
      </w:r>
      <w:r>
        <w:rPr>
          <w:rFonts w:ascii="Arial" w:cs="Arial" w:eastAsia="Arial" w:hAnsi="Arial"/>
          <w:sz w:val="18"/>
          <w:szCs w:val="18"/>
          <w:color w:val="auto"/>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rPr>
        <w:t>shall mean</w:t>
      </w:r>
      <w:r>
        <w:rPr>
          <w:rFonts w:ascii="Arial" w:cs="Arial" w:eastAsia="Arial" w:hAnsi="Arial"/>
          <w:sz w:val="18"/>
          <w:szCs w:val="18"/>
          <w:color w:val="auto"/>
        </w:rPr>
        <w:t xml:space="preserve">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318"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Resolution Authority</w:t>
      </w:r>
      <w:r>
        <w:rPr>
          <w:rFonts w:ascii="Arial" w:cs="Arial" w:eastAsia="Arial" w:hAnsi="Arial"/>
          <w:sz w:val="18"/>
          <w:szCs w:val="18"/>
          <w:color w:val="auto"/>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rPr>
        <w:t>shall mean</w:t>
      </w:r>
      <w:r>
        <w:rPr>
          <w:rFonts w:ascii="Arial" w:cs="Arial" w:eastAsia="Arial" w:hAnsi="Arial"/>
          <w:sz w:val="18"/>
          <w:szCs w:val="18"/>
          <w:color w:val="auto"/>
        </w:rPr>
        <w:t xml:space="preserve">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Drawing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shall mean (i) any Subsidiary of Holdings which at the time of determination is an Unrestricted Subsidiary (as designated by the board of directors of Holdings, as provided below) and (ii) any Subsidiary of an Unrestricted Subsidiary.</w:t>
      </w:r>
    </w:p>
    <w:p>
      <w:pPr>
        <w:spacing w:after="0" w:line="14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FF0000"/>
          <w:strike w:val="1"/>
        </w:rPr>
        <w:t>Except during an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The board of directors of Holdings may designate any Subsidiary of Holdings (including any</w:t>
      </w:r>
      <w:r>
        <w:rPr>
          <w:rFonts w:ascii="Arial" w:cs="Arial" w:eastAsia="Arial" w:hAnsi="Arial"/>
          <w:sz w:val="18"/>
          <w:szCs w:val="18"/>
          <w:color w:val="FF0000"/>
        </w:rPr>
        <w:t xml:space="preserve"> </w:t>
      </w:r>
      <w:r>
        <w:rPr>
          <w:rFonts w:ascii="Arial" w:cs="Arial" w:eastAsia="Arial" w:hAnsi="Arial"/>
          <w:sz w:val="18"/>
          <w:szCs w:val="18"/>
          <w:color w:val="000000"/>
        </w:rPr>
        <w:t xml:space="preserve">existing Subsidiary and any newly acquired or newly formed Subsidiary) other than the Borrower or a Subsidiary of Holdings that is a direct or indirect parent of the Borrower to be an Unrestricted Subsidiary unless such Subsidiary or any of its Subsidiaries owns any Equity Interests or Indebtedness of, or owns or holds any Lien on, any property of, Holdings or any Subsidiary of Holdings (other than any Subsidiary of the Subsidiary to be so designated or an Unrestricted Subsidiary);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w:t>
      </w:r>
    </w:p>
    <w:p>
      <w:pPr>
        <w:spacing w:after="0" w:line="188" w:lineRule="exact"/>
        <w:rPr>
          <w:sz w:val="20"/>
          <w:szCs w:val="20"/>
          <w:color w:val="auto"/>
        </w:rPr>
      </w:pPr>
    </w:p>
    <w:p>
      <w:pPr>
        <w:ind w:left="1680" w:hanging="376"/>
        <w:spacing w:after="0"/>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such designation complies with </w:t>
      </w:r>
      <w:r>
        <w:rPr>
          <w:rFonts w:ascii="Arial" w:cs="Arial" w:eastAsia="Arial" w:hAnsi="Arial"/>
          <w:sz w:val="18"/>
          <w:szCs w:val="18"/>
          <w:u w:val="single" w:color="auto"/>
          <w:color w:val="auto"/>
        </w:rPr>
        <w:t>Section 10.5</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280" w:firstLine="644"/>
        <w:spacing w:after="0" w:line="263" w:lineRule="auto"/>
        <w:tabs>
          <w:tab w:leader="none" w:pos="16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Holdings or any Restricted Subsidiary.</w:t>
      </w:r>
    </w:p>
    <w:p>
      <w:pPr>
        <w:spacing w:after="0" w:line="184"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 xml:space="preserve">The board of directors of Holdings may designate any Unrestricted Subsidiary to be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such designation no Event of Default shall have occurred and be continuing and Holdings could incur at least $1.00 of additional Indebtedness pursuant to the Consolidated Total Debt to Consolidated EBITDA Ratio test set forth in the first paragraph of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4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Any such designation by the board of directors of Holdings shall be notified by Holdings to the Administrative Agent by promptly delivering to the Administrative Agent a copy of the Board resolution giving effect to such designation and a certificate of an Authorized Officer of Holdings certifying that such designation complied with the foregoing provisions.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5.4(e)(ii)(A)</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as of any date, the Capital Stock of such Person that is at the time entitled to vote in the election of the board of directors of such Person.</w:t>
      </w:r>
    </w:p>
    <w:p>
      <w:pPr>
        <w:spacing w:after="0" w:line="16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Wal-Mart Agreements</w:t>
      </w:r>
      <w:r>
        <w:rPr>
          <w:rFonts w:ascii="Arial" w:cs="Arial" w:eastAsia="Arial" w:hAnsi="Arial"/>
          <w:sz w:val="18"/>
          <w:szCs w:val="18"/>
          <w:color w:val="auto"/>
        </w:rPr>
        <w:t>” shall mean (i) the Management &amp; Services Agreement, dated as of May 1, 2012, by and among Wal-Mart Stores, Inc., a Delaware corporation (“</w:t>
      </w:r>
      <w:r>
        <w:rPr>
          <w:rFonts w:ascii="Arial" w:cs="Arial" w:eastAsia="Arial" w:hAnsi="Arial"/>
          <w:sz w:val="18"/>
          <w:szCs w:val="18"/>
          <w:u w:val="single" w:color="auto"/>
          <w:color w:val="auto"/>
        </w:rPr>
        <w:t>Wal-Mart</w:t>
      </w:r>
      <w:r>
        <w:rPr>
          <w:rFonts w:ascii="Arial" w:cs="Arial" w:eastAsia="Arial" w:hAnsi="Arial"/>
          <w:sz w:val="18"/>
          <w:szCs w:val="18"/>
          <w:color w:val="auto"/>
        </w:rPr>
        <w:t>”), its U.S. operating subsidiaries, including Sam’s West, Inc., and the Borrower, (ii) the Lease of Premises and License of Equipment, dated May 2, 2009, by and among Wal-Mart, its affiliates and subsidiaries and FirstSight, as amended by the First Amendment to FirstSight Lease, dated as of March 31, 2012, (iii) the Management and Services Agreement, dated as of December 17, 2012, by and between Wal-Mart, but excluding its United States operating subsidiaries Sam’s West, Inc., a Delaware corporation, and Sam’s East Inc., a Delaware corporation (together with Sam’s West, Inc., “Sam’s”) and Arlington Contact Lens Services, Inc., an Ohio corporation (“</w:t>
      </w:r>
      <w:r>
        <w:rPr>
          <w:rFonts w:ascii="Arial" w:cs="Arial" w:eastAsia="Arial" w:hAnsi="Arial"/>
          <w:sz w:val="18"/>
          <w:szCs w:val="18"/>
          <w:u w:val="single" w:color="auto"/>
          <w:color w:val="auto"/>
        </w:rPr>
        <w:t>AC Lens</w:t>
      </w:r>
      <w:r>
        <w:rPr>
          <w:rFonts w:ascii="Arial" w:cs="Arial" w:eastAsia="Arial" w:hAnsi="Arial"/>
          <w:sz w:val="18"/>
          <w:szCs w:val="18"/>
          <w:color w:val="auto"/>
        </w:rPr>
        <w:t>”), (iv) the Management and Services Agreement, dated as of December 17, 2012, by and among Sam’s and its operating subsidiaries and AC Lens, (v) the Professional Office Lease Agreement, dated as of May 1, 2012, by and among Wal-Mart, its affiliates and subsidiaries and the Borrower and (vi) the Supplier Agreement, dated as of May 1, 2012, by and among the Borrower and Wal-Mart, in each case, as amended, restated, amended and restated, supplemented, otherwise modified or replaced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92" w:name="page93"/>
    <w:bookmarkEnd w:id="92"/>
    <w:p>
      <w:pPr>
        <w:spacing w:after="0" w:line="200" w:lineRule="exact"/>
        <w:rPr>
          <w:sz w:val="20"/>
          <w:szCs w:val="20"/>
          <w:color w:val="auto"/>
        </w:rPr>
      </w:pPr>
    </w:p>
    <w:p>
      <w:pPr>
        <w:spacing w:after="0" w:line="31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Restricted Subsidiary</w:t>
      </w:r>
      <w:r>
        <w:rPr>
          <w:rFonts w:ascii="Arial" w:cs="Arial" w:eastAsia="Arial" w:hAnsi="Arial"/>
          <w:sz w:val="18"/>
          <w:szCs w:val="18"/>
          <w:color w:val="auto"/>
        </w:rPr>
        <w:t>” 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Title IV of ERISA.</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 the Administrative Agent and, in the case of any U.S. federal withholding Tax, any other applicable withholding agent.</w:t>
      </w:r>
    </w:p>
    <w:p>
      <w:pPr>
        <w:spacing w:after="0" w:line="1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Write-Down and Conversion Powers</w:t>
      </w:r>
      <w:r>
        <w:rPr>
          <w:rFonts w:ascii="Arial" w:cs="Arial" w:eastAsia="Arial" w:hAnsi="Arial"/>
          <w:sz w:val="17"/>
          <w:szCs w:val="17"/>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Credit Document, unless otherwise specified herein or in such other Credit Document:</w:t>
      </w:r>
    </w:p>
    <w:p>
      <w:pPr>
        <w:spacing w:after="0" w:line="170" w:lineRule="exact"/>
        <w:rPr>
          <w:sz w:val="20"/>
          <w:szCs w:val="20"/>
          <w:color w:val="auto"/>
        </w:rPr>
      </w:pPr>
    </w:p>
    <w:p>
      <w:pPr>
        <w:ind w:left="1680" w:hanging="376"/>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left="660" w:firstLine="644"/>
        <w:spacing w:after="0" w:line="277" w:lineRule="auto"/>
        <w:tabs>
          <w:tab w:leader="none" w:pos="16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Credit Document shall refer to such Credit Document as a whole and not to any particular provision thereof.</w:t>
      </w:r>
    </w:p>
    <w:p>
      <w:pPr>
        <w:spacing w:after="0" w:line="170" w:lineRule="exact"/>
        <w:rPr>
          <w:rFonts w:ascii="Arial" w:cs="Arial" w:eastAsia="Arial" w:hAnsi="Arial"/>
          <w:sz w:val="18"/>
          <w:szCs w:val="18"/>
          <w:color w:val="auto"/>
        </w:rPr>
      </w:pPr>
    </w:p>
    <w:p>
      <w:pPr>
        <w:ind w:left="1680" w:hanging="376"/>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Exhibit, and Schedule references are to the Credit Document in which such reference appears.</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left="660" w:right="140" w:firstLine="644"/>
        <w:spacing w:after="0" w:line="277" w:lineRule="auto"/>
        <w:tabs>
          <w:tab w:leader="none" w:pos="168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left="660" w:right="160" w:firstLine="644"/>
        <w:spacing w:after="0" w:line="277" w:lineRule="auto"/>
        <w:tabs>
          <w:tab w:leader="none" w:pos="1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left="660" w:right="180" w:firstLine="644"/>
        <w:spacing w:after="0" w:line="277" w:lineRule="auto"/>
        <w:tabs>
          <w:tab w:leader="none" w:pos="1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170" w:lineRule="exact"/>
        <w:rPr>
          <w:rFonts w:ascii="Arial" w:cs="Arial" w:eastAsia="Arial" w:hAnsi="Arial"/>
          <w:sz w:val="18"/>
          <w:szCs w:val="18"/>
          <w:color w:val="auto"/>
        </w:rPr>
      </w:pPr>
    </w:p>
    <w:p>
      <w:pPr>
        <w:ind w:left="660" w:right="240" w:firstLine="644"/>
        <w:spacing w:after="0" w:line="277" w:lineRule="auto"/>
        <w:tabs>
          <w:tab w:leader="none" w:pos="16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40" w:right="379" w:bottom="1440" w:gutter="0" w:footer="0" w:header="0"/>
        </w:sectPr>
      </w:pPr>
    </w:p>
    <w:bookmarkStart w:id="93" w:name="page94"/>
    <w:bookmarkEnd w:id="93"/>
    <w:p>
      <w:pPr>
        <w:spacing w:after="0" w:line="200" w:lineRule="exact"/>
        <w:rPr>
          <w:sz w:val="20"/>
          <w:szCs w:val="20"/>
          <w:color w:val="auto"/>
        </w:rPr>
      </w:pPr>
    </w:p>
    <w:p>
      <w:pPr>
        <w:spacing w:after="0" w:line="322" w:lineRule="exact"/>
        <w:rPr>
          <w:sz w:val="20"/>
          <w:szCs w:val="20"/>
          <w:color w:val="auto"/>
        </w:rPr>
      </w:pPr>
    </w:p>
    <w:p>
      <w:pPr>
        <w:ind w:left="660" w:right="120" w:firstLine="644"/>
        <w:spacing w:after="0" w:line="277" w:lineRule="auto"/>
        <w:tabs>
          <w:tab w:leader="none" w:pos="1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references to “knowledge” or “awareness” of any Credit Party or any Restricted Subsidiary thereof means the actual knowledge of an Authorized Officer of such Credit Party or such Restricted Subsidiary.</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3" w:lineRule="auto"/>
        <w:tabs>
          <w:tab w:leader="none" w:pos="10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183" w:lineRule="exact"/>
        <w:rPr>
          <w:rFonts w:ascii="Arial" w:cs="Arial" w:eastAsia="Arial" w:hAnsi="Arial"/>
          <w:sz w:val="18"/>
          <w:szCs w:val="18"/>
          <w:color w:val="auto"/>
        </w:rPr>
      </w:pPr>
    </w:p>
    <w:p>
      <w:pPr>
        <w:ind w:right="100" w:firstLine="656"/>
        <w:spacing w:after="0" w:line="259" w:lineRule="auto"/>
        <w:tabs>
          <w:tab w:leader="none" w:pos="10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contained in this Agreement with respect to any period during which any Specified Transaction occurs, the Consolidated Total Debt to Consolidated EBITDA Ratio</w:t>
      </w:r>
      <w:r>
        <w:rPr>
          <w:rFonts w:ascii="Arial" w:cs="Arial" w:eastAsia="Arial" w:hAnsi="Arial"/>
          <w:sz w:val="18"/>
          <w:szCs w:val="18"/>
          <w:color w:val="FF0000"/>
          <w:strike w:val="1"/>
        </w:rPr>
        <w:t>, the</w:t>
      </w:r>
      <w:r>
        <w:rPr>
          <w:rFonts w:ascii="Arial" w:cs="Arial" w:eastAsia="Arial" w:hAnsi="Arial"/>
          <w:sz w:val="18"/>
          <w:szCs w:val="18"/>
          <w:color w:val="auto"/>
        </w:rPr>
        <w:t xml:space="preserve"> </w:t>
      </w:r>
      <w:r>
        <w:rPr>
          <w:rFonts w:ascii="Arial" w:cs="Arial" w:eastAsia="Arial" w:hAnsi="Arial"/>
          <w:sz w:val="18"/>
          <w:szCs w:val="18"/>
          <w:color w:val="FF0000"/>
          <w:strike w:val="1"/>
        </w:rPr>
        <w:t>Consolidated First Lien Secured</w:t>
      </w:r>
      <w:r>
        <w:rPr>
          <w:rFonts w:ascii="Arial" w:cs="Arial" w:eastAsia="Arial" w:hAnsi="Arial"/>
          <w:sz w:val="18"/>
          <w:szCs w:val="18"/>
          <w:color w:val="FF0000"/>
        </w:rPr>
        <w:t xml:space="preserve"> </w:t>
      </w:r>
      <w:r>
        <w:rPr>
          <w:rFonts w:ascii="Arial" w:cs="Arial" w:eastAsia="Arial" w:hAnsi="Arial"/>
          <w:sz w:val="18"/>
          <w:szCs w:val="18"/>
          <w:color w:val="008000"/>
          <w:strike w:val="1"/>
        </w:rPr>
        <w:t>Debt to Consolidated EBITDA Ratio</w:t>
      </w:r>
      <w:r>
        <w:rPr>
          <w:rFonts w:ascii="Arial" w:cs="Arial" w:eastAsia="Arial" w:hAnsi="Arial"/>
          <w:sz w:val="18"/>
          <w:szCs w:val="18"/>
          <w:color w:val="FF0000"/>
          <w:strike w:val="1"/>
        </w:rPr>
        <w:t>, and the First Lien Secured</w:t>
      </w:r>
      <w:r>
        <w:rPr>
          <w:rFonts w:ascii="Arial" w:cs="Arial" w:eastAsia="Arial" w:hAnsi="Arial"/>
          <w:sz w:val="18"/>
          <w:szCs w:val="18"/>
          <w:u w:val="single" w:color="auto"/>
          <w:color w:val="0000FF"/>
        </w:rPr>
        <w:t>and the Total</w:t>
      </w:r>
      <w:r>
        <w:rPr>
          <w:rFonts w:ascii="Arial" w:cs="Arial" w:eastAsia="Arial" w:hAnsi="Arial"/>
          <w:sz w:val="18"/>
          <w:szCs w:val="18"/>
          <w:color w:val="FF0000"/>
        </w:rPr>
        <w:t xml:space="preserve"> </w:t>
      </w:r>
      <w:r>
        <w:rPr>
          <w:rFonts w:ascii="Arial" w:cs="Arial" w:eastAsia="Arial" w:hAnsi="Arial"/>
          <w:sz w:val="18"/>
          <w:szCs w:val="18"/>
          <w:color w:val="000000"/>
        </w:rPr>
        <w:t>Leverage Test shall each be calculated with</w:t>
      </w:r>
      <w:r>
        <w:rPr>
          <w:rFonts w:ascii="Arial" w:cs="Arial" w:eastAsia="Arial" w:hAnsi="Arial"/>
          <w:sz w:val="18"/>
          <w:szCs w:val="18"/>
          <w:color w:val="FF0000"/>
        </w:rPr>
        <w:t xml:space="preserve"> </w:t>
      </w:r>
      <w:r>
        <w:rPr>
          <w:rFonts w:ascii="Arial" w:cs="Arial" w:eastAsia="Arial" w:hAnsi="Arial"/>
          <w:sz w:val="18"/>
          <w:szCs w:val="18"/>
          <w:color w:val="000000"/>
        </w:rPr>
        <w:t>respect to such period and such Specified Transaction on a Pro Forma Basis.</w:t>
      </w:r>
    </w:p>
    <w:p>
      <w:pPr>
        <w:spacing w:after="0" w:line="186" w:lineRule="exact"/>
        <w:rPr>
          <w:rFonts w:ascii="Arial" w:cs="Arial" w:eastAsia="Arial" w:hAnsi="Arial"/>
          <w:sz w:val="18"/>
          <w:szCs w:val="18"/>
          <w:color w:val="auto"/>
        </w:rPr>
      </w:pPr>
    </w:p>
    <w:p>
      <w:pPr>
        <w:ind w:right="140" w:firstLine="656"/>
        <w:spacing w:after="0" w:line="277" w:lineRule="auto"/>
        <w:tabs>
          <w:tab w:leader="none" w:pos="10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reference is made to “Holdings and the Restricted Subsidiaries on a consolidated basis” or similar language, such consolidation shall not include any Subsidiaries of Holdings other than Restricted Subsidiaries.</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Holdings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4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References to Agreements Laws, Etc</w:t>
      </w:r>
      <w:r>
        <w:rPr>
          <w:rFonts w:ascii="Arial" w:cs="Arial" w:eastAsia="Arial" w:hAnsi="Arial"/>
          <w:sz w:val="17"/>
          <w:szCs w:val="17"/>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 of Law shall include all statutory and regulatory provisions consolidating, amending, replacing, supplementing, or interpreting such Requirement of Law.</w:t>
      </w:r>
    </w:p>
    <w:p>
      <w:pPr>
        <w:spacing w:after="0" w:line="17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Exchange Rates</w:t>
      </w:r>
      <w:r>
        <w:rPr>
          <w:rFonts w:ascii="Arial" w:cs="Arial" w:eastAsia="Arial" w:hAnsi="Arial"/>
          <w:sz w:val="16"/>
          <w:szCs w:val="16"/>
          <w:color w:val="auto"/>
        </w:rPr>
        <w:t xml:space="preserve">. Notwithstanding the foregoing, for purposes of any determination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determining compliance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w:t>
      </w:r>
      <w:r>
        <w:rPr>
          <w:rFonts w:ascii="Arial" w:cs="Arial" w:eastAsia="Arial" w:hAnsi="Arial"/>
          <w:sz w:val="16"/>
          <w:szCs w:val="16"/>
          <w:color w:val="FF0000"/>
        </w:rPr>
        <w:t>or Consolidated First Lien Secured Debt</w:t>
      </w:r>
      <w:r>
        <w:rPr>
          <w:rFonts w:ascii="Arial" w:cs="Arial" w:eastAsia="Arial" w:hAnsi="Arial"/>
          <w:sz w:val="16"/>
          <w:szCs w:val="16"/>
          <w:color w:val="auto"/>
        </w:rPr>
        <w:t>, amounts in currencies other than Dollars shall be translated into Dollars at the currency exchange rates used in preparing the most recently delivered Section 9.1 Financials.</w:t>
      </w:r>
      <w:r>
        <w:rPr>
          <w:rFonts w:ascii="Arial" w:cs="Arial" w:eastAsia="Arial" w:hAnsi="Arial"/>
          <w:sz w:val="16"/>
          <w:szCs w:val="16"/>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-226060</wp:posOffset>
            </wp:positionV>
            <wp:extent cx="1878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4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“LIBOR Rate” or with respect to any rate that is an alternative or replacement for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3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successor to any such rate (including, without limitation, any </w:t>
      </w:r>
      <w:r>
        <w:rPr>
          <w:rFonts w:ascii="Arial" w:cs="Arial" w:eastAsia="Arial" w:hAnsi="Arial"/>
          <w:sz w:val="18"/>
          <w:szCs w:val="18"/>
          <w:color w:val="FF0000"/>
          <w:strike w:val="1"/>
        </w:rPr>
        <w:t>LIBOR</w:t>
      </w:r>
      <w:r>
        <w:rPr>
          <w:rFonts w:ascii="Arial" w:cs="Arial" w:eastAsia="Arial" w:hAnsi="Arial"/>
          <w:sz w:val="18"/>
          <w:szCs w:val="18"/>
          <w:color w:val="auto"/>
        </w:rPr>
        <w:t xml:space="preserve"> successor rate </w:t>
      </w:r>
      <w:r>
        <w:rPr>
          <w:rFonts w:ascii="Arial" w:cs="Arial" w:eastAsia="Arial" w:hAnsi="Arial"/>
          <w:sz w:val="18"/>
          <w:szCs w:val="18"/>
          <w:u w:val="single" w:color="auto"/>
          <w:color w:val="0000FF"/>
        </w:rPr>
        <w:t>pursuant to Section 2.10(d)</w:t>
      </w:r>
      <w:r>
        <w:rPr>
          <w:rFonts w:ascii="Arial" w:cs="Arial" w:eastAsia="Arial" w:hAnsi="Arial"/>
          <w:sz w:val="18"/>
          <w:szCs w:val="18"/>
          <w:color w:val="auto"/>
        </w:rPr>
        <w:t xml:space="preserve">) or the effect of any of the foregoing, or of any </w:t>
      </w:r>
      <w:r>
        <w:rPr>
          <w:rFonts w:ascii="Arial" w:cs="Arial" w:eastAsia="Arial" w:hAnsi="Arial"/>
          <w:sz w:val="18"/>
          <w:szCs w:val="18"/>
          <w:color w:val="FF0000"/>
          <w:strike w:val="1"/>
        </w:rPr>
        <w:t>LIBOR Successor Rate</w:t>
      </w:r>
      <w:r>
        <w:rPr>
          <w:rFonts w:ascii="Arial" w:cs="Arial" w:eastAsia="Arial" w:hAnsi="Arial"/>
          <w:sz w:val="18"/>
          <w:szCs w:val="18"/>
          <w:u w:val="single" w:color="auto"/>
          <w:color w:val="0000FF"/>
        </w:rPr>
        <w:t>Benchmark Replacement</w:t>
      </w:r>
      <w:r>
        <w:rPr>
          <w:rFonts w:ascii="Arial" w:cs="Arial" w:eastAsia="Arial" w:hAnsi="Arial"/>
          <w:sz w:val="18"/>
          <w:szCs w:val="18"/>
          <w:color w:val="auto"/>
        </w:rPr>
        <w:t xml:space="preserve"> Conforming Changes.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Certifications</w:t>
      </w:r>
      <w:r>
        <w:rPr>
          <w:rFonts w:ascii="Arial" w:cs="Arial" w:eastAsia="Arial" w:hAnsi="Arial"/>
          <w:sz w:val="16"/>
          <w:szCs w:val="16"/>
          <w:color w:val="auto"/>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spacing w:after="0" w:line="12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Compliance with Certain Sections</w:t>
      </w:r>
      <w:r>
        <w:rPr>
          <w:rFonts w:ascii="Arial" w:cs="Arial" w:eastAsia="Arial" w:hAnsi="Arial"/>
          <w:sz w:val="17"/>
          <w:szCs w:val="17"/>
          <w:color w:val="auto"/>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or any clause or subsection of </w:t>
      </w:r>
      <w:r>
        <w:rPr>
          <w:rFonts w:ascii="Arial" w:cs="Arial" w:eastAsia="Arial" w:hAnsi="Arial"/>
          <w:sz w:val="17"/>
          <w:szCs w:val="17"/>
          <w:u w:val="single" w:color="auto"/>
          <w:color w:val="auto"/>
        </w:rPr>
        <w:t>Sections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10.6</w:t>
      </w:r>
      <w:r>
        <w:rPr>
          <w:rFonts w:ascii="Arial" w:cs="Arial" w:eastAsia="Arial" w:hAnsi="Arial"/>
          <w:sz w:val="17"/>
          <w:szCs w:val="17"/>
          <w:color w:val="auto"/>
        </w:rPr>
        <w:t xml:space="preserve"> then, such transaction (or portion thereof) at any time shall be allocated to one or more of such clauses or subsections within the relevant sections as determined by the Borrower in its sole discretion at such time.</w:t>
      </w:r>
    </w:p>
    <w:p>
      <w:pPr>
        <w:spacing w:after="0" w:line="17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Pro Forma and Other Calculations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5" w:lineRule="auto"/>
        <w:tabs>
          <w:tab w:leader="none" w:pos="10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For purposes of calculating any financial ratio, Investments, acquisitions, dispositions, mergers, consolidations, and disposed operations (as determined in accordance with GAAP) that have been made by Holdings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Holdings or any Restricted Subsidiary since the beginning of such period) shall have made any Investment, acquisition, disposition, merger, consolidation, or disposed operation that would have required adjustment pursuant to this definition, then the applicable financial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Consolidated </w:t>
      </w:r>
      <w:r>
        <w:rPr>
          <w:rFonts w:ascii="Arial" w:cs="Arial" w:eastAsia="Arial" w:hAnsi="Arial"/>
          <w:sz w:val="16"/>
          <w:szCs w:val="16"/>
          <w:color w:val="FF0000"/>
          <w:strike w:val="1"/>
        </w:rPr>
        <w:t>First Lien Secured Debt to Consolidated EBITDA Ratio and</w:t>
      </w:r>
      <w:r>
        <w:rPr>
          <w:rFonts w:ascii="Arial" w:cs="Arial" w:eastAsia="Arial" w:hAnsi="Arial"/>
          <w:sz w:val="16"/>
          <w:szCs w:val="16"/>
          <w:color w:val="auto"/>
        </w:rPr>
        <w:t xml:space="preserve"> </w:t>
      </w:r>
      <w:r>
        <w:rPr>
          <w:rFonts w:ascii="Arial" w:cs="Arial" w:eastAsia="Arial" w:hAnsi="Arial"/>
          <w:sz w:val="16"/>
          <w:szCs w:val="16"/>
          <w:color w:val="FF0000"/>
          <w:strike w:val="1"/>
        </w:rPr>
        <w:t>Consolidated</w:t>
      </w:r>
      <w:r>
        <w:rPr>
          <w:rFonts w:ascii="Arial" w:cs="Arial" w:eastAsia="Arial" w:hAnsi="Arial"/>
          <w:sz w:val="16"/>
          <w:szCs w:val="16"/>
          <w:color w:val="FF0000"/>
        </w:rPr>
        <w:t xml:space="preserve"> </w:t>
      </w:r>
      <w:r>
        <w:rPr>
          <w:rFonts w:ascii="Arial" w:cs="Arial" w:eastAsia="Arial" w:hAnsi="Arial"/>
          <w:sz w:val="16"/>
          <w:szCs w:val="16"/>
          <w:color w:val="000000"/>
        </w:rPr>
        <w:t>Total Debt to Consolidated EBITDA Ratio) (any such amounts, the “</w:t>
      </w:r>
      <w:r>
        <w:rPr>
          <w:rFonts w:ascii="Arial" w:cs="Arial" w:eastAsia="Arial" w:hAnsi="Arial"/>
          <w:sz w:val="16"/>
          <w:szCs w:val="16"/>
          <w:b w:val="1"/>
          <w:bCs w:val="1"/>
          <w:color w:val="000000"/>
        </w:rPr>
        <w:t>Fixed Amounts</w:t>
      </w:r>
      <w:r>
        <w:rPr>
          <w:rFonts w:ascii="Arial" w:cs="Arial" w:eastAsia="Arial" w:hAnsi="Arial"/>
          <w:sz w:val="16"/>
          <w:szCs w:val="16"/>
          <w:color w:val="000000"/>
        </w:rPr>
        <w:t>”) substantially concurrently with any amounts Incurred</w:t>
      </w:r>
      <w:r>
        <w:rPr>
          <w:rFonts w:ascii="Arial" w:cs="Arial" w:eastAsia="Arial" w:hAnsi="Arial"/>
          <w:sz w:val="16"/>
          <w:szCs w:val="16"/>
          <w:color w:val="FF0000"/>
        </w:rPr>
        <w:t xml:space="preserve"> </w:t>
      </w:r>
      <w:r>
        <w:rPr>
          <w:rFonts w:ascii="Arial" w:cs="Arial" w:eastAsia="Arial" w:hAnsi="Arial"/>
          <w:sz w:val="16"/>
          <w:szCs w:val="16"/>
          <w:color w:val="000000"/>
        </w:rPr>
        <w:t>or transactions entered into (or consummated) in reliance on a provision of this Agreement that requires compliance with any such financial ratio or test (any such amounts, the “</w:t>
      </w:r>
      <w:r>
        <w:rPr>
          <w:rFonts w:ascii="Arial" w:cs="Arial" w:eastAsia="Arial" w:hAnsi="Arial"/>
          <w:sz w:val="16"/>
          <w:szCs w:val="16"/>
          <w:b w:val="1"/>
          <w:bCs w:val="1"/>
          <w:color w:val="000000"/>
        </w:rPr>
        <w:t>Incurrence Based Amounts</w:t>
      </w:r>
      <w:r>
        <w:rPr>
          <w:rFonts w:ascii="Arial" w:cs="Arial" w:eastAsia="Arial" w:hAnsi="Arial"/>
          <w:sz w:val="16"/>
          <w:szCs w:val="16"/>
          <w:color w:val="000000"/>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Arial" w:cs="Arial" w:eastAsia="Arial" w:hAnsi="Arial"/>
          <w:sz w:val="16"/>
          <w:szCs w:val="16"/>
          <w:u w:val="single" w:color="auto"/>
          <w:color w:val="000000"/>
        </w:rPr>
        <w:t>Section 10.1</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10.2</w:t>
      </w:r>
      <w:r>
        <w:rPr>
          <w:rFonts w:ascii="Arial" w:cs="Arial" w:eastAsia="Arial" w:hAnsi="Arial"/>
          <w:sz w:val="16"/>
          <w:szCs w:val="16"/>
          <w:color w:val="000000"/>
        </w:rPr>
        <w:t>.</w:t>
      </w:r>
    </w:p>
    <w:p>
      <w:pPr>
        <w:spacing w:after="0" w:line="173" w:lineRule="exact"/>
        <w:rPr>
          <w:rFonts w:ascii="Arial" w:cs="Arial" w:eastAsia="Arial" w:hAnsi="Arial"/>
          <w:sz w:val="16"/>
          <w:szCs w:val="16"/>
          <w:color w:val="auto"/>
        </w:rPr>
      </w:pPr>
    </w:p>
    <w:p>
      <w:pPr>
        <w:ind w:right="20" w:firstLine="656"/>
        <w:spacing w:after="0" w:line="263" w:lineRule="auto"/>
        <w:tabs>
          <w:tab w:leader="none" w:pos="10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440" w:right="359" w:bottom="1440" w:gutter="0" w:footer="0" w:header="0"/>
        </w:sectPr>
      </w:pPr>
    </w:p>
    <w:bookmarkStart w:id="95" w:name="page96"/>
    <w:bookmarkEnd w:id="95"/>
    <w:p>
      <w:pPr>
        <w:spacing w:after="0" w:line="200" w:lineRule="exact"/>
        <w:rPr>
          <w:sz w:val="20"/>
          <w:szCs w:val="20"/>
          <w:color w:val="auto"/>
        </w:rPr>
      </w:pPr>
    </w:p>
    <w:p>
      <w:pPr>
        <w:spacing w:after="0" w:line="3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Investment, acquisition, merger, or consolidation which is being given Pro Forma Effect that have been or are expected to be realized;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any action being taken solely in connection with a Limited Condition Transaction, for purposes of:</w:t>
      </w:r>
    </w:p>
    <w:p>
      <w:pPr>
        <w:spacing w:after="0" w:line="225" w:lineRule="exact"/>
        <w:rPr>
          <w:sz w:val="20"/>
          <w:szCs w:val="20"/>
          <w:color w:val="auto"/>
        </w:rPr>
      </w:pPr>
    </w:p>
    <w:p>
      <w:pPr>
        <w:ind w:left="660" w:right="420" w:firstLine="903"/>
        <w:spacing w:after="0" w:line="277" w:lineRule="auto"/>
        <w:tabs>
          <w:tab w:leader="none" w:pos="19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determining compliance with any provision of this Agreement which requires the calculation of the Consolidated </w:t>
      </w:r>
      <w:r>
        <w:rPr>
          <w:rFonts w:ascii="Arial" w:cs="Arial" w:eastAsia="Arial" w:hAnsi="Arial"/>
          <w:sz w:val="18"/>
          <w:szCs w:val="18"/>
          <w:color w:val="FF0000"/>
          <w:strike w:val="1"/>
        </w:rPr>
        <w:t>First Lien</w:t>
      </w:r>
      <w:r>
        <w:rPr>
          <w:rFonts w:ascii="Arial" w:cs="Arial" w:eastAsia="Arial" w:hAnsi="Arial"/>
          <w:sz w:val="18"/>
          <w:szCs w:val="18"/>
          <w:color w:val="auto"/>
        </w:rPr>
        <w:t xml:space="preserve"> </w:t>
      </w:r>
      <w:r>
        <w:rPr>
          <w:rFonts w:ascii="Arial" w:cs="Arial" w:eastAsia="Arial" w:hAnsi="Arial"/>
          <w:sz w:val="18"/>
          <w:szCs w:val="18"/>
          <w:color w:val="FF0000"/>
          <w:strike w:val="1"/>
        </w:rPr>
        <w:t>Secured Debt to Consolidated EBITDA Ratio or Consolidated</w:t>
      </w:r>
      <w:r>
        <w:rPr>
          <w:rFonts w:ascii="Arial" w:cs="Arial" w:eastAsia="Arial" w:hAnsi="Arial"/>
          <w:sz w:val="18"/>
          <w:szCs w:val="18"/>
          <w:color w:val="FF0000"/>
        </w:rPr>
        <w:t xml:space="preserve"> </w:t>
      </w:r>
      <w:r>
        <w:rPr>
          <w:rFonts w:ascii="Arial" w:cs="Arial" w:eastAsia="Arial" w:hAnsi="Arial"/>
          <w:sz w:val="18"/>
          <w:szCs w:val="18"/>
          <w:color w:val="000000"/>
        </w:rPr>
        <w:t>Total Debt to Consolidated EBITDA Ratio; or</w:t>
      </w:r>
    </w:p>
    <w:p>
      <w:pPr>
        <w:spacing w:after="0" w:line="170" w:lineRule="exact"/>
        <w:rPr>
          <w:rFonts w:ascii="Arial" w:cs="Arial" w:eastAsia="Arial" w:hAnsi="Arial"/>
          <w:sz w:val="18"/>
          <w:szCs w:val="18"/>
          <w:color w:val="auto"/>
        </w:rPr>
      </w:pPr>
    </w:p>
    <w:p>
      <w:pPr>
        <w:jc w:val="both"/>
        <w:ind w:left="660" w:right="200" w:firstLine="903"/>
        <w:spacing w:after="0" w:line="263" w:lineRule="auto"/>
        <w:tabs>
          <w:tab w:leader="none" w:pos="19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other than for purposes of determining the satisfaction of the conditions precedent to extensions of credit under the Revolving Credit Commitment, determining the accuracy of representations and warranties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and/or whether a Default or Event of Default shall have occurred and be continuing under </w:t>
      </w:r>
      <w:r>
        <w:rPr>
          <w:rFonts w:ascii="Arial" w:cs="Arial" w:eastAsia="Arial" w:hAnsi="Arial"/>
          <w:sz w:val="18"/>
          <w:szCs w:val="18"/>
          <w:u w:val="single" w:color="auto"/>
          <w:color w:val="auto"/>
        </w:rPr>
        <w:t>Section 11</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660" w:right="500" w:firstLine="903"/>
        <w:spacing w:after="0" w:line="277" w:lineRule="auto"/>
        <w:tabs>
          <w:tab w:leader="none" w:pos="20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this agreement (including baskets measured as a percentage of Consolidated EBITDA or Consolidated Total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each case, at the option of the Borrower (the Borrower’s election to exercise such option in connection with any Limited Condition Transaction, an</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LCT Election</w:t>
      </w:r>
      <w:r>
        <w:rPr>
          <w:rFonts w:ascii="Arial" w:cs="Arial" w:eastAsia="Arial" w:hAnsi="Arial"/>
          <w:sz w:val="17"/>
          <w:szCs w:val="17"/>
          <w:color w:val="auto"/>
        </w:rPr>
        <w:t>”) (it being understood and agreed that the Borrower may elect to revoke any LCT Election in its sole discretion), the date of determination of whether any such action is permitted hereunder, shall be deemed to be the date the definitive agreements for such Limited Condition Transaction are entered into (the “</w:t>
      </w:r>
      <w:r>
        <w:rPr>
          <w:rFonts w:ascii="Arial" w:cs="Arial" w:eastAsia="Arial" w:hAnsi="Arial"/>
          <w:sz w:val="17"/>
          <w:szCs w:val="17"/>
          <w:b w:val="1"/>
          <w:bCs w:val="1"/>
          <w:color w:val="auto"/>
        </w:rPr>
        <w:t>LCT Test Date</w:t>
      </w:r>
      <w:r>
        <w:rPr>
          <w:rFonts w:ascii="Arial" w:cs="Arial" w:eastAsia="Arial" w:hAnsi="Arial"/>
          <w:sz w:val="17"/>
          <w:szCs w:val="17"/>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0" w:right="359" w:bottom="1440" w:gutter="0" w:footer="0" w:header="0"/>
        </w:sectPr>
      </w:pPr>
    </w:p>
    <w:bookmarkStart w:id="96" w:name="page97"/>
    <w:bookmarkEnd w:id="96"/>
    <w:p>
      <w:pPr>
        <w:spacing w:after="0" w:line="200" w:lineRule="exact"/>
        <w:rPr>
          <w:sz w:val="20"/>
          <w:szCs w:val="20"/>
          <w:color w:val="auto"/>
        </w:rPr>
      </w:pPr>
    </w:p>
    <w:p>
      <w:pPr>
        <w:spacing w:after="0" w:line="322"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w:t>
      </w:r>
    </w:p>
    <w:p>
      <w:pPr>
        <w:spacing w:after="0" w:line="157" w:lineRule="exact"/>
        <w:rPr>
          <w:sz w:val="20"/>
          <w:szCs w:val="20"/>
          <w:color w:val="auto"/>
        </w:rPr>
      </w:pPr>
    </w:p>
    <w:p>
      <w:pPr>
        <w:ind w:right="20" w:firstLine="656"/>
        <w:spacing w:after="0" w:line="259" w:lineRule="auto"/>
        <w:tabs>
          <w:tab w:leader="none" w:pos="10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EBITDA attributable to any such Person, business, assets or operations shall not be excluded for any purposes hereunder) until such disposition shall have been consummated.</w:t>
      </w:r>
    </w:p>
    <w:p>
      <w:pPr>
        <w:spacing w:after="0" w:line="186" w:lineRule="exact"/>
        <w:rPr>
          <w:rFonts w:ascii="Arial" w:cs="Arial" w:eastAsia="Arial" w:hAnsi="Arial"/>
          <w:sz w:val="18"/>
          <w:szCs w:val="18"/>
          <w:color w:val="auto"/>
        </w:rPr>
      </w:pPr>
    </w:p>
    <w:p>
      <w:pPr>
        <w:ind w:right="60" w:firstLine="656"/>
        <w:spacing w:after="0" w:line="277" w:lineRule="auto"/>
        <w:tabs>
          <w:tab w:leader="none" w:pos="10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determination of Consolidated Total Assets shall be made by reference to the last day of the Test Period most recently ended on or prior to the relevant date of determination.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an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 xml:space="preserve">. This Agreement shall amend and restate the Original Credit Agreement in its entirety, with the parties hereby agreeing that there is no novation of the Original Credit Agreement or any other Credit Document and from and after the effectiveness of this Agreement, the rights and obligations of the parties under the Original Credit Agreement shall be subsumed and governed by this Agreement. From and after the effectiveness of this Agreement, the Obligations under the Original Credit Agreement shall continue as Obligations under this Agreement and the Credit Documents until otherwise paid in accordance with the terms hereof. The Security Documents and the grant of Liens on all of the Collateral described therein do and shall continue to secure the payment of all Obligations. Without limiting the generality of the foregoing, the parties hereto acknowledge and agree that the Liens securing the “Obligations” as defined in the Original Credit Agreement, shall from and after the Restatement Effective Date secure the payment and performance of all Obligations for the benefit of the Collateral Agent and the Secured Parties, and all such Liens shall continue in full force and effect after giving effect to this Agreement and are hereby confirmed and reaffirmed by each of the Credit Parties. The parties hereto further acknowledge and agree that all “Collateral Documents” as defined in the Original Credit Agreement shall remain in full force and effect after the Restatement Effective Date in favor of and for the benefit of the Collateral Agent and the Secured Parties (with each reference therein to the collateral agent, the credit agreement or a credit document being a reference to the Collateral Agent, this Agreement or the other Credit Documents, as applicable), and each Credit Party hereby confirms and ratifies its obligations thereunder. For the avoidance of doubt, unless otherwise expressly provided herein, upon the Restatement Effective Date, any basket which permits a certain amount of a given type of transaction over the life of the Credit Agreement (however denominated) shall be reset such that any use of such baskets on or subsequent to the Closing Date but prior to the Restatement Effective Date shall be disregarded for purposes of testing such basket;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construed to (i) prohibit any transaction occurring prior to the Restatement Effective Date utilizing the corresponding baskets under the Original Credit Agreement or (ii) apply to the calculation of any adjustment to Consolidated EBITDA (or any related definition).</w:t>
      </w:r>
    </w:p>
    <w:p>
      <w:pPr>
        <w:spacing w:after="0" w:line="1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Amount and Terms of Credit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97" w:name="page98"/>
    <w:bookmarkEnd w:id="97"/>
    <w:p>
      <w:pPr>
        <w:spacing w:after="0" w:line="200" w:lineRule="exact"/>
        <w:rPr>
          <w:sz w:val="20"/>
          <w:szCs w:val="20"/>
          <w:color w:val="auto"/>
        </w:rPr>
      </w:pPr>
    </w:p>
    <w:p>
      <w:pPr>
        <w:spacing w:after="0" w:line="322" w:lineRule="exact"/>
        <w:rPr>
          <w:sz w:val="20"/>
          <w:szCs w:val="20"/>
          <w:color w:val="auto"/>
        </w:rPr>
      </w:pPr>
    </w:p>
    <w:p>
      <w:pPr>
        <w:ind w:left="-20" w:right="20" w:firstLine="656"/>
        <w:spacing w:after="0" w:line="271" w:lineRule="auto"/>
        <w:tabs>
          <w:tab w:leader="none" w:pos="1007"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Term A Loans</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and upon the terms and conditions of the Restatement Agreement and this Agreement, the Term A Lenders agree to make the Term A Loans to the Borrower on the Restatement Effective Date, which Term A Loans shall not exceed for any such Term A Lender the Term A Loan Commitment of such Lender and in the aggregate shall not exceed $420,000,000. Such Term Loans (i) may at the option of the Borrower be incurred and maintained as, and/or converted into, ABR Loans or LIBOR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Term Loans made by each of the Lenders pursuant to the same Borrowing shall, unless otherwise specifically provided herein, consist entirely of Term Loans of the same Type, (ii) may be repaid or prepaid in accordance with the provisions hereof, but once repaid or prepaid, may not be reborrowed, (iii) shall not exceed for any such Lender the Term A Loan Commitment of such Lender, and (iv) shall not exceed in the aggregate the Total Term A Loan Commitments. On the Term A Loan Maturity Date, all then unpaid Term A Loans shall be repaid in full in Dollars.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7" w:lineRule="exact"/>
        <w:rPr>
          <w:rFonts w:ascii="Arial" w:cs="Arial" w:eastAsia="Arial" w:hAnsi="Arial"/>
          <w:sz w:val="17"/>
          <w:szCs w:val="17"/>
          <w:color w:val="auto"/>
        </w:rPr>
      </w:pPr>
    </w:p>
    <w:p>
      <w:pPr>
        <w:ind w:left="-20" w:firstLine="656"/>
        <w:spacing w:after="0" w:line="286" w:lineRule="auto"/>
        <w:tabs>
          <w:tab w:leader="none" w:pos="1018"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each Revolving Credit Lender severally agrees to make Revolving Credit Loans denominated in Dollars to the Borrower from its applicable lending office (each, a “</w:t>
      </w:r>
      <w:r>
        <w:rPr>
          <w:rFonts w:ascii="Arial" w:cs="Arial" w:eastAsia="Arial" w:hAnsi="Arial"/>
          <w:sz w:val="16"/>
          <w:szCs w:val="16"/>
          <w:b w:val="1"/>
          <w:bCs w:val="1"/>
          <w:color w:val="auto"/>
        </w:rPr>
        <w:t>Revolving Credit Loan</w:t>
      </w:r>
      <w:r>
        <w:rPr>
          <w:rFonts w:ascii="Arial" w:cs="Arial" w:eastAsia="Arial" w:hAnsi="Arial"/>
          <w:sz w:val="16"/>
          <w:szCs w:val="16"/>
          <w:color w:val="auto"/>
        </w:rPr>
        <w:t xml:space="preserve">”) in an aggregate principal amount not to exceed at any time outstanding the amount of such Revolving Credit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foregoing such Revolving Credit Loans (A) shall be made at any time and from time to time on and after the Restatement Effective Date and prior to the Revolving Credit Maturity Date, (B) may, at the option of the Borrower be incurred and maintained as, and/or converted into, ABR Loans or LIBOR Loans that are Revolving Credit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spacing w:after="0" w:line="173" w:lineRule="exact"/>
        <w:rPr>
          <w:rFonts w:ascii="Arial" w:cs="Arial" w:eastAsia="Arial" w:hAnsi="Arial"/>
          <w:sz w:val="16"/>
          <w:szCs w:val="16"/>
          <w:color w:val="auto"/>
        </w:rPr>
      </w:pPr>
    </w:p>
    <w:p>
      <w:pPr>
        <w:ind w:left="-20" w:right="80" w:firstLine="656"/>
        <w:spacing w:after="0" w:line="288" w:lineRule="auto"/>
        <w:tabs>
          <w:tab w:leader="none" w:pos="1008"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the Swingline Lender in its individual capacity agrees, at any time and from time to time on and after the Restatement Effective Date and prior to the Swingline Maturity Date, to make a loan or loans (each, a “</w:t>
      </w:r>
      <w:r>
        <w:rPr>
          <w:rFonts w:ascii="Arial" w:cs="Arial" w:eastAsia="Arial" w:hAnsi="Arial"/>
          <w:sz w:val="16"/>
          <w:szCs w:val="16"/>
          <w:b w:val="1"/>
          <w:bCs w:val="1"/>
          <w:color w:val="auto"/>
        </w:rPr>
        <w:t>Swingline Loan</w:t>
      </w:r>
      <w:r>
        <w:rPr>
          <w:rFonts w:ascii="Arial" w:cs="Arial" w:eastAsia="Arial" w:hAnsi="Arial"/>
          <w:sz w:val="16"/>
          <w:szCs w:val="16"/>
          <w:color w:val="auto"/>
        </w:rPr>
        <w:t>” and, collectively the “</w:t>
      </w:r>
      <w:r>
        <w:rPr>
          <w:rFonts w:ascii="Arial" w:cs="Arial" w:eastAsia="Arial" w:hAnsi="Arial"/>
          <w:sz w:val="16"/>
          <w:szCs w:val="16"/>
          <w:b w:val="1"/>
          <w:bCs w:val="1"/>
          <w:color w:val="auto"/>
        </w:rPr>
        <w:t>Swingline Loans</w:t>
      </w:r>
      <w:r>
        <w:rPr>
          <w:rFonts w:ascii="Arial" w:cs="Arial" w:eastAsia="Arial" w:hAnsi="Arial"/>
          <w:sz w:val="16"/>
          <w:szCs w:val="16"/>
          <w:color w:val="auto"/>
        </w:rPr>
        <w:t xml:space="preserve">”) to the Borrower, which Swingline Loans (i) shall be ABR Loans, (ii) shall have the benefit of the provisions of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Revolving Credit Commitment then in effect,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Revolving Credit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20" w:firstLine="656"/>
        <w:spacing w:after="0" w:line="257" w:lineRule="auto"/>
        <w:tabs>
          <w:tab w:leader="none" w:pos="10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any Business Day, the Swingline Lender may, in its sole discretion, give notice to each Revolving Credit Lender that all then-outstanding Swingline Loans shall be funded with a Borrowing of Revolving Credit Loans, in which case (i) Revolving Credit Loans constituting ABR Loans shall be made on the immediately succeeding Business Day (each such Borrowing, a “</w:t>
      </w:r>
      <w:r>
        <w:rPr>
          <w:rFonts w:ascii="Arial" w:cs="Arial" w:eastAsia="Arial" w:hAnsi="Arial"/>
          <w:sz w:val="18"/>
          <w:szCs w:val="18"/>
          <w:b w:val="1"/>
          <w:bCs w:val="1"/>
          <w:color w:val="auto"/>
        </w:rPr>
        <w:t>Mandatory Borrowing</w:t>
      </w:r>
      <w:r>
        <w:rPr>
          <w:rFonts w:ascii="Arial" w:cs="Arial" w:eastAsia="Arial" w:hAnsi="Arial"/>
          <w:sz w:val="18"/>
          <w:szCs w:val="18"/>
          <w:color w:val="auto"/>
        </w:rPr>
        <w:t>”) by each Revolving Credit Lender pro rata based on each Revolving Credit Lender’s Revolving Credit Commitment Percentage, and the proceeds thereof shall be applied directly to the Swingline Lender to repay the Swingline Lender for such outstanding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40" w:top="1440" w:right="339" w:bottom="1440" w:gutter="0" w:footer="0" w:header="0"/>
        </w:sectPr>
      </w:pPr>
    </w:p>
    <w:bookmarkStart w:id="98" w:name="page99"/>
    <w:bookmarkEnd w:id="98"/>
    <w:p>
      <w:pPr>
        <w:spacing w:after="0" w:line="200" w:lineRule="exact"/>
        <w:rPr>
          <w:sz w:val="20"/>
          <w:szCs w:val="20"/>
          <w:color w:val="auto"/>
        </w:rPr>
      </w:pPr>
    </w:p>
    <w:p>
      <w:pPr>
        <w:spacing w:after="0" w:line="3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(ii) whether any conditions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spacing w:after="0" w:line="175" w:lineRule="exact"/>
        <w:rPr>
          <w:sz w:val="20"/>
          <w:szCs w:val="20"/>
          <w:color w:val="auto"/>
        </w:rPr>
      </w:pPr>
    </w:p>
    <w:p>
      <w:pPr>
        <w:ind w:firstLine="656"/>
        <w:spacing w:after="0" w:line="269" w:lineRule="auto"/>
        <w:tabs>
          <w:tab w:leader="none" w:pos="10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the maturity date shall have occurred in respect of any tranche of Revolving Credit Commitments (the “</w:t>
      </w:r>
      <w:r>
        <w:rPr>
          <w:rFonts w:ascii="Arial" w:cs="Arial" w:eastAsia="Arial" w:hAnsi="Arial"/>
          <w:sz w:val="17"/>
          <w:szCs w:val="17"/>
          <w:b w:val="1"/>
          <w:bCs w:val="1"/>
          <w:color w:val="auto"/>
        </w:rPr>
        <w:t>Expiring Credit Commitment</w:t>
      </w:r>
      <w:r>
        <w:rPr>
          <w:rFonts w:ascii="Arial" w:cs="Arial" w:eastAsia="Arial" w:hAnsi="Arial"/>
          <w:sz w:val="17"/>
          <w:szCs w:val="17"/>
          <w:color w:val="auto"/>
        </w:rPr>
        <w:t>”) at a time when another tranche or tranches of Revolving Credit Commitments is or are in effect with a longer maturity date (each a “</w:t>
      </w:r>
      <w:r>
        <w:rPr>
          <w:rFonts w:ascii="Arial" w:cs="Arial" w:eastAsia="Arial" w:hAnsi="Arial"/>
          <w:sz w:val="17"/>
          <w:szCs w:val="17"/>
          <w:b w:val="1"/>
          <w:bCs w:val="1"/>
          <w:color w:val="auto"/>
        </w:rPr>
        <w:t>Non-Expiring Credit</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w:t>
      </w:r>
      <w:r>
        <w:rPr>
          <w:rFonts w:ascii="Arial" w:cs="Arial" w:eastAsia="Arial" w:hAnsi="Arial"/>
          <w:sz w:val="17"/>
          <w:szCs w:val="17"/>
          <w:color w:val="auto"/>
        </w:rPr>
        <w:t>” and collectively, the “</w:t>
      </w:r>
      <w:r>
        <w:rPr>
          <w:rFonts w:ascii="Arial" w:cs="Arial" w:eastAsia="Arial" w:hAnsi="Arial"/>
          <w:sz w:val="17"/>
          <w:szCs w:val="17"/>
          <w:b w:val="1"/>
          <w:bCs w:val="1"/>
          <w:color w:val="auto"/>
        </w:rPr>
        <w:t>Non-Expiring Credit Commitments</w:t>
      </w:r>
      <w:r>
        <w:rPr>
          <w:rFonts w:ascii="Arial" w:cs="Arial" w:eastAsia="Arial" w:hAnsi="Arial"/>
          <w:sz w:val="17"/>
          <w:szCs w:val="17"/>
          <w:color w:val="auto"/>
        </w:rPr>
        <w:t>”), then with respect to each outstanding Swingline Loan, if consented to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spacing w:after="0" w:line="183"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Minimum Amount of Each Borrowing; Maximum Number of Borrowings</w:t>
      </w:r>
      <w:r>
        <w:rPr>
          <w:rFonts w:ascii="Arial" w:cs="Arial" w:eastAsia="Arial" w:hAnsi="Arial"/>
          <w:sz w:val="17"/>
          <w:szCs w:val="17"/>
          <w:color w:val="auto"/>
        </w:rPr>
        <w:t xml:space="preserve">. The aggregate principal amount of each Borrowing of Term Loans or Revolving Credit Loans shall be in a minimum amount of at least the Minimum Borrowing Amount for such Type of Loans and in a multiple of $100,000 in excess thereof and Swingline Loans shall be in a minimum amount of $500,000 and in a multiple of $100,000 in excess thereof (except that Mandatory Borrowings shall be made in the amounts required by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and Revolving Credit Loans to reimburse the Letter of Credit Issuer with respect to any Unpaid Drawing shall be made in the amounts required by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as applicable). More than one Borrowing may be incurred on any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there be outstanding more than five Borrowings of LIBOR Loans that are Term Loans and ten Borrowings of LIBOR Loans that are Revolving Credit Loans under this Agreement.</w:t>
      </w:r>
    </w:p>
    <w:p>
      <w:pPr>
        <w:spacing w:after="0" w:line="17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225" w:lineRule="exact"/>
        <w:rPr>
          <w:sz w:val="20"/>
          <w:szCs w:val="20"/>
          <w:color w:val="auto"/>
        </w:rPr>
      </w:pPr>
    </w:p>
    <w:p>
      <w:pPr>
        <w:ind w:right="20" w:firstLine="656"/>
        <w:spacing w:after="0" w:line="255" w:lineRule="auto"/>
        <w:tabs>
          <w:tab w:leader="none" w:pos="10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Borrower shall give the Administrative Agent at the Administrative Agent’s Office prior to 12:00 p.m. (New York City time) (i) in the case of a Borrowing of Term A Loans that are to be ABR Loans, at least one Business Day’s prior written Notice </w:t>
      </w:r>
      <w:r>
        <w:rPr>
          <w:rFonts w:ascii="Arial" w:cs="Arial" w:eastAsia="Arial" w:hAnsi="Arial"/>
          <w:sz w:val="18"/>
          <w:szCs w:val="18"/>
          <w:u w:val="single" w:color="auto"/>
          <w:color w:val="0000FF"/>
        </w:rPr>
        <w:t>of Borrowing</w:t>
      </w:r>
      <w:r>
        <w:rPr>
          <w:rFonts w:ascii="Arial" w:cs="Arial" w:eastAsia="Arial" w:hAnsi="Arial"/>
          <w:sz w:val="18"/>
          <w:szCs w:val="18"/>
          <w:color w:val="auto"/>
        </w:rPr>
        <w:t xml:space="preserve"> and (ii) in the case of a Borrowing of Term A Loans to be made on the Restatement Effective Date if such Term A Loans are to be LIBOR Loans, at least two Business Day’s prior written Notice </w:t>
      </w:r>
      <w:r>
        <w:rPr>
          <w:rFonts w:ascii="Arial" w:cs="Arial" w:eastAsia="Arial" w:hAnsi="Arial"/>
          <w:sz w:val="18"/>
          <w:szCs w:val="18"/>
          <w:color w:val="0000FF"/>
        </w:rPr>
        <w:t>of Borrowing</w:t>
      </w:r>
      <w:r>
        <w:rPr>
          <w:rFonts w:ascii="Arial" w:cs="Arial" w:eastAsia="Arial" w:hAnsi="Arial"/>
          <w:sz w:val="18"/>
          <w:szCs w:val="18"/>
          <w:color w:val="auto"/>
        </w:rPr>
        <w:t xml:space="preserve">. Such </w:t>
      </w:r>
      <w:r>
        <w:rPr>
          <w:rFonts w:ascii="Arial" w:cs="Arial" w:eastAsia="Arial" w:hAnsi="Arial"/>
          <w:sz w:val="18"/>
          <w:szCs w:val="18"/>
          <w:color w:val="FF0000"/>
          <w:strike w:val="1"/>
        </w:rPr>
        <w:t>notice (a “</w:t>
      </w:r>
      <w:r>
        <w:rPr>
          <w:rFonts w:ascii="Arial" w:cs="Arial" w:eastAsia="Arial" w:hAnsi="Arial"/>
          <w:sz w:val="18"/>
          <w:szCs w:val="18"/>
          <w:color w:val="auto"/>
        </w:rPr>
        <w:t>Notice of Borrowing</w:t>
      </w:r>
      <w:r>
        <w:rPr>
          <w:rFonts w:ascii="Arial" w:cs="Arial" w:eastAsia="Arial" w:hAnsi="Arial"/>
          <w:sz w:val="18"/>
          <w:szCs w:val="18"/>
          <w:color w:val="FF0000"/>
          <w:strike w:val="1"/>
        </w:rPr>
        <w:t>”)</w:t>
      </w:r>
      <w:r>
        <w:rPr>
          <w:rFonts w:ascii="Arial" w:cs="Arial" w:eastAsia="Arial" w:hAnsi="Arial"/>
          <w:sz w:val="18"/>
          <w:szCs w:val="18"/>
          <w:color w:val="auto"/>
        </w:rPr>
        <w:t xml:space="preserve"> shall specify (A) the aggregate principal amount of the Term Loans to be made, (B) the date of the Borrowing (which shall be the Restatement Effective Date) and (C) whether the Term A Loans shall consist of ABR Loans and/or LIBOR Loans and, if the Term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-305435</wp:posOffset>
            </wp:positionV>
            <wp:extent cx="647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Loans are to include LIBOR Loans, the Interest Period to be initially applicable thereto. A Notice of Borrowing may be in such other form as may be approved by the Administrative Agent (including any form on an electronic platform or electronic transmission system as shall be approved by the Administrative Agent), appropriately completed and signed by an Authorized Officer of the Borrower. A Notice of Borrowing may be given by (x) telephone or (y) a written Notice of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Administrative Agent of a written Notice of Borrowing</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If no election as to the Type of Borrowing is specified in any such notice, then the requested Borrowing shall be an ABR Borrowing. If no Interest Period with respect to any Borrowing of LIBOR Loans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the contents thereof), and of each Lender’s pro rata share of the requested Borrowing.</w:t>
      </w:r>
    </w:p>
    <w:p>
      <w:pPr>
        <w:spacing w:after="0" w:line="178" w:lineRule="exact"/>
        <w:rPr>
          <w:sz w:val="20"/>
          <w:szCs w:val="20"/>
          <w:color w:val="auto"/>
        </w:rPr>
      </w:pPr>
    </w:p>
    <w:p>
      <w:pPr>
        <w:ind w:right="120" w:firstLine="656"/>
        <w:spacing w:after="0" w:line="269" w:lineRule="auto"/>
        <w:tabs>
          <w:tab w:leader="none" w:pos="1034"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Whenever the Borrower desires to incur Revolving Credit Loans (other than Mandatory Borrowings or borrowings to repay Unpaid Drawings), the Borrower shall give the Administrative Agent at the Administrative Agent’s Office, (i) prior to 12:00 noon (New York City Time) at least three Business Days’ prior written notice of each Borrowing of LIBOR Loans that are Revolving Credit Loans and (ii) prior to 10:00 a.m. (New York City time) on the day of such Borrowing prior written notice of each Borrowing of Revolving Credit Loans that are ABR Loans. Such Notice may be given by telephone;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Administrative Agent of a Notice of Borrowing. Each such Notice of Borrowing, except as otherwise expressly provided in </w:t>
      </w:r>
      <w:r>
        <w:rPr>
          <w:rFonts w:ascii="Arial" w:cs="Arial" w:eastAsia="Arial" w:hAnsi="Arial"/>
          <w:sz w:val="17"/>
          <w:szCs w:val="17"/>
          <w:u w:val="single" w:color="auto"/>
          <w:color w:val="auto"/>
        </w:rPr>
        <w:t>Section 2.10</w:t>
      </w:r>
      <w:r>
        <w:rPr>
          <w:rFonts w:ascii="Arial" w:cs="Arial" w:eastAsia="Arial" w:hAnsi="Arial"/>
          <w:sz w:val="17"/>
          <w:szCs w:val="17"/>
          <w:color w:val="auto"/>
        </w:rPr>
        <w:t>, shall specify (x) the aggregate principal amount of the Revolving Credit Loans to be made pursuant to such Borrowing, (y) the date of Borrowing (which shall be a Business Day) and (z) whether the respective Borrowing shall consist of ABR Loans or LIBOR Loans that are Revolving Credit Loans and, if LIBOR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spacing w:after="0" w:line="181" w:lineRule="exact"/>
        <w:rPr>
          <w:rFonts w:ascii="Arial" w:cs="Arial" w:eastAsia="Arial" w:hAnsi="Arial"/>
          <w:sz w:val="17"/>
          <w:szCs w:val="17"/>
          <w:color w:val="auto"/>
        </w:rPr>
      </w:pPr>
    </w:p>
    <w:p>
      <w:pPr>
        <w:ind w:firstLine="656"/>
        <w:spacing w:after="0" w:line="259" w:lineRule="auto"/>
        <w:tabs>
          <w:tab w:leader="none" w:pos="10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Whenever the Borrower desires to incur Swingline Loans hereunder, the Borrower shall give the Swingline Lender written notice with a copy to the Administrative Agent of each Borrowing of Swingline Loans prior to 2:00 p.m. (New York City time) on the date of such Borrowing. Each such notice shall specify (x) the aggregate principal amount of the Swingline Loans to be made pursuant to such Borrowing and (y) the date of Borrowing (which shall be a Business Day).</w:t>
      </w:r>
    </w:p>
    <w:p>
      <w:pPr>
        <w:spacing w:after="0" w:line="186" w:lineRule="exact"/>
        <w:rPr>
          <w:rFonts w:ascii="Arial" w:cs="Arial" w:eastAsia="Arial" w:hAnsi="Arial"/>
          <w:sz w:val="18"/>
          <w:szCs w:val="18"/>
          <w:color w:val="auto"/>
        </w:rPr>
      </w:pPr>
    </w:p>
    <w:p>
      <w:pPr>
        <w:ind w:right="160" w:firstLine="656"/>
        <w:spacing w:after="0" w:line="277" w:lineRule="auto"/>
        <w:tabs>
          <w:tab w:leader="none" w:pos="10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Mandatory Borrowings shall be made upon the notice specified in </w:t>
      </w:r>
      <w:r>
        <w:rPr>
          <w:rFonts w:ascii="Arial" w:cs="Arial" w:eastAsia="Arial" w:hAnsi="Arial"/>
          <w:sz w:val="18"/>
          <w:szCs w:val="18"/>
          <w:u w:val="single" w:color="auto"/>
          <w:color w:val="auto"/>
        </w:rPr>
        <w:t>Section 2.1(d)</w:t>
      </w:r>
      <w:r>
        <w:rPr>
          <w:rFonts w:ascii="Arial" w:cs="Arial" w:eastAsia="Arial" w:hAnsi="Arial"/>
          <w:sz w:val="18"/>
          <w:szCs w:val="18"/>
          <w:color w:val="auto"/>
        </w:rPr>
        <w:t>, with the Borrower irrevocably agreeing, by its incurrence of any Swingline Loan, to the making of Mandatory Borrowings as set forth in such Section.</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Borrowings to reimburse Unpaid Drawings shall be made upon the notice specified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656"/>
        <w:spacing w:after="0" w:line="263" w:lineRule="auto"/>
        <w:tabs>
          <w:tab w:leader="none" w:pos="10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Holdings or the Borrower.</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Disbursement of Funds</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79" w:lineRule="auto"/>
        <w:tabs>
          <w:tab w:leader="none" w:pos="10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No later than 2:00 p.m. (New York City time) on the date specified in each Notice of Borrowing (including Mandatory Borrowings), each Lender shall make available its pro rata portion, if any, of each Borrowing requested to be made on such date in the manner provided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the Restatement Effective Date, such funds may be made available at such earlier time as may be agreed among the Lenders, Holdings, and the Administrative Agent for the purpose of consummating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all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shall be made available to the Borrower in the full amount thereof by the Swingline Lender no later than 4:00 p.m. (New York City time).</w:t>
      </w:r>
    </w:p>
    <w:p>
      <w:pPr>
        <w:spacing w:after="0" w:line="225" w:lineRule="exact"/>
        <w:rPr>
          <w:sz w:val="20"/>
          <w:szCs w:val="20"/>
          <w:color w:val="auto"/>
        </w:rPr>
      </w:pPr>
    </w:p>
    <w:p>
      <w:pPr>
        <w:ind w:firstLine="656"/>
        <w:spacing w:after="0" w:line="268" w:lineRule="auto"/>
        <w:tabs>
          <w:tab w:leader="none" w:pos="1038"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Each Lender shall make available all amounts it is to fund to the Borrower under any Borrowing for its applicable Commitments, in Dollars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Holdings or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for the respective Loans.</w:t>
      </w:r>
    </w:p>
    <w:p>
      <w:pPr>
        <w:spacing w:after="0" w:line="179" w:lineRule="exact"/>
        <w:rPr>
          <w:rFonts w:ascii="Arial" w:cs="Arial" w:eastAsia="Arial" w:hAnsi="Arial"/>
          <w:sz w:val="17"/>
          <w:szCs w:val="17"/>
          <w:color w:val="auto"/>
        </w:rPr>
      </w:pPr>
    </w:p>
    <w:p>
      <w:pPr>
        <w:ind w:firstLine="656"/>
        <w:spacing w:after="0" w:line="263" w:lineRule="auto"/>
        <w:tabs>
          <w:tab w:leader="none" w:pos="10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83" w:lineRule="exact"/>
        <w:rPr>
          <w:rFonts w:ascii="Arial" w:cs="Arial" w:eastAsia="Arial" w:hAnsi="Arial"/>
          <w:sz w:val="18"/>
          <w:szCs w:val="18"/>
          <w:color w:val="auto"/>
        </w:rPr>
      </w:pPr>
    </w:p>
    <w:p>
      <w:pPr>
        <w:ind w:right="720" w:firstLine="656"/>
        <w:spacing w:after="0" w:line="279" w:lineRule="auto"/>
        <w:tabs>
          <w:tab w:leader="none" w:pos="1038" w:val="left"/>
        </w:tabs>
        <w:numPr>
          <w:ilvl w:val="0"/>
          <w:numId w:val="6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Unless the Administrative Agent shall have received notice from the Borrower prior to the date on which any payment is due to the Administrative Agent for the account of the Lenders or any Letter of Credit Issuer hereunder that the Borrower will not make such payment, the Administrative Agent may assume that the Borrower has made such payment on such date in accordance herewith and may, in reliance upon such assumption, distribute to the Lenders or the applicable Letter of Credit Issuers, as the case may be, the amount due.</w:t>
      </w:r>
    </w:p>
    <w:p>
      <w:pPr>
        <w:spacing w:after="0" w:line="171" w:lineRule="exact"/>
        <w:rPr>
          <w:sz w:val="20"/>
          <w:szCs w:val="20"/>
          <w:color w:val="auto"/>
        </w:rPr>
      </w:pPr>
    </w:p>
    <w:p>
      <w:pPr>
        <w:ind w:right="60" w:firstLine="1296"/>
        <w:spacing w:after="0" w:line="270" w:lineRule="auto"/>
        <w:rPr>
          <w:sz w:val="20"/>
          <w:szCs w:val="20"/>
          <w:color w:val="auto"/>
        </w:rPr>
      </w:pPr>
      <w:r>
        <w:rPr>
          <w:rFonts w:ascii="Arial" w:cs="Arial" w:eastAsia="Arial" w:hAnsi="Arial"/>
          <w:sz w:val="17"/>
          <w:szCs w:val="17"/>
          <w:u w:val="single" w:color="auto"/>
          <w:color w:val="0000FF"/>
        </w:rPr>
        <w:t xml:space="preserve">With respect to any payment that the Administrative Agent makes for the account of the Lenders or any Letter of Credit Issuer hereunder as to which the Administrative Agent </w:t>
      </w:r>
      <w:r>
        <w:rPr>
          <w:rFonts w:ascii="Arial" w:cs="Arial" w:eastAsia="Arial" w:hAnsi="Arial"/>
          <w:sz w:val="17"/>
          <w:szCs w:val="17"/>
          <w:u w:val="single" w:color="auto"/>
          <w:color w:val="008000"/>
        </w:rPr>
        <w:t>determines (which determination shall be conclusive absent manifest error)</w:t>
      </w:r>
      <w:r>
        <w:rPr>
          <w:rFonts w:ascii="Arial" w:cs="Arial" w:eastAsia="Arial" w:hAnsi="Arial"/>
          <w:sz w:val="17"/>
          <w:szCs w:val="17"/>
          <w:u w:val="single" w:color="auto"/>
          <w:color w:val="0000FF"/>
        </w:rPr>
        <w:t xml:space="preserve"> that any of the following applies (such payment referred to as the “</w:t>
      </w:r>
      <w:r>
        <w:rPr>
          <w:rFonts w:ascii="Arial" w:cs="Arial" w:eastAsia="Arial" w:hAnsi="Arial"/>
          <w:sz w:val="17"/>
          <w:szCs w:val="17"/>
          <w:b w:val="1"/>
          <w:bCs w:val="1"/>
          <w:u w:val="single" w:color="auto"/>
          <w:color w:val="0000FF"/>
        </w:rPr>
        <w:t>Rescindable Amount</w:t>
      </w:r>
      <w:r>
        <w:rPr>
          <w:rFonts w:ascii="Arial" w:cs="Arial" w:eastAsia="Arial" w:hAnsi="Arial"/>
          <w:sz w:val="17"/>
          <w:szCs w:val="17"/>
          <w:u w:val="single" w:color="auto"/>
          <w:color w:val="0000FF"/>
        </w:rPr>
        <w:t xml:space="preserve">”) : (1) the Borrower has not in fact made such payment; (2) </w:t>
      </w:r>
      <w:r>
        <w:rPr>
          <w:rFonts w:ascii="Arial" w:cs="Arial" w:eastAsia="Arial" w:hAnsi="Arial"/>
          <w:sz w:val="17"/>
          <w:szCs w:val="17"/>
          <w:u w:val="single" w:color="auto"/>
          <w:color w:val="008000"/>
        </w:rPr>
        <w:t>the Administrative Agent has made a</w:t>
      </w:r>
      <w:r>
        <w:rPr>
          <w:rFonts w:ascii="Arial" w:cs="Arial" w:eastAsia="Arial" w:hAnsi="Arial"/>
          <w:sz w:val="17"/>
          <w:szCs w:val="17"/>
          <w:u w:val="single" w:color="auto"/>
          <w:color w:val="0000FF"/>
        </w:rPr>
        <w:t xml:space="preserve"> payment in excess of the amount so paid by the Borrower (whether or not then owed); or (3) the Administrative agent has for any reason otherwise erroneously made such payment; then each of the Lenders or the applicable Letter of Credit Issuer, as the case may be, severally agrees to repay to the Administrative Agent forthwith within one Business Day of demand the Rescindable Amount so distributed to such Lender or such Letter of Credit Issuer, in immediately available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1"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u w:val="single" w:color="auto"/>
          <w:color w:val="0000FF"/>
        </w:rPr>
        <w:t>A notice of the Administrative Agent to any Lender or the Borrower with respect to any amount owing under this clause (d)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200" w:lineRule="exact"/>
        <w:rPr>
          <w:sz w:val="20"/>
          <w:szCs w:val="20"/>
          <w:color w:val="auto"/>
        </w:rPr>
      </w:pPr>
    </w:p>
    <w:p>
      <w:pPr>
        <w:spacing w:after="0" w:line="322"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jc w:val="both"/>
        <w:ind w:left="-40" w:right="40" w:firstLine="656"/>
        <w:spacing w:after="0" w:line="263" w:lineRule="auto"/>
        <w:tabs>
          <w:tab w:leader="none" w:pos="9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applicable Lenders, on the Term A Loan Maturity Date, the then outstanding Term A Loans. The Borrower shall repay to the Administrative Agent for the benefit of the Revolving Credit Lenders, on the Revolving Credit Maturity Date, the then outstanding Revolving Credit Loans.</w:t>
      </w:r>
    </w:p>
    <w:p>
      <w:pPr>
        <w:spacing w:after="0" w:line="183" w:lineRule="exact"/>
        <w:rPr>
          <w:rFonts w:ascii="Arial" w:cs="Arial" w:eastAsia="Arial" w:hAnsi="Arial"/>
          <w:sz w:val="18"/>
          <w:szCs w:val="18"/>
          <w:color w:val="auto"/>
        </w:rPr>
      </w:pPr>
    </w:p>
    <w:p>
      <w:pPr>
        <w:ind w:left="-40" w:firstLine="656"/>
        <w:spacing w:after="0" w:line="259" w:lineRule="auto"/>
        <w:tabs>
          <w:tab w:leader="none" w:pos="9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Term A Lenders, (x) on each date set forth below (or if not a Business Day the immediately preceding Business Day) (each, a “</w:t>
      </w:r>
      <w:r>
        <w:rPr>
          <w:rFonts w:ascii="Arial" w:cs="Arial" w:eastAsia="Arial" w:hAnsi="Arial"/>
          <w:sz w:val="18"/>
          <w:szCs w:val="18"/>
          <w:b w:val="1"/>
          <w:bCs w:val="1"/>
          <w:color w:val="auto"/>
        </w:rPr>
        <w:t>Term A Loan Repayment Date</w:t>
      </w:r>
      <w:r>
        <w:rPr>
          <w:rFonts w:ascii="Arial" w:cs="Arial" w:eastAsia="Arial" w:hAnsi="Arial"/>
          <w:sz w:val="18"/>
          <w:szCs w:val="18"/>
          <w:color w:val="auto"/>
        </w:rPr>
        <w:t>”), a principal amount equal to the applicable amount set forth below opposite such Term A Loan Repayment Date and (y) on the Term A Loan Maturity Date, any remaining outstanding amount of Term A Loans (each, a “</w:t>
      </w:r>
      <w:r>
        <w:rPr>
          <w:rFonts w:ascii="Arial" w:cs="Arial" w:eastAsia="Arial" w:hAnsi="Arial"/>
          <w:sz w:val="18"/>
          <w:szCs w:val="18"/>
          <w:b w:val="1"/>
          <w:bCs w:val="1"/>
          <w:color w:val="auto"/>
        </w:rPr>
        <w:t>Term A Loan Repayment Amount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2"/>
              </w:rPr>
              <w:t>Term A Loan Repayment Date</w:t>
            </w:r>
          </w:p>
        </w:tc>
        <w:tc>
          <w:tcPr>
            <w:tcW w:w="4820" w:type="dxa"/>
            <w:vAlign w:val="bottom"/>
            <w:gridSpan w:val="3"/>
          </w:tcPr>
          <w:p>
            <w:pPr>
              <w:ind w:left="1100"/>
              <w:spacing w:after="0"/>
              <w:rPr>
                <w:sz w:val="20"/>
                <w:szCs w:val="20"/>
                <w:color w:val="auto"/>
              </w:rPr>
            </w:pPr>
            <w:r>
              <w:rPr>
                <w:rFonts w:ascii="Arial" w:cs="Arial" w:eastAsia="Arial" w:hAnsi="Arial"/>
                <w:sz w:val="18"/>
                <w:szCs w:val="18"/>
                <w:b w:val="1"/>
                <w:bCs w:val="1"/>
                <w:color w:val="auto"/>
              </w:rPr>
              <w:t>Term A Loan Repayment Amount</w:t>
            </w:r>
          </w:p>
        </w:tc>
      </w:tr>
      <w:tr>
        <w:trPr>
          <w:trHeight w:val="229"/>
        </w:trPr>
        <w:tc>
          <w:tcPr>
            <w:tcW w:w="4380" w:type="dxa"/>
            <w:vAlign w:val="bottom"/>
            <w:shd w:val="clear" w:color="auto" w:fill="FFDEAD"/>
          </w:tcPr>
          <w:p>
            <w:pPr>
              <w:jc w:val="center"/>
              <w:spacing w:after="0"/>
              <w:rPr>
                <w:sz w:val="20"/>
                <w:szCs w:val="20"/>
                <w:color w:val="auto"/>
              </w:rPr>
            </w:pPr>
            <w:r>
              <w:rPr>
                <w:rFonts w:ascii="Arial" w:cs="Arial" w:eastAsia="Arial" w:hAnsi="Arial"/>
                <w:sz w:val="18"/>
                <w:szCs w:val="18"/>
                <w:color w:val="FF0000"/>
                <w:strike w:val="1"/>
                <w:w w:val="89"/>
              </w:rPr>
              <w:t>December 27, 2019</w:t>
            </w:r>
          </w:p>
        </w:tc>
        <w:tc>
          <w:tcPr>
            <w:tcW w:w="2880" w:type="dxa"/>
            <w:vAlign w:val="bottom"/>
            <w:gridSpan w:val="2"/>
            <w:shd w:val="clear" w:color="auto" w:fill="FFDEAD"/>
          </w:tcPr>
          <w:p>
            <w:pPr>
              <w:jc w:val="right"/>
              <w:spacing w:after="0"/>
              <w:rPr>
                <w:sz w:val="20"/>
                <w:szCs w:val="20"/>
                <w:color w:val="auto"/>
              </w:rPr>
            </w:pPr>
            <w:r>
              <w:rPr>
                <w:rFonts w:ascii="Arial" w:cs="Arial" w:eastAsia="Arial" w:hAnsi="Arial"/>
                <w:sz w:val="18"/>
                <w:szCs w:val="18"/>
                <w:color w:val="FF0000"/>
                <w:strike w:val="1"/>
              </w:rPr>
              <w:t>$2,625,000</w:t>
            </w:r>
          </w:p>
        </w:tc>
        <w:tc>
          <w:tcPr>
            <w:tcW w:w="1940" w:type="dxa"/>
            <w:vAlign w:val="bottom"/>
            <w:shd w:val="clear" w:color="auto" w:fill="FFDEAD"/>
          </w:tcPr>
          <w:p>
            <w:pPr>
              <w:spacing w:after="0"/>
              <w:rPr>
                <w:sz w:val="19"/>
                <w:szCs w:val="19"/>
                <w:color w:val="auto"/>
              </w:rPr>
            </w:pPr>
          </w:p>
        </w:tc>
      </w:tr>
      <w:tr>
        <w:trPr>
          <w:trHeight w:val="229"/>
        </w:trPr>
        <w:tc>
          <w:tcPr>
            <w:tcW w:w="4380" w:type="dxa"/>
            <w:vAlign w:val="bottom"/>
            <w:shd w:val="clear" w:color="auto" w:fill="FFDEAD"/>
          </w:tcPr>
          <w:p>
            <w:pPr>
              <w:jc w:val="center"/>
              <w:spacing w:after="0"/>
              <w:rPr>
                <w:sz w:val="20"/>
                <w:szCs w:val="20"/>
                <w:color w:val="auto"/>
              </w:rPr>
            </w:pPr>
            <w:r>
              <w:rPr>
                <w:rFonts w:ascii="Arial" w:cs="Arial" w:eastAsia="Arial" w:hAnsi="Arial"/>
                <w:sz w:val="18"/>
                <w:szCs w:val="18"/>
                <w:color w:val="FF0000"/>
                <w:strike w:val="1"/>
                <w:w w:val="91"/>
              </w:rPr>
              <w:t>March 27, 2020</w:t>
            </w:r>
          </w:p>
        </w:tc>
        <w:tc>
          <w:tcPr>
            <w:tcW w:w="2880" w:type="dxa"/>
            <w:vAlign w:val="bottom"/>
            <w:gridSpan w:val="2"/>
            <w:shd w:val="clear" w:color="auto" w:fill="FFDEAD"/>
          </w:tcPr>
          <w:p>
            <w:pPr>
              <w:jc w:val="right"/>
              <w:spacing w:after="0"/>
              <w:rPr>
                <w:sz w:val="20"/>
                <w:szCs w:val="20"/>
                <w:color w:val="auto"/>
              </w:rPr>
            </w:pPr>
            <w:r>
              <w:rPr>
                <w:rFonts w:ascii="Arial" w:cs="Arial" w:eastAsia="Arial" w:hAnsi="Arial"/>
                <w:sz w:val="18"/>
                <w:szCs w:val="18"/>
                <w:color w:val="FF0000"/>
                <w:strike w:val="1"/>
              </w:rPr>
              <w:t>$2,625,000</w:t>
            </w:r>
          </w:p>
        </w:tc>
        <w:tc>
          <w:tcPr>
            <w:tcW w:w="1940" w:type="dxa"/>
            <w:vAlign w:val="bottom"/>
            <w:shd w:val="clear" w:color="auto" w:fill="FFDEAD"/>
          </w:tcPr>
          <w:p>
            <w:pPr>
              <w:spacing w:after="0"/>
              <w:rPr>
                <w:sz w:val="19"/>
                <w:szCs w:val="19"/>
                <w:color w:val="auto"/>
              </w:rPr>
            </w:pPr>
          </w:p>
        </w:tc>
      </w:tr>
      <w:tr>
        <w:trPr>
          <w:trHeight w:val="229"/>
        </w:trPr>
        <w:tc>
          <w:tcPr>
            <w:tcW w:w="4380" w:type="dxa"/>
            <w:vAlign w:val="bottom"/>
            <w:shd w:val="clear" w:color="auto" w:fill="FFDEAD"/>
          </w:tcPr>
          <w:p>
            <w:pPr>
              <w:jc w:val="center"/>
              <w:spacing w:after="0"/>
              <w:rPr>
                <w:sz w:val="20"/>
                <w:szCs w:val="20"/>
                <w:color w:val="auto"/>
              </w:rPr>
            </w:pPr>
            <w:r>
              <w:rPr>
                <w:rFonts w:ascii="Arial" w:cs="Arial" w:eastAsia="Arial" w:hAnsi="Arial"/>
                <w:sz w:val="18"/>
                <w:szCs w:val="18"/>
                <w:color w:val="FF0000"/>
                <w:strike w:val="1"/>
                <w:w w:val="87"/>
              </w:rPr>
              <w:t>June 26, 2020</w:t>
            </w:r>
          </w:p>
        </w:tc>
        <w:tc>
          <w:tcPr>
            <w:tcW w:w="2880" w:type="dxa"/>
            <w:vAlign w:val="bottom"/>
            <w:gridSpan w:val="2"/>
            <w:shd w:val="clear" w:color="auto" w:fill="FFDEAD"/>
          </w:tcPr>
          <w:p>
            <w:pPr>
              <w:jc w:val="right"/>
              <w:spacing w:after="0"/>
              <w:rPr>
                <w:sz w:val="20"/>
                <w:szCs w:val="20"/>
                <w:color w:val="auto"/>
              </w:rPr>
            </w:pPr>
            <w:r>
              <w:rPr>
                <w:rFonts w:ascii="Arial" w:cs="Arial" w:eastAsia="Arial" w:hAnsi="Arial"/>
                <w:sz w:val="18"/>
                <w:szCs w:val="18"/>
                <w:color w:val="FF0000"/>
                <w:strike w:val="1"/>
              </w:rPr>
              <w:t>$2,625,000</w:t>
            </w:r>
          </w:p>
        </w:tc>
        <w:tc>
          <w:tcPr>
            <w:tcW w:w="1940" w:type="dxa"/>
            <w:vAlign w:val="bottom"/>
            <w:shd w:val="clear" w:color="auto" w:fill="FFDEAD"/>
          </w:tcPr>
          <w:p>
            <w:pPr>
              <w:spacing w:after="0"/>
              <w:rPr>
                <w:sz w:val="19"/>
                <w:szCs w:val="19"/>
                <w:color w:val="auto"/>
              </w:rPr>
            </w:pPr>
          </w:p>
        </w:tc>
      </w:tr>
      <w:tr>
        <w:trPr>
          <w:trHeight w:val="229"/>
        </w:trPr>
        <w:tc>
          <w:tcPr>
            <w:tcW w:w="4380" w:type="dxa"/>
            <w:vAlign w:val="bottom"/>
            <w:shd w:val="clear" w:color="auto" w:fill="FFDEAD"/>
          </w:tcPr>
          <w:p>
            <w:pPr>
              <w:jc w:val="center"/>
              <w:spacing w:after="0"/>
              <w:rPr>
                <w:sz w:val="20"/>
                <w:szCs w:val="20"/>
                <w:color w:val="auto"/>
              </w:rPr>
            </w:pPr>
            <w:r>
              <w:rPr>
                <w:rFonts w:ascii="Arial" w:cs="Arial" w:eastAsia="Arial" w:hAnsi="Arial"/>
                <w:sz w:val="18"/>
                <w:szCs w:val="18"/>
                <w:color w:val="FF0000"/>
                <w:strike w:val="1"/>
                <w:w w:val="88"/>
              </w:rPr>
              <w:t>September 25, 2020</w:t>
            </w:r>
          </w:p>
        </w:tc>
        <w:tc>
          <w:tcPr>
            <w:tcW w:w="2880" w:type="dxa"/>
            <w:vAlign w:val="bottom"/>
            <w:gridSpan w:val="2"/>
            <w:shd w:val="clear" w:color="auto" w:fill="FFDEAD"/>
          </w:tcPr>
          <w:p>
            <w:pPr>
              <w:jc w:val="right"/>
              <w:spacing w:after="0"/>
              <w:rPr>
                <w:sz w:val="20"/>
                <w:szCs w:val="20"/>
                <w:color w:val="auto"/>
              </w:rPr>
            </w:pPr>
            <w:r>
              <w:rPr>
                <w:rFonts w:ascii="Arial" w:cs="Arial" w:eastAsia="Arial" w:hAnsi="Arial"/>
                <w:sz w:val="18"/>
                <w:szCs w:val="18"/>
                <w:color w:val="FF0000"/>
                <w:strike w:val="1"/>
              </w:rPr>
              <w:t>$2,625,000</w:t>
            </w:r>
          </w:p>
        </w:tc>
        <w:tc>
          <w:tcPr>
            <w:tcW w:w="1940" w:type="dxa"/>
            <w:vAlign w:val="bottom"/>
            <w:shd w:val="clear" w:color="auto" w:fill="FFDEAD"/>
          </w:tcPr>
          <w:p>
            <w:pPr>
              <w:spacing w:after="0"/>
              <w:rPr>
                <w:sz w:val="19"/>
                <w:szCs w:val="19"/>
                <w:color w:val="auto"/>
              </w:rPr>
            </w:pPr>
          </w:p>
        </w:tc>
      </w:tr>
      <w:tr>
        <w:trPr>
          <w:trHeight w:val="230"/>
        </w:trPr>
        <w:tc>
          <w:tcPr>
            <w:tcW w:w="4380" w:type="dxa"/>
            <w:vAlign w:val="bottom"/>
            <w:shd w:val="clear" w:color="auto" w:fill="FFDEAD"/>
          </w:tcPr>
          <w:p>
            <w:pPr>
              <w:jc w:val="center"/>
              <w:spacing w:after="0"/>
              <w:rPr>
                <w:sz w:val="20"/>
                <w:szCs w:val="20"/>
                <w:color w:val="auto"/>
              </w:rPr>
            </w:pPr>
            <w:r>
              <w:rPr>
                <w:rFonts w:ascii="Arial" w:cs="Arial" w:eastAsia="Arial" w:hAnsi="Arial"/>
                <w:sz w:val="18"/>
                <w:szCs w:val="18"/>
                <w:color w:val="FF0000"/>
                <w:strike w:val="1"/>
                <w:w w:val="88"/>
              </w:rPr>
              <w:t>January 1, 2021</w:t>
            </w:r>
          </w:p>
        </w:tc>
        <w:tc>
          <w:tcPr>
            <w:tcW w:w="2880" w:type="dxa"/>
            <w:vAlign w:val="bottom"/>
            <w:gridSpan w:val="2"/>
            <w:shd w:val="clear" w:color="auto" w:fill="FFDEAD"/>
          </w:tcPr>
          <w:p>
            <w:pPr>
              <w:jc w:val="right"/>
              <w:spacing w:after="0"/>
              <w:rPr>
                <w:sz w:val="20"/>
                <w:szCs w:val="20"/>
                <w:color w:val="auto"/>
              </w:rPr>
            </w:pPr>
            <w:r>
              <w:rPr>
                <w:rFonts w:ascii="Arial" w:cs="Arial" w:eastAsia="Arial" w:hAnsi="Arial"/>
                <w:sz w:val="18"/>
                <w:szCs w:val="18"/>
                <w:color w:val="FF0000"/>
                <w:strike w:val="1"/>
              </w:rPr>
              <w:t>$2,625,000</w:t>
            </w:r>
          </w:p>
        </w:tc>
        <w:tc>
          <w:tcPr>
            <w:tcW w:w="1940" w:type="dxa"/>
            <w:vAlign w:val="bottom"/>
            <w:shd w:val="clear" w:color="auto" w:fill="FFDEAD"/>
          </w:tcPr>
          <w:p>
            <w:pPr>
              <w:spacing w:after="0"/>
              <w:rPr>
                <w:sz w:val="20"/>
                <w:szCs w:val="20"/>
                <w:color w:val="auto"/>
              </w:rPr>
            </w:pPr>
          </w:p>
        </w:tc>
      </w:tr>
      <w:tr>
        <w:trPr>
          <w:trHeight w:val="203"/>
        </w:trPr>
        <w:tc>
          <w:tcPr>
            <w:tcW w:w="4380" w:type="dxa"/>
            <w:vAlign w:val="bottom"/>
          </w:tcPr>
          <w:p>
            <w:pPr>
              <w:jc w:val="center"/>
              <w:spacing w:after="0" w:line="202" w:lineRule="exact"/>
              <w:rPr>
                <w:sz w:val="20"/>
                <w:szCs w:val="20"/>
                <w:color w:val="auto"/>
              </w:rPr>
            </w:pPr>
            <w:r>
              <w:rPr>
                <w:rFonts w:ascii="Arial" w:cs="Arial" w:eastAsia="Arial" w:hAnsi="Arial"/>
                <w:sz w:val="18"/>
                <w:szCs w:val="18"/>
                <w:color w:val="auto"/>
                <w:w w:val="94"/>
              </w:rPr>
              <w:t>April 2, 2021</w:t>
            </w:r>
          </w:p>
        </w:tc>
        <w:tc>
          <w:tcPr>
            <w:tcW w:w="276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$2,625,000</w:t>
            </w:r>
          </w:p>
        </w:tc>
        <w:tc>
          <w:tcPr>
            <w:tcW w:w="120" w:type="dxa"/>
            <w:vAlign w:val="bottom"/>
            <w:tcBorders>
              <w:bottom w:val="single" w:sz="8" w:color="0000FF"/>
            </w:tcBorders>
          </w:tcPr>
          <w:p>
            <w:pPr>
              <w:jc w:val="right"/>
              <w:spacing w:after="0" w:line="202" w:lineRule="exact"/>
              <w:rPr>
                <w:sz w:val="20"/>
                <w:szCs w:val="20"/>
                <w:color w:val="auto"/>
              </w:rPr>
            </w:pPr>
            <w:r>
              <w:rPr>
                <w:rFonts w:ascii="Arial" w:cs="Arial" w:eastAsia="Arial" w:hAnsi="Arial"/>
                <w:sz w:val="18"/>
                <w:szCs w:val="18"/>
                <w:color w:val="0000FF"/>
                <w:w w:val="82"/>
              </w:rPr>
              <w:t>--</w:t>
            </w:r>
          </w:p>
        </w:tc>
        <w:tc>
          <w:tcPr>
            <w:tcW w:w="1940" w:type="dxa"/>
            <w:vAlign w:val="bottom"/>
          </w:tcPr>
          <w:p>
            <w:pPr>
              <w:spacing w:after="0"/>
              <w:rPr>
                <w:sz w:val="17"/>
                <w:szCs w:val="17"/>
                <w:color w:val="auto"/>
              </w:rPr>
            </w:pPr>
          </w:p>
        </w:tc>
      </w:tr>
      <w:tr>
        <w:trPr>
          <w:trHeight w:val="250"/>
        </w:trPr>
        <w:tc>
          <w:tcPr>
            <w:tcW w:w="4380" w:type="dxa"/>
            <w:vAlign w:val="bottom"/>
          </w:tcPr>
          <w:p>
            <w:pPr>
              <w:jc w:val="center"/>
              <w:spacing w:after="0"/>
              <w:rPr>
                <w:sz w:val="20"/>
                <w:szCs w:val="20"/>
                <w:color w:val="auto"/>
              </w:rPr>
            </w:pPr>
            <w:r>
              <w:rPr>
                <w:rFonts w:ascii="Arial" w:cs="Arial" w:eastAsia="Arial" w:hAnsi="Arial"/>
                <w:sz w:val="18"/>
                <w:szCs w:val="18"/>
                <w:color w:val="auto"/>
                <w:w w:val="90"/>
              </w:rPr>
              <w:t>July 2, 2021</w:t>
            </w:r>
          </w:p>
        </w:tc>
        <w:tc>
          <w:tcPr>
            <w:tcW w:w="2760" w:type="dxa"/>
            <w:vAlign w:val="bottom"/>
          </w:tcPr>
          <w:p>
            <w:pPr>
              <w:jc w:val="right"/>
              <w:spacing w:after="0"/>
              <w:rPr>
                <w:sz w:val="20"/>
                <w:szCs w:val="20"/>
                <w:color w:val="auto"/>
              </w:rPr>
            </w:pPr>
            <w:r>
              <w:rPr>
                <w:rFonts w:ascii="Arial" w:cs="Arial" w:eastAsia="Arial" w:hAnsi="Arial"/>
                <w:sz w:val="18"/>
                <w:szCs w:val="18"/>
                <w:color w:val="FF0000"/>
                <w:strike w:val="1"/>
              </w:rPr>
              <w:t>$2,625,000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c>
          <w:tcPr>
            <w:tcW w:w="1940" w:type="dxa"/>
            <w:vAlign w:val="bottom"/>
          </w:tcPr>
          <w:p>
            <w:pPr>
              <w:spacing w:after="0"/>
              <w:rPr>
                <w:sz w:val="21"/>
                <w:szCs w:val="21"/>
                <w:color w:val="auto"/>
              </w:rPr>
            </w:pPr>
          </w:p>
        </w:tc>
      </w:tr>
      <w:tr>
        <w:trPr>
          <w:trHeight w:val="250"/>
        </w:trPr>
        <w:tc>
          <w:tcPr>
            <w:tcW w:w="4380" w:type="dxa"/>
            <w:vAlign w:val="bottom"/>
          </w:tcPr>
          <w:p>
            <w:pPr>
              <w:jc w:val="center"/>
              <w:spacing w:after="0"/>
              <w:rPr>
                <w:sz w:val="20"/>
                <w:szCs w:val="20"/>
                <w:color w:val="auto"/>
              </w:rPr>
            </w:pPr>
            <w:r>
              <w:rPr>
                <w:rFonts w:ascii="Arial" w:cs="Arial" w:eastAsia="Arial" w:hAnsi="Arial"/>
                <w:sz w:val="18"/>
                <w:szCs w:val="18"/>
                <w:color w:val="auto"/>
                <w:w w:val="89"/>
              </w:rPr>
              <w:t>October 1, 2021</w:t>
            </w:r>
          </w:p>
        </w:tc>
        <w:tc>
          <w:tcPr>
            <w:tcW w:w="2760" w:type="dxa"/>
            <w:vAlign w:val="bottom"/>
          </w:tcPr>
          <w:p>
            <w:pPr>
              <w:jc w:val="right"/>
              <w:spacing w:after="0"/>
              <w:rPr>
                <w:sz w:val="20"/>
                <w:szCs w:val="20"/>
                <w:color w:val="auto"/>
              </w:rPr>
            </w:pPr>
            <w:r>
              <w:rPr>
                <w:rFonts w:ascii="Arial" w:cs="Arial" w:eastAsia="Arial" w:hAnsi="Arial"/>
                <w:sz w:val="18"/>
                <w:szCs w:val="18"/>
                <w:color w:val="FF0000"/>
                <w:strike w:val="1"/>
              </w:rPr>
              <w:t>$2,625,000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c>
          <w:tcPr>
            <w:tcW w:w="1940" w:type="dxa"/>
            <w:vAlign w:val="bottom"/>
          </w:tcPr>
          <w:p>
            <w:pPr>
              <w:spacing w:after="0"/>
              <w:rPr>
                <w:sz w:val="21"/>
                <w:szCs w:val="21"/>
                <w:color w:val="auto"/>
              </w:rPr>
            </w:pPr>
          </w:p>
        </w:tc>
      </w:tr>
      <w:tr>
        <w:trPr>
          <w:trHeight w:val="250"/>
        </w:trPr>
        <w:tc>
          <w:tcPr>
            <w:tcW w:w="4380" w:type="dxa"/>
            <w:vAlign w:val="bottom"/>
          </w:tcPr>
          <w:p>
            <w:pPr>
              <w:jc w:val="center"/>
              <w:spacing w:after="0"/>
              <w:rPr>
                <w:sz w:val="20"/>
                <w:szCs w:val="20"/>
                <w:color w:val="auto"/>
              </w:rPr>
            </w:pPr>
            <w:r>
              <w:rPr>
                <w:rFonts w:ascii="Arial" w:cs="Arial" w:eastAsia="Arial" w:hAnsi="Arial"/>
                <w:sz w:val="18"/>
                <w:szCs w:val="18"/>
                <w:color w:val="auto"/>
                <w:w w:val="89"/>
              </w:rPr>
              <w:t>December 31, 2021</w:t>
            </w:r>
          </w:p>
        </w:tc>
        <w:tc>
          <w:tcPr>
            <w:tcW w:w="2760" w:type="dxa"/>
            <w:vAlign w:val="bottom"/>
          </w:tcPr>
          <w:p>
            <w:pPr>
              <w:jc w:val="right"/>
              <w:spacing w:after="0"/>
              <w:rPr>
                <w:sz w:val="20"/>
                <w:szCs w:val="20"/>
                <w:color w:val="auto"/>
              </w:rPr>
            </w:pPr>
            <w:r>
              <w:rPr>
                <w:rFonts w:ascii="Arial" w:cs="Arial" w:eastAsia="Arial" w:hAnsi="Arial"/>
                <w:sz w:val="18"/>
                <w:szCs w:val="18"/>
                <w:color w:val="FF0000"/>
                <w:strike w:val="1"/>
              </w:rPr>
              <w:t>$2,625,000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c>
          <w:tcPr>
            <w:tcW w:w="1940" w:type="dxa"/>
            <w:vAlign w:val="bottom"/>
          </w:tcPr>
          <w:p>
            <w:pPr>
              <w:spacing w:after="0"/>
              <w:rPr>
                <w:sz w:val="21"/>
                <w:szCs w:val="21"/>
                <w:color w:val="auto"/>
              </w:rPr>
            </w:pPr>
          </w:p>
        </w:tc>
      </w:tr>
      <w:tr>
        <w:trPr>
          <w:trHeight w:val="250"/>
        </w:trPr>
        <w:tc>
          <w:tcPr>
            <w:tcW w:w="4380" w:type="dxa"/>
            <w:vAlign w:val="bottom"/>
          </w:tcPr>
          <w:p>
            <w:pPr>
              <w:jc w:val="center"/>
              <w:spacing w:after="0"/>
              <w:rPr>
                <w:sz w:val="20"/>
                <w:szCs w:val="20"/>
                <w:color w:val="auto"/>
              </w:rPr>
            </w:pPr>
            <w:r>
              <w:rPr>
                <w:rFonts w:ascii="Arial" w:cs="Arial" w:eastAsia="Arial" w:hAnsi="Arial"/>
                <w:sz w:val="18"/>
                <w:szCs w:val="18"/>
                <w:color w:val="auto"/>
                <w:w w:val="94"/>
              </w:rPr>
              <w:t>April 1, 2022</w:t>
            </w:r>
          </w:p>
        </w:tc>
        <w:tc>
          <w:tcPr>
            <w:tcW w:w="2760" w:type="dxa"/>
            <w:vAlign w:val="bottom"/>
          </w:tcPr>
          <w:p>
            <w:pPr>
              <w:jc w:val="right"/>
              <w:spacing w:after="0"/>
              <w:rPr>
                <w:sz w:val="20"/>
                <w:szCs w:val="20"/>
                <w:color w:val="auto"/>
              </w:rPr>
            </w:pPr>
            <w:r>
              <w:rPr>
                <w:rFonts w:ascii="Arial" w:cs="Arial" w:eastAsia="Arial" w:hAnsi="Arial"/>
                <w:sz w:val="18"/>
                <w:szCs w:val="18"/>
                <w:color w:val="FF0000"/>
                <w:strike w:val="1"/>
              </w:rPr>
              <w:t>$2,625,000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c>
          <w:tcPr>
            <w:tcW w:w="1940" w:type="dxa"/>
            <w:vAlign w:val="bottom"/>
          </w:tcPr>
          <w:p>
            <w:pPr>
              <w:spacing w:after="0"/>
              <w:rPr>
                <w:sz w:val="21"/>
                <w:szCs w:val="21"/>
                <w:color w:val="auto"/>
              </w:rPr>
            </w:pPr>
          </w:p>
        </w:tc>
      </w:tr>
      <w:tr>
        <w:trPr>
          <w:trHeight w:val="250"/>
        </w:trPr>
        <w:tc>
          <w:tcPr>
            <w:tcW w:w="4380" w:type="dxa"/>
            <w:vAlign w:val="bottom"/>
          </w:tcPr>
          <w:p>
            <w:pPr>
              <w:jc w:val="center"/>
              <w:spacing w:after="0"/>
              <w:rPr>
                <w:sz w:val="20"/>
                <w:szCs w:val="20"/>
                <w:color w:val="auto"/>
              </w:rPr>
            </w:pPr>
            <w:r>
              <w:rPr>
                <w:rFonts w:ascii="Arial" w:cs="Arial" w:eastAsia="Arial" w:hAnsi="Arial"/>
                <w:sz w:val="18"/>
                <w:szCs w:val="18"/>
                <w:color w:val="auto"/>
                <w:w w:val="90"/>
              </w:rPr>
              <w:t>July 1, 2022</w:t>
            </w:r>
          </w:p>
        </w:tc>
        <w:tc>
          <w:tcPr>
            <w:tcW w:w="2760" w:type="dxa"/>
            <w:vAlign w:val="bottom"/>
          </w:tcPr>
          <w:p>
            <w:pPr>
              <w:jc w:val="right"/>
              <w:spacing w:after="0"/>
              <w:rPr>
                <w:sz w:val="20"/>
                <w:szCs w:val="20"/>
                <w:color w:val="auto"/>
              </w:rPr>
            </w:pPr>
            <w:r>
              <w:rPr>
                <w:rFonts w:ascii="Arial" w:cs="Arial" w:eastAsia="Arial" w:hAnsi="Arial"/>
                <w:sz w:val="18"/>
                <w:szCs w:val="18"/>
                <w:color w:val="FF0000"/>
                <w:strike w:val="1"/>
              </w:rPr>
              <w:t>$2,625,000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c>
          <w:tcPr>
            <w:tcW w:w="1940" w:type="dxa"/>
            <w:vAlign w:val="bottom"/>
          </w:tcPr>
          <w:p>
            <w:pPr>
              <w:spacing w:after="0"/>
              <w:rPr>
                <w:sz w:val="21"/>
                <w:szCs w:val="21"/>
                <w:color w:val="auto"/>
              </w:rPr>
            </w:pPr>
          </w:p>
        </w:tc>
      </w:tr>
      <w:tr>
        <w:trPr>
          <w:trHeight w:val="250"/>
        </w:trPr>
        <w:tc>
          <w:tcPr>
            <w:tcW w:w="4380" w:type="dxa"/>
            <w:vAlign w:val="bottom"/>
          </w:tcPr>
          <w:p>
            <w:pPr>
              <w:jc w:val="center"/>
              <w:spacing w:after="0"/>
              <w:rPr>
                <w:sz w:val="20"/>
                <w:szCs w:val="20"/>
                <w:color w:val="auto"/>
              </w:rPr>
            </w:pPr>
            <w:r>
              <w:rPr>
                <w:rFonts w:ascii="Arial" w:cs="Arial" w:eastAsia="Arial" w:hAnsi="Arial"/>
                <w:sz w:val="18"/>
                <w:szCs w:val="18"/>
                <w:color w:val="auto"/>
                <w:w w:val="88"/>
              </w:rPr>
              <w:t>September 30, 2022</w:t>
            </w:r>
          </w:p>
        </w:tc>
        <w:tc>
          <w:tcPr>
            <w:tcW w:w="2760" w:type="dxa"/>
            <w:vAlign w:val="bottom"/>
          </w:tcPr>
          <w:p>
            <w:pPr>
              <w:jc w:val="right"/>
              <w:spacing w:after="0"/>
              <w:rPr>
                <w:sz w:val="20"/>
                <w:szCs w:val="20"/>
                <w:color w:val="auto"/>
              </w:rPr>
            </w:pPr>
            <w:r>
              <w:rPr>
                <w:rFonts w:ascii="Arial" w:cs="Arial" w:eastAsia="Arial" w:hAnsi="Arial"/>
                <w:sz w:val="18"/>
                <w:szCs w:val="18"/>
                <w:color w:val="FF0000"/>
                <w:strike w:val="1"/>
              </w:rPr>
              <w:t>$2,625,000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c>
          <w:tcPr>
            <w:tcW w:w="1940" w:type="dxa"/>
            <w:vAlign w:val="bottom"/>
          </w:tcPr>
          <w:p>
            <w:pPr>
              <w:spacing w:after="0"/>
              <w:rPr>
                <w:sz w:val="21"/>
                <w:szCs w:val="21"/>
                <w:color w:val="auto"/>
              </w:rPr>
            </w:pPr>
          </w:p>
        </w:tc>
      </w:tr>
      <w:tr>
        <w:trPr>
          <w:trHeight w:val="250"/>
        </w:trPr>
        <w:tc>
          <w:tcPr>
            <w:tcW w:w="4380" w:type="dxa"/>
            <w:vAlign w:val="bottom"/>
          </w:tcPr>
          <w:p>
            <w:pPr>
              <w:jc w:val="center"/>
              <w:spacing w:after="0"/>
              <w:rPr>
                <w:sz w:val="20"/>
                <w:szCs w:val="20"/>
                <w:color w:val="auto"/>
              </w:rPr>
            </w:pPr>
            <w:r>
              <w:rPr>
                <w:rFonts w:ascii="Arial" w:cs="Arial" w:eastAsia="Arial" w:hAnsi="Arial"/>
                <w:sz w:val="18"/>
                <w:szCs w:val="18"/>
                <w:color w:val="auto"/>
                <w:w w:val="89"/>
              </w:rPr>
              <w:t>December 30, 2022</w:t>
            </w:r>
          </w:p>
        </w:tc>
        <w:tc>
          <w:tcPr>
            <w:tcW w:w="2760" w:type="dxa"/>
            <w:vAlign w:val="bottom"/>
          </w:tcPr>
          <w:p>
            <w:pPr>
              <w:jc w:val="right"/>
              <w:spacing w:after="0"/>
              <w:rPr>
                <w:sz w:val="20"/>
                <w:szCs w:val="20"/>
                <w:color w:val="auto"/>
              </w:rPr>
            </w:pPr>
            <w:r>
              <w:rPr>
                <w:rFonts w:ascii="Arial" w:cs="Arial" w:eastAsia="Arial" w:hAnsi="Arial"/>
                <w:sz w:val="18"/>
                <w:szCs w:val="18"/>
                <w:color w:val="FF0000"/>
                <w:strike w:val="1"/>
              </w:rPr>
              <w:t>$5,250,000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c>
          <w:tcPr>
            <w:tcW w:w="19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360" w:top="1440" w:right="359" w:bottom="1440" w:gutter="0" w:footer="0" w:header="0"/>
        </w:sectPr>
      </w:pPr>
    </w:p>
    <w:bookmarkStart w:id="102" w:name="page103"/>
    <w:bookmarkEnd w:id="102"/>
    <w:p>
      <w:pPr>
        <w:spacing w:after="0" w:line="200" w:lineRule="exact"/>
        <w:rPr>
          <w:sz w:val="20"/>
          <w:szCs w:val="20"/>
          <w:color w:val="auto"/>
        </w:rPr>
      </w:pPr>
    </w:p>
    <w:p>
      <w:pPr>
        <w:spacing w:after="0" w:line="359" w:lineRule="exact"/>
        <w:rPr>
          <w:sz w:val="20"/>
          <w:szCs w:val="20"/>
          <w:color w:val="auto"/>
        </w:rPr>
      </w:pPr>
    </w:p>
    <w:tbl>
      <w:tblPr>
        <w:tblLayout w:type="fixed"/>
        <w:tblInd w:w="2480" w:type="dxa"/>
        <w:tblCellMar>
          <w:top w:w="0" w:type="dxa"/>
          <w:left w:w="0" w:type="dxa"/>
          <w:bottom w:w="0" w:type="dxa"/>
          <w:right w:w="0" w:type="dxa"/>
        </w:tblCellMar>
      </w:tblPr>
      <w:tr>
        <w:trPr>
          <w:trHeight w:val="207"/>
        </w:trPr>
        <w:tc>
          <w:tcPr>
            <w:tcW w:w="4860" w:type="dxa"/>
            <w:vAlign w:val="bottom"/>
          </w:tcPr>
          <w:p>
            <w:pPr>
              <w:jc w:val="center"/>
              <w:ind w:right="3350"/>
              <w:spacing w:after="0"/>
              <w:rPr>
                <w:sz w:val="20"/>
                <w:szCs w:val="20"/>
                <w:color w:val="auto"/>
              </w:rPr>
            </w:pPr>
            <w:r>
              <w:rPr>
                <w:rFonts w:ascii="Arial" w:cs="Arial" w:eastAsia="Arial" w:hAnsi="Arial"/>
                <w:sz w:val="18"/>
                <w:szCs w:val="18"/>
                <w:color w:val="auto"/>
                <w:w w:val="91"/>
              </w:rPr>
              <w:t>March 31, 2023</w:t>
            </w:r>
          </w:p>
        </w:tc>
        <w:tc>
          <w:tcPr>
            <w:tcW w:w="800" w:type="dxa"/>
            <w:vAlign w:val="bottom"/>
          </w:tcPr>
          <w:p>
            <w:pPr>
              <w:jc w:val="right"/>
              <w:spacing w:after="0"/>
              <w:rPr>
                <w:sz w:val="20"/>
                <w:szCs w:val="20"/>
                <w:color w:val="auto"/>
              </w:rPr>
            </w:pPr>
            <w:r>
              <w:rPr>
                <w:rFonts w:ascii="Arial" w:cs="Arial" w:eastAsia="Arial" w:hAnsi="Arial"/>
                <w:sz w:val="18"/>
                <w:szCs w:val="18"/>
                <w:color w:val="FF0000"/>
                <w:strike w:val="1"/>
                <w:w w:val="86"/>
              </w:rPr>
              <w:t>$5,250,000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r>
      <w:tr>
        <w:trPr>
          <w:trHeight w:val="250"/>
        </w:trPr>
        <w:tc>
          <w:tcPr>
            <w:tcW w:w="4860" w:type="dxa"/>
            <w:vAlign w:val="bottom"/>
          </w:tcPr>
          <w:p>
            <w:pPr>
              <w:jc w:val="center"/>
              <w:ind w:right="3330"/>
              <w:spacing w:after="0"/>
              <w:rPr>
                <w:sz w:val="20"/>
                <w:szCs w:val="20"/>
                <w:color w:val="auto"/>
              </w:rPr>
            </w:pPr>
            <w:r>
              <w:rPr>
                <w:rFonts w:ascii="Arial" w:cs="Arial" w:eastAsia="Arial" w:hAnsi="Arial"/>
                <w:sz w:val="18"/>
                <w:szCs w:val="18"/>
                <w:color w:val="auto"/>
                <w:w w:val="87"/>
              </w:rPr>
              <w:t>June 30, 2023</w:t>
            </w:r>
          </w:p>
        </w:tc>
        <w:tc>
          <w:tcPr>
            <w:tcW w:w="800" w:type="dxa"/>
            <w:vAlign w:val="bottom"/>
          </w:tcPr>
          <w:p>
            <w:pPr>
              <w:jc w:val="right"/>
              <w:spacing w:after="0"/>
              <w:rPr>
                <w:sz w:val="20"/>
                <w:szCs w:val="20"/>
                <w:color w:val="auto"/>
              </w:rPr>
            </w:pPr>
            <w:r>
              <w:rPr>
                <w:rFonts w:ascii="Arial" w:cs="Arial" w:eastAsia="Arial" w:hAnsi="Arial"/>
                <w:sz w:val="18"/>
                <w:szCs w:val="18"/>
                <w:color w:val="FF0000"/>
                <w:strike w:val="1"/>
                <w:w w:val="86"/>
              </w:rPr>
              <w:t>$5,250,000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r>
      <w:tr>
        <w:trPr>
          <w:trHeight w:val="250"/>
        </w:trPr>
        <w:tc>
          <w:tcPr>
            <w:tcW w:w="4860" w:type="dxa"/>
            <w:vAlign w:val="bottom"/>
          </w:tcPr>
          <w:p>
            <w:pPr>
              <w:jc w:val="center"/>
              <w:ind w:right="3330"/>
              <w:spacing w:after="0"/>
              <w:rPr>
                <w:sz w:val="20"/>
                <w:szCs w:val="20"/>
                <w:color w:val="auto"/>
              </w:rPr>
            </w:pPr>
            <w:r>
              <w:rPr>
                <w:rFonts w:ascii="Arial" w:cs="Arial" w:eastAsia="Arial" w:hAnsi="Arial"/>
                <w:sz w:val="18"/>
                <w:szCs w:val="18"/>
                <w:color w:val="auto"/>
                <w:w w:val="88"/>
              </w:rPr>
              <w:t>September 29, 2023</w:t>
            </w:r>
          </w:p>
        </w:tc>
        <w:tc>
          <w:tcPr>
            <w:tcW w:w="800" w:type="dxa"/>
            <w:vAlign w:val="bottom"/>
          </w:tcPr>
          <w:p>
            <w:pPr>
              <w:jc w:val="right"/>
              <w:spacing w:after="0"/>
              <w:rPr>
                <w:sz w:val="20"/>
                <w:szCs w:val="20"/>
                <w:color w:val="auto"/>
              </w:rPr>
            </w:pPr>
            <w:r>
              <w:rPr>
                <w:rFonts w:ascii="Arial" w:cs="Arial" w:eastAsia="Arial" w:hAnsi="Arial"/>
                <w:sz w:val="18"/>
                <w:szCs w:val="18"/>
                <w:color w:val="FF0000"/>
                <w:strike w:val="1"/>
                <w:w w:val="86"/>
              </w:rPr>
              <w:t>$5,250,000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r>
      <w:tr>
        <w:trPr>
          <w:trHeight w:val="250"/>
        </w:trPr>
        <w:tc>
          <w:tcPr>
            <w:tcW w:w="4860" w:type="dxa"/>
            <w:vAlign w:val="bottom"/>
          </w:tcPr>
          <w:p>
            <w:pPr>
              <w:jc w:val="center"/>
              <w:ind w:right="3350"/>
              <w:spacing w:after="0"/>
              <w:rPr>
                <w:sz w:val="20"/>
                <w:szCs w:val="20"/>
                <w:color w:val="auto"/>
              </w:rPr>
            </w:pPr>
            <w:r>
              <w:rPr>
                <w:rFonts w:ascii="Arial" w:cs="Arial" w:eastAsia="Arial" w:hAnsi="Arial"/>
                <w:sz w:val="18"/>
                <w:szCs w:val="18"/>
                <w:color w:val="auto"/>
                <w:w w:val="89"/>
              </w:rPr>
              <w:t>December 29, 2023</w:t>
            </w:r>
          </w:p>
        </w:tc>
        <w:tc>
          <w:tcPr>
            <w:tcW w:w="800" w:type="dxa"/>
            <w:vAlign w:val="bottom"/>
          </w:tcPr>
          <w:p>
            <w:pPr>
              <w:jc w:val="right"/>
              <w:spacing w:after="0"/>
              <w:rPr>
                <w:sz w:val="20"/>
                <w:szCs w:val="20"/>
                <w:color w:val="auto"/>
              </w:rPr>
            </w:pPr>
            <w:r>
              <w:rPr>
                <w:rFonts w:ascii="Arial" w:cs="Arial" w:eastAsia="Arial" w:hAnsi="Arial"/>
                <w:sz w:val="18"/>
                <w:szCs w:val="18"/>
                <w:color w:val="FF0000"/>
                <w:strike w:val="1"/>
                <w:w w:val="86"/>
              </w:rPr>
              <w:t>$5,250,000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r>
      <w:tr>
        <w:trPr>
          <w:trHeight w:val="250"/>
        </w:trPr>
        <w:tc>
          <w:tcPr>
            <w:tcW w:w="4860" w:type="dxa"/>
            <w:vAlign w:val="bottom"/>
          </w:tcPr>
          <w:p>
            <w:pPr>
              <w:jc w:val="center"/>
              <w:ind w:right="3350"/>
              <w:spacing w:after="0"/>
              <w:rPr>
                <w:sz w:val="20"/>
                <w:szCs w:val="20"/>
                <w:color w:val="auto"/>
              </w:rPr>
            </w:pPr>
            <w:r>
              <w:rPr>
                <w:rFonts w:ascii="Arial" w:cs="Arial" w:eastAsia="Arial" w:hAnsi="Arial"/>
                <w:sz w:val="18"/>
                <w:szCs w:val="18"/>
                <w:color w:val="auto"/>
                <w:w w:val="91"/>
              </w:rPr>
              <w:t>March 29, 2024</w:t>
            </w:r>
          </w:p>
        </w:tc>
        <w:tc>
          <w:tcPr>
            <w:tcW w:w="800" w:type="dxa"/>
            <w:vAlign w:val="bottom"/>
          </w:tcPr>
          <w:p>
            <w:pPr>
              <w:jc w:val="right"/>
              <w:spacing w:after="0"/>
              <w:rPr>
                <w:sz w:val="20"/>
                <w:szCs w:val="20"/>
                <w:color w:val="auto"/>
              </w:rPr>
            </w:pPr>
            <w:r>
              <w:rPr>
                <w:rFonts w:ascii="Arial" w:cs="Arial" w:eastAsia="Arial" w:hAnsi="Arial"/>
                <w:sz w:val="18"/>
                <w:szCs w:val="18"/>
                <w:color w:val="FF0000"/>
                <w:strike w:val="1"/>
                <w:w w:val="86"/>
              </w:rPr>
              <w:t>$5,250,000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r>
      <w:tr>
        <w:trPr>
          <w:trHeight w:val="250"/>
        </w:trPr>
        <w:tc>
          <w:tcPr>
            <w:tcW w:w="4860" w:type="dxa"/>
            <w:vAlign w:val="bottom"/>
          </w:tcPr>
          <w:p>
            <w:pPr>
              <w:jc w:val="center"/>
              <w:ind w:right="3330"/>
              <w:spacing w:after="0"/>
              <w:rPr>
                <w:sz w:val="20"/>
                <w:szCs w:val="20"/>
                <w:color w:val="auto"/>
              </w:rPr>
            </w:pPr>
            <w:r>
              <w:rPr>
                <w:rFonts w:ascii="Arial" w:cs="Arial" w:eastAsia="Arial" w:hAnsi="Arial"/>
                <w:sz w:val="18"/>
                <w:szCs w:val="18"/>
                <w:color w:val="auto"/>
                <w:w w:val="87"/>
              </w:rPr>
              <w:t>June 28, 2024</w:t>
            </w:r>
          </w:p>
        </w:tc>
        <w:tc>
          <w:tcPr>
            <w:tcW w:w="800" w:type="dxa"/>
            <w:vAlign w:val="bottom"/>
          </w:tcPr>
          <w:p>
            <w:pPr>
              <w:jc w:val="right"/>
              <w:spacing w:after="0"/>
              <w:rPr>
                <w:sz w:val="20"/>
                <w:szCs w:val="20"/>
                <w:color w:val="auto"/>
              </w:rPr>
            </w:pPr>
            <w:r>
              <w:rPr>
                <w:rFonts w:ascii="Arial" w:cs="Arial" w:eastAsia="Arial" w:hAnsi="Arial"/>
                <w:sz w:val="18"/>
                <w:szCs w:val="18"/>
                <w:color w:val="FF0000"/>
                <w:strike w:val="1"/>
                <w:w w:val="86"/>
              </w:rPr>
              <w:t>$5,250,000</w:t>
            </w:r>
          </w:p>
        </w:tc>
        <w:tc>
          <w:tcPr>
            <w:tcW w:w="12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2"/>
              </w:rPr>
              <w:t>--</w:t>
            </w:r>
          </w:p>
        </w:tc>
      </w:tr>
    </w:tbl>
    <w:p>
      <w:pPr>
        <w:spacing w:after="0" w:line="67"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3760" w:type="dxa"/>
            <w:vAlign w:val="bottom"/>
            <w:vMerge w:val="restart"/>
          </w:tcPr>
          <w:p>
            <w:pPr>
              <w:spacing w:after="0"/>
              <w:rPr>
                <w:sz w:val="20"/>
                <w:szCs w:val="20"/>
                <w:color w:val="auto"/>
              </w:rPr>
            </w:pPr>
            <w:r>
              <w:rPr>
                <w:rFonts w:ascii="Arial" w:cs="Arial" w:eastAsia="Arial" w:hAnsi="Arial"/>
                <w:sz w:val="18"/>
                <w:szCs w:val="18"/>
                <w:color w:val="auto"/>
              </w:rPr>
              <w:t>Term A Loan Maturity Date</w:t>
            </w:r>
          </w:p>
        </w:tc>
        <w:tc>
          <w:tcPr>
            <w:tcW w:w="3720" w:type="dxa"/>
            <w:vAlign w:val="bottom"/>
            <w:gridSpan w:val="4"/>
          </w:tcPr>
          <w:p>
            <w:pPr>
              <w:jc w:val="right"/>
              <w:spacing w:after="0"/>
              <w:rPr>
                <w:sz w:val="20"/>
                <w:szCs w:val="20"/>
                <w:color w:val="auto"/>
              </w:rPr>
            </w:pPr>
            <w:r>
              <w:rPr>
                <w:rFonts w:ascii="Arial" w:cs="Arial" w:eastAsia="Arial" w:hAnsi="Arial"/>
                <w:sz w:val="18"/>
                <w:szCs w:val="18"/>
                <w:color w:val="FF0000"/>
                <w:strike w:val="1"/>
                <w:w w:val="91"/>
              </w:rPr>
              <w:t>Remaining outstanding principal amount of Term A</w:t>
            </w:r>
          </w:p>
        </w:tc>
        <w:tc>
          <w:tcPr>
            <w:tcW w:w="0" w:type="dxa"/>
            <w:vAlign w:val="bottom"/>
          </w:tcPr>
          <w:p>
            <w:pPr>
              <w:spacing w:after="0"/>
              <w:rPr>
                <w:sz w:val="1"/>
                <w:szCs w:val="1"/>
                <w:color w:val="auto"/>
              </w:rPr>
            </w:pPr>
          </w:p>
        </w:tc>
      </w:tr>
      <w:tr>
        <w:trPr>
          <w:trHeight w:val="122"/>
        </w:trPr>
        <w:tc>
          <w:tcPr>
            <w:tcW w:w="37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vMerge w:val="restart"/>
          </w:tcPr>
          <w:p>
            <w:pPr>
              <w:spacing w:after="0" w:line="190" w:lineRule="exact"/>
              <w:rPr>
                <w:sz w:val="20"/>
                <w:szCs w:val="20"/>
                <w:color w:val="auto"/>
              </w:rPr>
            </w:pPr>
            <w:r>
              <w:rPr>
                <w:rFonts w:ascii="Arial" w:cs="Arial" w:eastAsia="Arial" w:hAnsi="Arial"/>
                <w:sz w:val="18"/>
                <w:szCs w:val="18"/>
                <w:color w:val="FF0000"/>
                <w:strike w:val="1"/>
                <w:w w:val="85"/>
              </w:rPr>
              <w:t>Loans</w:t>
            </w:r>
          </w:p>
        </w:tc>
        <w:tc>
          <w:tcPr>
            <w:tcW w:w="2240" w:type="dxa"/>
            <w:vAlign w:val="bottom"/>
            <w:gridSpan w:val="2"/>
            <w:vMerge w:val="restart"/>
          </w:tcPr>
          <w:p>
            <w:pPr>
              <w:jc w:val="right"/>
              <w:ind w:right="1040"/>
              <w:spacing w:after="0" w:line="190" w:lineRule="exact"/>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200,000,000.00</w:t>
            </w: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0" w:right="40" w:firstLine="656"/>
        <w:spacing w:after="0" w:line="273" w:lineRule="auto"/>
        <w:tabs>
          <w:tab w:leader="none" w:pos="1008"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In the event that any New Term Loans are made, such New Term Loans shall, subject to </w:t>
      </w:r>
      <w:r>
        <w:rPr>
          <w:rFonts w:ascii="Arial" w:cs="Arial" w:eastAsia="Arial" w:hAnsi="Arial"/>
          <w:sz w:val="17"/>
          <w:szCs w:val="17"/>
          <w:u w:val="single" w:color="auto"/>
          <w:color w:val="auto"/>
        </w:rPr>
        <w:t>Section 2.14(d)</w:t>
      </w:r>
      <w:r>
        <w:rPr>
          <w:rFonts w:ascii="Arial" w:cs="Arial" w:eastAsia="Arial" w:hAnsi="Arial"/>
          <w:sz w:val="17"/>
          <w:szCs w:val="17"/>
          <w:color w:val="auto"/>
        </w:rPr>
        <w:t>, be repaid by the Borrower in the amounts (each, a “</w:t>
      </w:r>
      <w:r>
        <w:rPr>
          <w:rFonts w:ascii="Arial" w:cs="Arial" w:eastAsia="Arial" w:hAnsi="Arial"/>
          <w:sz w:val="17"/>
          <w:szCs w:val="17"/>
          <w:b w:val="1"/>
          <w:bCs w:val="1"/>
          <w:color w:val="auto"/>
        </w:rPr>
        <w:t>New Term Loan Repayment Amount</w:t>
      </w:r>
      <w:r>
        <w:rPr>
          <w:rFonts w:ascii="Arial" w:cs="Arial" w:eastAsia="Arial" w:hAnsi="Arial"/>
          <w:sz w:val="17"/>
          <w:szCs w:val="17"/>
          <w:color w:val="auto"/>
        </w:rPr>
        <w:t>”) and on the dates (each a “</w:t>
      </w:r>
      <w:r>
        <w:rPr>
          <w:rFonts w:ascii="Arial" w:cs="Arial" w:eastAsia="Arial" w:hAnsi="Arial"/>
          <w:sz w:val="17"/>
          <w:szCs w:val="17"/>
          <w:b w:val="1"/>
          <w:bCs w:val="1"/>
          <w:color w:val="auto"/>
        </w:rPr>
        <w:t>New Term Loan Repayment Date</w:t>
      </w:r>
      <w:r>
        <w:rPr>
          <w:rFonts w:ascii="Arial" w:cs="Arial" w:eastAsia="Arial" w:hAnsi="Arial"/>
          <w:sz w:val="17"/>
          <w:szCs w:val="17"/>
          <w:color w:val="auto"/>
        </w:rPr>
        <w:t xml:space="preserve">”) set forth in the applicable Joinder Agreement and subject to any adjustment to ensure fungibility with the other Term Loans as reasonably determined by the Administrative Agent and the Borrower. In the event that any Extended Term Loans are established, such Extended Term Loans shall, subject to </w:t>
      </w:r>
      <w:r>
        <w:rPr>
          <w:rFonts w:ascii="Arial" w:cs="Arial" w:eastAsia="Arial" w:hAnsi="Arial"/>
          <w:sz w:val="17"/>
          <w:szCs w:val="17"/>
          <w:u w:val="single" w:color="auto"/>
          <w:color w:val="auto"/>
        </w:rPr>
        <w:t>Section 2.14(g)</w:t>
      </w:r>
      <w:r>
        <w:rPr>
          <w:rFonts w:ascii="Arial" w:cs="Arial" w:eastAsia="Arial" w:hAnsi="Arial"/>
          <w:sz w:val="17"/>
          <w:szCs w:val="17"/>
          <w:color w:val="auto"/>
        </w:rPr>
        <w:t>, be repaid by the Borrower in the amounts (each such amount with respect to any Extended Repayment Date, an “</w:t>
      </w:r>
      <w:r>
        <w:rPr>
          <w:rFonts w:ascii="Arial" w:cs="Arial" w:eastAsia="Arial" w:hAnsi="Arial"/>
          <w:sz w:val="17"/>
          <w:szCs w:val="17"/>
          <w:b w:val="1"/>
          <w:bCs w:val="1"/>
          <w:color w:val="auto"/>
        </w:rPr>
        <w:t>Extended Term Loan Repayment Amount</w:t>
      </w:r>
      <w:r>
        <w:rPr>
          <w:rFonts w:ascii="Arial" w:cs="Arial" w:eastAsia="Arial" w:hAnsi="Arial"/>
          <w:sz w:val="17"/>
          <w:szCs w:val="17"/>
          <w:color w:val="auto"/>
        </w:rPr>
        <w:t>”) and on the dates (each, an “</w:t>
      </w:r>
      <w:r>
        <w:rPr>
          <w:rFonts w:ascii="Arial" w:cs="Arial" w:eastAsia="Arial" w:hAnsi="Arial"/>
          <w:sz w:val="17"/>
          <w:szCs w:val="17"/>
          <w:b w:val="1"/>
          <w:bCs w:val="1"/>
          <w:color w:val="auto"/>
        </w:rPr>
        <w:t>Extended Repayment Date</w:t>
      </w:r>
      <w:r>
        <w:rPr>
          <w:rFonts w:ascii="Arial" w:cs="Arial" w:eastAsia="Arial" w:hAnsi="Arial"/>
          <w:sz w:val="17"/>
          <w:szCs w:val="17"/>
          <w:color w:val="auto"/>
        </w:rPr>
        <w:t>”) set forth in the applicable Extension Amendment.</w:t>
      </w:r>
    </w:p>
    <w:p>
      <w:pPr>
        <w:spacing w:after="0" w:line="177" w:lineRule="exact"/>
        <w:rPr>
          <w:rFonts w:ascii="Arial" w:cs="Arial" w:eastAsia="Arial" w:hAnsi="Arial"/>
          <w:sz w:val="17"/>
          <w:szCs w:val="17"/>
          <w:color w:val="auto"/>
        </w:rPr>
      </w:pPr>
    </w:p>
    <w:p>
      <w:pPr>
        <w:jc w:val="both"/>
        <w:ind w:left="-20" w:right="120" w:firstLine="656"/>
        <w:spacing w:after="0" w:line="286" w:lineRule="auto"/>
        <w:tabs>
          <w:tab w:leader="none" w:pos="10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165" w:lineRule="exact"/>
        <w:rPr>
          <w:rFonts w:ascii="Arial" w:cs="Arial" w:eastAsia="Arial" w:hAnsi="Arial"/>
          <w:sz w:val="17"/>
          <w:szCs w:val="17"/>
          <w:color w:val="auto"/>
        </w:rPr>
      </w:pPr>
    </w:p>
    <w:p>
      <w:pPr>
        <w:ind w:left="-20" w:firstLine="656"/>
        <w:spacing w:after="0" w:line="275" w:lineRule="auto"/>
        <w:tabs>
          <w:tab w:leader="none" w:pos="10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Administrative Agent shall maintain the Register pursuant to </w:t>
      </w:r>
      <w:r>
        <w:rPr>
          <w:rFonts w:ascii="Arial" w:cs="Arial" w:eastAsia="Arial" w:hAnsi="Arial"/>
          <w:sz w:val="17"/>
          <w:szCs w:val="17"/>
          <w:u w:val="single" w:color="auto"/>
          <w:color w:val="auto"/>
        </w:rPr>
        <w:t>Section 13.6(b)</w:t>
      </w:r>
      <w:r>
        <w:rPr>
          <w:rFonts w:ascii="Arial" w:cs="Arial" w:eastAsia="Arial" w:hAnsi="Arial"/>
          <w:sz w:val="17"/>
          <w:szCs w:val="17"/>
          <w:color w:val="auto"/>
        </w:rPr>
        <w:t>, and a subaccount for each Lender, in which Register and subaccounts (taken together) shall be recorded (i) the amount of each Loan made hereunder, whether such Loan is a Term A Loan, New Term Loan, Revolving Credit Loan or Swingline Loan, as applicable, the Type of each Loan made, the name of the Borrower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6" w:lineRule="exact"/>
        <w:rPr>
          <w:rFonts w:ascii="Arial" w:cs="Arial" w:eastAsia="Arial" w:hAnsi="Arial"/>
          <w:sz w:val="17"/>
          <w:szCs w:val="17"/>
          <w:color w:val="auto"/>
        </w:rPr>
      </w:pPr>
    </w:p>
    <w:p>
      <w:pPr>
        <w:ind w:left="-20" w:right="100" w:firstLine="656"/>
        <w:spacing w:after="0" w:line="255" w:lineRule="auto"/>
        <w:tabs>
          <w:tab w:leader="none" w:pos="9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inconsistency between the Registrar and any such account or subaccount, the Registrar shall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340" w:top="1440" w:right="359" w:bottom="1440" w:gutter="0" w:footer="0" w:header="0"/>
        </w:sectPr>
      </w:pPr>
    </w:p>
    <w:bookmarkStart w:id="103" w:name="page104"/>
    <w:bookmarkEnd w:id="103"/>
    <w:p>
      <w:pPr>
        <w:spacing w:after="0" w:line="200" w:lineRule="exact"/>
        <w:rPr>
          <w:sz w:val="20"/>
          <w:szCs w:val="20"/>
          <w:color w:val="auto"/>
        </w:rPr>
      </w:pPr>
    </w:p>
    <w:p>
      <w:pPr>
        <w:spacing w:after="0" w:line="322" w:lineRule="exact"/>
        <w:rPr>
          <w:sz w:val="20"/>
          <w:szCs w:val="20"/>
          <w:color w:val="auto"/>
        </w:rPr>
      </w:pPr>
    </w:p>
    <w:p>
      <w:pPr>
        <w:ind w:right="20" w:firstLine="656"/>
        <w:spacing w:after="0" w:line="273" w:lineRule="auto"/>
        <w:tabs>
          <w:tab w:leader="none" w:pos="1034"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as applicable, evidencing the (i) Revolving Loans or Swingline Loans and (ii) Term A Loans (including New Term Loans), respectively, owing to such Lender. Thereafter, unless otherwise agreed to by the applicable Lender, the Loans evidenced by such promissory note and interest thereon shall at all times (including after assignment pursuant to </w:t>
      </w:r>
      <w:r>
        <w:rPr>
          <w:rFonts w:ascii="Arial" w:cs="Arial" w:eastAsia="Arial" w:hAnsi="Arial"/>
          <w:sz w:val="17"/>
          <w:szCs w:val="17"/>
          <w:u w:val="single" w:color="auto"/>
          <w:color w:val="auto"/>
        </w:rPr>
        <w:t>Section 13.6</w:t>
      </w:r>
      <w:r>
        <w:rPr>
          <w:rFonts w:ascii="Arial" w:cs="Arial" w:eastAsia="Arial" w:hAnsi="Arial"/>
          <w:sz w:val="17"/>
          <w:szCs w:val="17"/>
          <w:color w:val="auto"/>
        </w:rPr>
        <w:t>) be represented by one or more promissory notes in such form payable to the order of the payee named therein (or, if requested by such payee, to such payee and its registered assigns).</w:t>
      </w:r>
    </w:p>
    <w:p>
      <w:pPr>
        <w:spacing w:after="0" w:line="17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7" w:lineRule="auto"/>
        <w:tabs>
          <w:tab w:leader="none" w:pos="102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Subject to the penultimate sentence of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(x) the Borrower shall have the option on any Business Day to convert all or a portion equal to at least $5,000,000 of the outstanding principal amount of Term Loans of one Type or Revolving Credit Loans of one Type into a Borrowing or Borrowings of another Type and (y) the Borrower shall have the option on any Business Day to continue the outstanding principal amount of any LIBOR Loans as LIBOR Loans for an additional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partial conversion of LIBOR Loans shall reduce the outstanding principal amount of LIBOR Loans made pursuant to a single Borrowing to less than the Minimum Borrowing Amount, (ii) ABR Loans may not be converted into LIBOR Loans if an Event of Default is in existence on the date of the conversion and the Administrative Agent has or the Required Lenders have determined in its or their sole discretion not to permit such conversion, (iii) LIBOR Loans may not be continued as LIBOR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limited in number as provided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Each such conversion or continuation shall be effected by the Borrower by giving the Administrative Agent </w:t>
      </w:r>
      <w:r>
        <w:rPr>
          <w:rFonts w:ascii="Arial" w:cs="Arial" w:eastAsia="Arial" w:hAnsi="Arial"/>
          <w:sz w:val="17"/>
          <w:szCs w:val="17"/>
          <w:u w:val="single" w:color="auto"/>
          <w:color w:val="0000FF"/>
        </w:rPr>
        <w:t>a Notice of Conversion or Continuation</w:t>
      </w:r>
      <w:r>
        <w:rPr>
          <w:rFonts w:ascii="Arial" w:cs="Arial" w:eastAsia="Arial" w:hAnsi="Arial"/>
          <w:sz w:val="17"/>
          <w:szCs w:val="17"/>
          <w:color w:val="auto"/>
        </w:rPr>
        <w:t xml:space="preserve"> at the Administrative Agent’s Office prior to 1:00 p.m. (New York City time) at least (i) three Business Days prior, in the case of a continuation of or conversion to LIBOR Loans (other than in the case of a notice delivered on the Restatement Effective Date, which shall be deemed to be effective on the Restatement Effective Date), or (ii) one Business Day prior in the case of a conversion into ABR Loans </w:t>
      </w:r>
      <w:r>
        <w:rPr>
          <w:rFonts w:ascii="Arial" w:cs="Arial" w:eastAsia="Arial" w:hAnsi="Arial"/>
          <w:sz w:val="17"/>
          <w:szCs w:val="17"/>
          <w:color w:val="FF0000"/>
          <w:strike w:val="1"/>
        </w:rPr>
        <w:t>(each, a</w:t>
      </w:r>
      <w:r>
        <w:rPr>
          <w:rFonts w:ascii="Arial" w:cs="Arial" w:eastAsia="Arial" w:hAnsi="Arial"/>
          <w:sz w:val="17"/>
          <w:szCs w:val="17"/>
          <w:color w:val="auto"/>
        </w:rPr>
        <w:t xml:space="preserve"> </w:t>
      </w: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Notice of Conversion or Continuation</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color w:val="008000"/>
          <w:strike w:val="1"/>
        </w:rPr>
        <w:t>substantially in the form of</w:t>
      </w:r>
      <w:r>
        <w:rPr>
          <w:rFonts w:ascii="Arial" w:cs="Arial" w:eastAsia="Arial" w:hAnsi="Arial"/>
          <w:sz w:val="17"/>
          <w:szCs w:val="17"/>
          <w:color w:val="FF0000"/>
        </w:rPr>
        <w:t xml:space="preserve"> </w:t>
      </w:r>
      <w:r>
        <w:rPr>
          <w:rFonts w:ascii="Arial" w:cs="Arial" w:eastAsia="Arial" w:hAnsi="Arial"/>
          <w:sz w:val="17"/>
          <w:szCs w:val="17"/>
          <w:u w:val="single" w:color="auto"/>
          <w:color w:val="008000"/>
          <w:strike w:val="1"/>
        </w:rPr>
        <w:t>Exhibit K</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color w:val="000000"/>
        </w:rPr>
        <w:t>specifying the Loans to be so converted or continued, the Type of Loans</w:t>
      </w:r>
      <w:r>
        <w:rPr>
          <w:rFonts w:ascii="Arial" w:cs="Arial" w:eastAsia="Arial" w:hAnsi="Arial"/>
          <w:sz w:val="17"/>
          <w:szCs w:val="17"/>
          <w:color w:val="FF0000"/>
        </w:rPr>
        <w:t xml:space="preserve"> </w:t>
      </w:r>
      <w:r>
        <w:rPr>
          <w:rFonts w:ascii="Arial" w:cs="Arial" w:eastAsia="Arial" w:hAnsi="Arial"/>
          <w:sz w:val="17"/>
          <w:szCs w:val="17"/>
          <w:color w:val="000000"/>
        </w:rPr>
        <w:t xml:space="preserve">to be converted or continued into and, if such Loans are to be converted into or continued as LIBOR Loans, the Interest Period to be initially applicable thereto. Such notice may be given by (A) telephone, or (B) a Notice of Conversion </w:t>
      </w:r>
      <w:r>
        <w:rPr>
          <w:rFonts w:ascii="Arial" w:cs="Arial" w:eastAsia="Arial" w:hAnsi="Arial"/>
          <w:sz w:val="17"/>
          <w:szCs w:val="17"/>
          <w:color w:val="0000FF"/>
        </w:rPr>
        <w:t>or Continuation</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telephonic notice must be confirmed immediately by delivery to the Administrative Agent of a Notice of Conversion. A Notice of Conversion or Continuation may be in such other form as may be approved by the Administrative Agent (including any form on an electronic platform or electronic transmission system as shall be approved by the Administrative Agent) and shall be appropriately completed and signed by an Authorized Officer of the Borrower. If no Interest Period is specified in any such notice with respect to any conversion to or continuation as a LIBOR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183" w:lineRule="exact"/>
        <w:rPr>
          <w:rFonts w:ascii="Arial" w:cs="Arial" w:eastAsia="Arial" w:hAnsi="Arial"/>
          <w:sz w:val="17"/>
          <w:szCs w:val="17"/>
          <w:color w:val="auto"/>
        </w:rPr>
      </w:pPr>
    </w:p>
    <w:p>
      <w:pPr>
        <w:ind w:firstLine="656"/>
        <w:spacing w:after="0" w:line="275" w:lineRule="auto"/>
        <w:tabs>
          <w:tab w:leader="none" w:pos="103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If any Event of Default is in existence at the time of any proposed continuation of any LIBOR Loans and the Administrative Agent has or the Required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7"/>
          <w:szCs w:val="17"/>
          <w:u w:val="single" w:color="auto"/>
          <w:color w:val="auto"/>
        </w:rPr>
        <w:t>clause (a)</w:t>
      </w:r>
      <w:r>
        <w:rPr>
          <w:rFonts w:ascii="Arial" w:cs="Arial" w:eastAsia="Arial" w:hAnsi="Arial"/>
          <w:sz w:val="17"/>
          <w:szCs w:val="17"/>
          <w:color w:val="auto"/>
        </w:rPr>
        <w:t>, the Borrower shall be deemed to have elected to convert such Borrowing of LIBOR Loans into a Borrowing of ABR Loans, effective as of the expiration date of such current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-1687195</wp:posOffset>
            </wp:positionV>
            <wp:extent cx="7486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56"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Pro Rata Borrowings</w:t>
      </w:r>
      <w:r>
        <w:rPr>
          <w:rFonts w:ascii="Arial" w:cs="Arial" w:eastAsia="Arial" w:hAnsi="Arial"/>
          <w:sz w:val="16"/>
          <w:szCs w:val="16"/>
          <w:color w:val="auto"/>
        </w:rPr>
        <w:t>. Each Borrowing of Term A Loans under this Agreement shall be made by the Lenders pro rata on the basis of their then-applicable Term A Loan Commitments. Each Borrowing of Revolving Credit Loans under this Agreement shall be made by the Revolving Credit Lenders pro rata on the basis of their then-applicable Revolving Credit Commitment Percentages. Each Borrowing of New Term Loans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200" w:lineRule="exact"/>
        <w:rPr>
          <w:sz w:val="20"/>
          <w:szCs w:val="20"/>
          <w:color w:val="auto"/>
        </w:rPr>
      </w:pPr>
    </w:p>
    <w:p>
      <w:pPr>
        <w:spacing w:after="0" w:line="32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Agreement shall be made by the Lenders pro rata on the basis of their then-applicable New Term Loan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17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280" w:firstLine="656"/>
        <w:spacing w:after="0" w:line="263" w:lineRule="auto"/>
        <w:tabs>
          <w:tab w:leader="none" w:pos="10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unpaid principal amount of each ABR Loan shall bear interest from the date of the Borrowing thereof until maturity (whether by acceleration or otherwise) at a rate per annum that shall at all times be the Applicable Margin for ABR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ABR, in each case, in effect from time to time.</w:t>
      </w:r>
    </w:p>
    <w:p>
      <w:pPr>
        <w:spacing w:after="0" w:line="183" w:lineRule="exact"/>
        <w:rPr>
          <w:rFonts w:ascii="Arial" w:cs="Arial" w:eastAsia="Arial" w:hAnsi="Arial"/>
          <w:sz w:val="18"/>
          <w:szCs w:val="18"/>
          <w:color w:val="auto"/>
        </w:rPr>
      </w:pPr>
    </w:p>
    <w:p>
      <w:pPr>
        <w:ind w:right="100" w:firstLine="656"/>
        <w:spacing w:after="0" w:line="342" w:lineRule="auto"/>
        <w:tabs>
          <w:tab w:leader="none" w:pos="1034"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The unpaid principal amount of each LIBOR Loan shall bear interest from the date of the Borrowing thereof until maturity thereof (whether by acceleration or otherwise) at a rate per annum that shall at all times be the Applicable Margin for LIBOR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relevant LIBOR Rate.</w:t>
      </w:r>
    </w:p>
    <w:p>
      <w:pPr>
        <w:spacing w:after="0" w:line="123" w:lineRule="exact"/>
        <w:rPr>
          <w:rFonts w:ascii="Arial" w:cs="Arial" w:eastAsia="Arial" w:hAnsi="Arial"/>
          <w:sz w:val="16"/>
          <w:szCs w:val="16"/>
          <w:color w:val="auto"/>
        </w:rPr>
      </w:pPr>
    </w:p>
    <w:p>
      <w:pPr>
        <w:ind w:right="40" w:firstLine="656"/>
        <w:spacing w:after="0" w:line="275" w:lineRule="auto"/>
        <w:tabs>
          <w:tab w:leader="none" w:pos="10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that is (x) in the case of overdue principal, the rate that would otherwise be applicable thereto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plus</w:t>
      </w:r>
      <w:r>
        <w:rPr>
          <w:rFonts w:ascii="Arial" w:cs="Arial" w:eastAsia="Arial" w:hAnsi="Arial"/>
          <w:sz w:val="17"/>
          <w:szCs w:val="17"/>
          <w:b w:val="1"/>
          <w:bCs w:val="1"/>
          <w:color w:val="auto"/>
        </w:rPr>
        <w:t xml:space="preserve"> </w:t>
      </w:r>
      <w:r>
        <w:rPr>
          <w:rFonts w:ascii="Arial" w:cs="Arial" w:eastAsia="Arial" w:hAnsi="Arial"/>
          <w:sz w:val="17"/>
          <w:szCs w:val="17"/>
          <w:color w:val="auto"/>
        </w:rPr>
        <w:t>2.00% or (y) in the case of any other overdue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including overdue interest, to the extent permitted by applicable law, the rate described in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for the applicable Class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from the date of such non-payment to the date on which such amount is paid in full (after as well as before judgment).</w:t>
      </w:r>
    </w:p>
    <w:p>
      <w:pPr>
        <w:spacing w:after="0" w:line="176" w:lineRule="exact"/>
        <w:rPr>
          <w:rFonts w:ascii="Arial" w:cs="Arial" w:eastAsia="Arial" w:hAnsi="Arial"/>
          <w:sz w:val="17"/>
          <w:szCs w:val="17"/>
          <w:color w:val="auto"/>
        </w:rPr>
      </w:pPr>
    </w:p>
    <w:p>
      <w:pPr>
        <w:ind w:firstLine="656"/>
        <w:spacing w:after="0" w:line="254" w:lineRule="auto"/>
        <w:tabs>
          <w:tab w:leader="none" w:pos="103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Interest on each Loan shall accrue from and including the date of any Borrowing to but excluding the date of any repayment thereof and shall be payable in the same currency in which the Loan is denominated;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date on which it is made shall bear interest for one day. Except as provided below, interest shall be payable (i) in respect of each ABR Loan, quarterly in arrears on the last Business Day of March, June, September and December, (ii) in respect of each LIBOR Loan, on the last day of each Interest Period applicable thereto and, in the case of an Interest Period in excess of three months, on each date occurring at three-month intervals after the first day of such Interest Period, and (iii) in respect of each Loan, (A) except in the case of ABR Revolving Credit Loans on any prepayment in respect thereof, (B) at maturity (whether by acceleration or otherwise), and (C) after such maturity, on demand.</w:t>
      </w:r>
    </w:p>
    <w:p>
      <w:pPr>
        <w:spacing w:after="0" w:line="194" w:lineRule="exact"/>
        <w:rPr>
          <w:rFonts w:ascii="Arial" w:cs="Arial" w:eastAsia="Arial" w:hAnsi="Arial"/>
          <w:sz w:val="18"/>
          <w:szCs w:val="18"/>
          <w:color w:val="auto"/>
        </w:rPr>
      </w:pPr>
    </w:p>
    <w:p>
      <w:pPr>
        <w:ind w:left="1020" w:hanging="36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All computations of interest hereunder shall be made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40" w:firstLine="656"/>
        <w:spacing w:after="0" w:line="342" w:lineRule="auto"/>
        <w:tabs>
          <w:tab w:leader="none" w:pos="100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12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Interest Periods</w:t>
      </w:r>
      <w:r>
        <w:rPr>
          <w:rFonts w:ascii="Arial" w:cs="Arial" w:eastAsia="Arial" w:hAnsi="Arial"/>
          <w:sz w:val="16"/>
          <w:szCs w:val="16"/>
          <w:color w:val="auto"/>
        </w:rPr>
        <w:t xml:space="preserve">. At the time the Borrower gives a Notice of Borrowing or Notice of Conversion or Continuation in respect of the making of, or conversion into or continuation as, a Borrowing of LIBOR Loans in accordance with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the Borrower shall give the Administrative Agent written notice of the Interest Period applicable to such Borrowing, which Interest Period shall, at the option of the Borrower be a one, two </w:t>
      </w:r>
      <w:r>
        <w:rPr>
          <w:rFonts w:ascii="Arial" w:cs="Arial" w:eastAsia="Arial" w:hAnsi="Arial"/>
          <w:sz w:val="16"/>
          <w:szCs w:val="16"/>
          <w:u w:val="single" w:color="auto"/>
          <w:color w:val="0000FF"/>
        </w:rPr>
        <w:t>(only for so long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as the two-month LIBOR Rate continues to be published by the ICE Benchmark Administration)</w:t>
      </w:r>
      <w:r>
        <w:rPr>
          <w:rFonts w:ascii="Arial" w:cs="Arial" w:eastAsia="Arial" w:hAnsi="Arial"/>
          <w:sz w:val="16"/>
          <w:szCs w:val="16"/>
          <w:color w:val="000000"/>
        </w:rPr>
        <w:t>, three or six month period (or if available to all the</w:t>
      </w:r>
      <w:r>
        <w:rPr>
          <w:rFonts w:ascii="Arial" w:cs="Arial" w:eastAsia="Arial" w:hAnsi="Arial"/>
          <w:sz w:val="16"/>
          <w:szCs w:val="16"/>
          <w:color w:val="0000FF"/>
        </w:rPr>
        <w:t xml:space="preserve"> </w:t>
      </w:r>
      <w:r>
        <w:rPr>
          <w:rFonts w:ascii="Arial" w:cs="Arial" w:eastAsia="Arial" w:hAnsi="Arial"/>
          <w:sz w:val="16"/>
          <w:szCs w:val="16"/>
          <w:color w:val="000000"/>
        </w:rPr>
        <w:t>Lenders making such LIBOR Loans as determined by such Lenders in good faith based on prevailing market conditions, a twelve month or shorter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to the contrary contained above:</w:t>
      </w:r>
    </w:p>
    <w:p>
      <w:pPr>
        <w:spacing w:after="0" w:line="225" w:lineRule="exact"/>
        <w:rPr>
          <w:sz w:val="20"/>
          <w:szCs w:val="20"/>
          <w:color w:val="auto"/>
        </w:rPr>
      </w:pPr>
    </w:p>
    <w:p>
      <w:pPr>
        <w:ind w:left="660" w:right="60" w:firstLine="644"/>
        <w:spacing w:after="0" w:line="263" w:lineRule="auto"/>
        <w:tabs>
          <w:tab w:leader="none" w:pos="16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83" w:lineRule="exact"/>
        <w:rPr>
          <w:rFonts w:ascii="Arial" w:cs="Arial" w:eastAsia="Arial" w:hAnsi="Arial"/>
          <w:sz w:val="18"/>
          <w:szCs w:val="18"/>
          <w:color w:val="auto"/>
        </w:rPr>
      </w:pPr>
    </w:p>
    <w:p>
      <w:pPr>
        <w:ind w:left="660" w:right="20" w:firstLine="644"/>
        <w:spacing w:after="0" w:line="263" w:lineRule="auto"/>
        <w:tabs>
          <w:tab w:leader="none" w:pos="16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83" w:lineRule="exact"/>
        <w:rPr>
          <w:rFonts w:ascii="Arial" w:cs="Arial" w:eastAsia="Arial" w:hAnsi="Arial"/>
          <w:sz w:val="18"/>
          <w:szCs w:val="18"/>
          <w:color w:val="auto"/>
        </w:rPr>
      </w:pPr>
    </w:p>
    <w:p>
      <w:pPr>
        <w:ind w:left="660" w:right="100" w:firstLine="644"/>
        <w:spacing w:after="0" w:line="259" w:lineRule="auto"/>
        <w:tabs>
          <w:tab w:leader="none" w:pos="16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immediately preceding Business Day; and</w:t>
      </w:r>
    </w:p>
    <w:p>
      <w:pPr>
        <w:spacing w:after="0" w:line="186" w:lineRule="exact"/>
        <w:rPr>
          <w:rFonts w:ascii="Arial" w:cs="Arial" w:eastAsia="Arial" w:hAnsi="Arial"/>
          <w:sz w:val="18"/>
          <w:szCs w:val="18"/>
          <w:color w:val="auto"/>
        </w:rPr>
      </w:pPr>
    </w:p>
    <w:p>
      <w:pPr>
        <w:ind w:left="660" w:right="240" w:firstLine="644"/>
        <w:spacing w:after="0" w:line="277" w:lineRule="auto"/>
        <w:tabs>
          <w:tab w:leader="none" w:pos="16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Borrower shall not be entitled to elect any Interest Period in respect of any LIBOR Loan if such Interest Period would extend beyond the Maturity Date of such Loan.</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Increased Costs, Illegality, Etc</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311" w:lineRule="auto"/>
        <w:tabs>
          <w:tab w:leader="none" w:pos="1028"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In the event that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the Administrative Agent and (y)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the Required Term Loan Lenders (with respect to Term Loans) or the Required Revolving Credit Lenders (with respect to Revolving Credit Commitments) shall have reasonably determined (which determination shall, absent clearly demonstrable error, be final and conclusive and binding upon all parties hereto):</w:t>
      </w:r>
    </w:p>
    <w:p>
      <w:pPr>
        <w:spacing w:after="0" w:line="148" w:lineRule="exact"/>
        <w:rPr>
          <w:rFonts w:ascii="Arial" w:cs="Arial" w:eastAsia="Arial" w:hAnsi="Arial"/>
          <w:sz w:val="16"/>
          <w:szCs w:val="16"/>
          <w:color w:val="auto"/>
        </w:rPr>
      </w:pPr>
    </w:p>
    <w:p>
      <w:pPr>
        <w:ind w:left="660" w:firstLine="903"/>
        <w:spacing w:after="0" w:line="259" w:lineRule="auto"/>
        <w:tabs>
          <w:tab w:leader="none" w:pos="1917" w:val="left"/>
        </w:tabs>
        <w:numPr>
          <w:ilvl w:val="1"/>
          <w:numId w:val="74"/>
        </w:numPr>
        <w:rPr>
          <w:rFonts w:ascii="Arial" w:cs="Arial" w:eastAsia="Arial" w:hAnsi="Arial"/>
          <w:sz w:val="18"/>
          <w:szCs w:val="18"/>
          <w:color w:val="auto"/>
        </w:rPr>
      </w:pPr>
      <w:r>
        <w:rPr>
          <w:rFonts w:ascii="Arial" w:cs="Arial" w:eastAsia="Arial" w:hAnsi="Arial"/>
          <w:sz w:val="18"/>
          <w:szCs w:val="18"/>
          <w:color w:val="auto"/>
        </w:rPr>
        <w:t>on any date for determining the LIBOR Rate for any Interest Period that (x) deposits in the principal amounts and currencies of the Loans comprising such LIBOR Borrowing are not generally available in the relevant market or (y) by reason of any changes arising on or after the Restatement Effective Date affecting the interbank LIBOR market, adequate and fair means do not exist for ascertaining the applicable interest rate on the basis provided for in the definition of “LIBOR Rate”; or</w:t>
      </w:r>
    </w:p>
    <w:p>
      <w:pPr>
        <w:spacing w:after="0" w:line="186" w:lineRule="exact"/>
        <w:rPr>
          <w:rFonts w:ascii="Arial" w:cs="Arial" w:eastAsia="Arial" w:hAnsi="Arial"/>
          <w:sz w:val="18"/>
          <w:szCs w:val="18"/>
          <w:color w:val="auto"/>
        </w:rPr>
      </w:pPr>
    </w:p>
    <w:p>
      <w:pPr>
        <w:ind w:left="660" w:right="40" w:firstLine="903"/>
        <w:spacing w:after="0" w:line="263" w:lineRule="auto"/>
        <w:tabs>
          <w:tab w:leader="none" w:pos="196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at any time, that such Lenders shall incur increased costs or reductions in the amounts received or receivable hereunder with respect to any LIBOR Loans (including any increased costs or reductions attributable to Taxes, other than any increase or reduction attributable to Indemnified Taxes, Excluded Taxes or Other Taxes) because of any Change in Law; or</w:t>
      </w:r>
    </w:p>
    <w:p>
      <w:pPr>
        <w:spacing w:after="0" w:line="183" w:lineRule="exact"/>
        <w:rPr>
          <w:rFonts w:ascii="Arial" w:cs="Arial" w:eastAsia="Arial" w:hAnsi="Arial"/>
          <w:sz w:val="18"/>
          <w:szCs w:val="18"/>
          <w:color w:val="auto"/>
        </w:rPr>
      </w:pPr>
    </w:p>
    <w:p>
      <w:pPr>
        <w:jc w:val="both"/>
        <w:ind w:left="660" w:firstLine="903"/>
        <w:spacing w:after="0" w:line="301" w:lineRule="auto"/>
        <w:tabs>
          <w:tab w:leader="none" w:pos="2017" w:val="left"/>
        </w:tabs>
        <w:numPr>
          <w:ilvl w:val="1"/>
          <w:numId w:val="74"/>
        </w:numPr>
        <w:rPr>
          <w:rFonts w:ascii="Arial" w:cs="Arial" w:eastAsia="Arial" w:hAnsi="Arial"/>
          <w:sz w:val="16"/>
          <w:szCs w:val="16"/>
          <w:color w:val="auto"/>
        </w:rPr>
      </w:pPr>
      <w:r>
        <w:rPr>
          <w:rFonts w:ascii="Arial" w:cs="Arial" w:eastAsia="Arial" w:hAnsi="Arial"/>
          <w:sz w:val="16"/>
          <w:szCs w:val="16"/>
          <w:color w:val="auto"/>
        </w:rPr>
        <w:t>at any time, that the making or continuance of any LIBOR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Restatement Effective Date that materially and adversely affects the interbank LIBOR market;</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(such Loans, “</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then, and in any such event, such Required Term Loan Lenders or Required Revolving Credit Lenders, as applicable (or the Administrative Agent,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shall within a reasonable time thereafter give notice (if by telephone, confirmed in writing) to Holdings, the Borrower, and to the Administrative Agent of such determination (which notice the Administrative Agent shall promptly transmit to each of the other Lenders). Thereafter (x)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LIBOR Loans shall no longer be available until such time as the Administrative Agent notifies Holdings, the Borrower and the Lenders that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200" w:lineRule="exact"/>
        <w:rPr>
          <w:sz w:val="20"/>
          <w:szCs w:val="20"/>
          <w:color w:val="auto"/>
        </w:rPr>
      </w:pPr>
    </w:p>
    <w:p>
      <w:pPr>
        <w:spacing w:after="0" w:line="32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giving rise to such notice by the Administrative Agent no longer exist (which notice the Administrative Agent agrees to give at such time when such circumstances no longer exist), and any Notice of Borrowing or Notice of Conversion given by the Borrower with respect to LIBOR Loans that have not yet been incurred shall be deemed rescinded by the Borrower, (y)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the Borrower shall pay to such Lenders, promptly after receipt of written demand therefor such additional amounts (in the form of an increased rate of, or a different method of calculating, interest or otherwise as such Required Term Loan Lenders or Required Revolving Credit Lenders, as applicable,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 and (z) in the case of </w:t>
      </w:r>
      <w:r>
        <w:rPr>
          <w:rFonts w:ascii="Arial" w:cs="Arial" w:eastAsia="Arial" w:hAnsi="Arial"/>
          <w:sz w:val="17"/>
          <w:szCs w:val="17"/>
          <w:u w:val="single" w:color="auto"/>
          <w:color w:val="auto"/>
        </w:rPr>
        <w:t>subclause (iii)</w:t>
      </w:r>
      <w:r>
        <w:rPr>
          <w:rFonts w:ascii="Arial" w:cs="Arial" w:eastAsia="Arial" w:hAnsi="Arial"/>
          <w:sz w:val="17"/>
          <w:szCs w:val="17"/>
          <w:color w:val="auto"/>
        </w:rPr>
        <w:t xml:space="preserve"> above, the Borrower shall take one of the actions specified in </w:t>
      </w:r>
      <w:r>
        <w:rPr>
          <w:rFonts w:ascii="Arial" w:cs="Arial" w:eastAsia="Arial" w:hAnsi="Arial"/>
          <w:sz w:val="17"/>
          <w:szCs w:val="17"/>
          <w:u w:val="single" w:color="auto"/>
          <w:color w:val="auto"/>
        </w:rPr>
        <w:t>subclause (x)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as applicable, of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promptly and, in any event, within the time period required by law.</w:t>
      </w:r>
    </w:p>
    <w:p>
      <w:pPr>
        <w:spacing w:after="0" w:line="185" w:lineRule="exact"/>
        <w:rPr>
          <w:sz w:val="20"/>
          <w:szCs w:val="20"/>
          <w:color w:val="auto"/>
        </w:rPr>
      </w:pPr>
    </w:p>
    <w:p>
      <w:pPr>
        <w:jc w:val="both"/>
        <w:ind w:firstLine="656"/>
        <w:spacing w:after="0" w:line="286" w:lineRule="auto"/>
        <w:tabs>
          <w:tab w:leader="none" w:pos="1028"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At any time that any LIBOR Loan is affected by the circumstances described in </w:t>
      </w:r>
      <w:r>
        <w:rPr>
          <w:rFonts w:ascii="Arial" w:cs="Arial" w:eastAsia="Arial" w:hAnsi="Arial"/>
          <w:sz w:val="16"/>
          <w:szCs w:val="16"/>
          <w:u w:val="single" w:color="auto"/>
          <w:color w:val="auto"/>
        </w:rPr>
        <w:t>Section 2.10(a)(ii)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Borrower may (and in the case of a LIBOR Loan affected pursuant to </w:t>
      </w:r>
      <w:r>
        <w:rPr>
          <w:rFonts w:ascii="Arial" w:cs="Arial" w:eastAsia="Arial" w:hAnsi="Arial"/>
          <w:sz w:val="16"/>
          <w:szCs w:val="16"/>
          <w:u w:val="single" w:color="auto"/>
          <w:color w:val="auto"/>
        </w:rPr>
        <w:t>Section 2.10(a)(iii)</w:t>
      </w:r>
      <w:r>
        <w:rPr>
          <w:rFonts w:ascii="Arial" w:cs="Arial" w:eastAsia="Arial" w:hAnsi="Arial"/>
          <w:sz w:val="16"/>
          <w:szCs w:val="16"/>
          <w:color w:val="auto"/>
        </w:rPr>
        <w:t xml:space="preserve"> shall) either (x) if a Notice of Borrowing or Notice of Conversion or Continuation with respect to the affected LIBOR Loan has been submitted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but the affected LIBOR Loan has not been funded or continued, cancel such requested Borrowing by giving the Administrative Agent written notice thereof on the same date that the Borrower was notified by Lenders pursuant to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2.10(a)(ii)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(y) if the affected LIBOR Loan is then outstanding, upon at least three Business Days’ notice to the Administrative Agent, require the affected Lender to convert each such LIBOR Loan into an ABR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more than one Lender is affected at any time, then all affected Lenders must be treated in the same manner pursuant to this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ind w:firstLine="656"/>
        <w:spacing w:after="0" w:line="287" w:lineRule="auto"/>
        <w:tabs>
          <w:tab w:leader="none" w:pos="1028"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If, after the Restatement Effective Date, any Change in Law relating to capital adequacy or liquidity of any Lender or compliance by any Lender or its parent with any Change in Law relating to capital adequacy or liquidity occurring after the Restatement Effective Date, has or would have the effect of reducing the actual rate of return on such Lender’s or its parent’s or its Affiliate’s capital or assets as a consequence of such Lender’s commitments or obligations hereunder to a level below that which such Lender or its parent or its Affiliate could have achieved but for such Change in Law (taking into consideration such Lender’s or its parent’s policies with respect to capital adequacy or liquidity), then from time to time, promptly after demand by such Lender (with a copy to the Administrative Agent), the Borrower shall pay to such Lender such actual additional amount or amounts as will compensate such Lender or its parent for such actual reduction, it being understood and agreed, however, that a Lender shall not be entitled to such compensation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release or diminish the Borrower’s obligations to pay additional amounts pursuant to this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promptly following receipt of such notice.</w:t>
      </w:r>
    </w:p>
    <w:p>
      <w:pPr>
        <w:spacing w:after="0" w:line="167" w:lineRule="exact"/>
        <w:rPr>
          <w:rFonts w:ascii="Arial" w:cs="Arial" w:eastAsia="Arial" w:hAnsi="Arial"/>
          <w:sz w:val="16"/>
          <w:szCs w:val="16"/>
          <w:color w:val="auto"/>
        </w:rPr>
      </w:pPr>
    </w:p>
    <w:p>
      <w:pPr>
        <w:ind w:left="1040" w:hanging="384"/>
        <w:spacing w:after="0"/>
        <w:tabs>
          <w:tab w:leader="none" w:pos="1040" w:val="left"/>
        </w:tabs>
        <w:numPr>
          <w:ilvl w:val="1"/>
          <w:numId w:val="7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Notwithstanding anything to the contrary herein or in any other Credit Document:</w:t>
      </w:r>
    </w:p>
    <w:p>
      <w:pPr>
        <w:spacing w:after="0" w:line="221" w:lineRule="exact"/>
        <w:rPr>
          <w:rFonts w:ascii="Arial" w:cs="Arial" w:eastAsia="Arial" w:hAnsi="Arial"/>
          <w:sz w:val="18"/>
          <w:szCs w:val="18"/>
          <w:u w:val="single" w:color="auto"/>
          <w:color w:val="0000FF"/>
        </w:rPr>
      </w:pPr>
    </w:p>
    <w:p>
      <w:pPr>
        <w:ind w:right="20" w:firstLine="8"/>
        <w:spacing w:after="0" w:line="273" w:lineRule="auto"/>
        <w:tabs>
          <w:tab w:leader="none" w:pos="395" w:val="left"/>
        </w:tabs>
        <w:numPr>
          <w:ilvl w:val="0"/>
          <w:numId w:val="7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On March 5, 2021 the Financial Conduct Authority (“</w:t>
      </w:r>
      <w:r>
        <w:rPr>
          <w:rFonts w:ascii="Arial" w:cs="Arial" w:eastAsia="Arial" w:hAnsi="Arial"/>
          <w:sz w:val="17"/>
          <w:szCs w:val="17"/>
          <w:b w:val="1"/>
          <w:bCs w:val="1"/>
          <w:u w:val="single" w:color="auto"/>
          <w:color w:val="0000FF"/>
        </w:rPr>
        <w:t>FCA</w:t>
      </w:r>
      <w:r>
        <w:rPr>
          <w:rFonts w:ascii="Arial" w:cs="Arial" w:eastAsia="Arial" w:hAnsi="Arial"/>
          <w:sz w:val="17"/>
          <w:szCs w:val="17"/>
          <w:u w:val="single" w:color="auto"/>
          <w:color w:val="0000FF"/>
        </w:rPr>
        <w:t>”), the regulatory supervisor of LIBOR’s administrator (“</w:t>
      </w:r>
      <w:r>
        <w:rPr>
          <w:rFonts w:ascii="Arial" w:cs="Arial" w:eastAsia="Arial" w:hAnsi="Arial"/>
          <w:sz w:val="17"/>
          <w:szCs w:val="17"/>
          <w:b w:val="1"/>
          <w:bCs w:val="1"/>
          <w:u w:val="single" w:color="auto"/>
          <w:color w:val="0000FF"/>
        </w:rPr>
        <w:t>IBA</w:t>
      </w:r>
      <w:r>
        <w:rPr>
          <w:rFonts w:ascii="Arial" w:cs="Arial" w:eastAsia="Arial" w:hAnsi="Arial"/>
          <w:sz w:val="17"/>
          <w:szCs w:val="17"/>
          <w:u w:val="single" w:color="auto"/>
          <w:color w:val="0000FF"/>
        </w:rPr>
        <w:t>”), announced in a public statement the future cessation or loss of representativeness of overnight/Spot Next, 1-week, 1-month, 2-month, 3-month, 6-month and 12-month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Credit Document in respect of any setting of such Benchmark on such day and all subsequent settings without any amendment to, or further action or consent of any other party 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32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u w:val="single" w:color="auto"/>
          <w:color w:val="0000FF"/>
        </w:rPr>
        <w:t>this Agreement or any other Credit Document. If the Benchmark Replacement is Daily Simple SOFR, all interest payments will be payable on a quarterly basis.</w:t>
      </w:r>
    </w:p>
    <w:p>
      <w:pPr>
        <w:spacing w:after="0" w:line="1" w:lineRule="exact"/>
        <w:rPr>
          <w:sz w:val="20"/>
          <w:szCs w:val="20"/>
          <w:color w:val="auto"/>
        </w:rPr>
      </w:pPr>
    </w:p>
    <w:p>
      <w:pPr>
        <w:ind w:right="180" w:firstLine="656"/>
        <w:spacing w:after="0" w:line="253" w:lineRule="auto"/>
        <w:tabs>
          <w:tab w:leader="none" w:pos="1038" w:val="left"/>
        </w:tabs>
        <w:numPr>
          <w:ilvl w:val="0"/>
          <w:numId w:val="7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Notwithstanding anything to the contrary in this Agreement or any other Credit Documents, if the Administrative Agent (after consultation with the Borrower) </w:t>
      </w:r>
      <w:r>
        <w:rPr>
          <w:rFonts w:ascii="Arial" w:cs="Arial" w:eastAsia="Arial" w:hAnsi="Arial"/>
          <w:sz w:val="18"/>
          <w:szCs w:val="18"/>
          <w:color w:val="008000"/>
          <w:strike w:val="1"/>
        </w:rPr>
        <w:t>determines (which determination shall be conclusive absent manifest error)</w:t>
      </w:r>
      <w:r>
        <w:rPr>
          <w:rFonts w:ascii="Arial" w:cs="Arial" w:eastAsia="Arial" w:hAnsi="Arial"/>
          <w:sz w:val="18"/>
          <w:szCs w:val="18"/>
          <w:color w:val="FF0000"/>
          <w:strike w:val="1"/>
        </w:rPr>
        <w:t xml:space="preserve">, or the Borrower or Required Lenders notify the Administrative Agent (with, </w:t>
      </w:r>
      <w:r>
        <w:rPr>
          <w:rFonts w:ascii="Arial" w:cs="Arial" w:eastAsia="Arial" w:hAnsi="Arial"/>
          <w:sz w:val="18"/>
          <w:szCs w:val="18"/>
          <w:color w:val="008000"/>
          <w:strike w:val="1"/>
        </w:rPr>
        <w:t>in the case of the</w:t>
      </w:r>
      <w:r>
        <w:rPr>
          <w:rFonts w:ascii="Arial" w:cs="Arial" w:eastAsia="Arial" w:hAnsi="Arial"/>
          <w:sz w:val="18"/>
          <w:szCs w:val="18"/>
          <w:color w:val="FF0000"/>
          <w:strike w:val="1"/>
        </w:rPr>
        <w:t xml:space="preserve"> Required Lenders, a copy to Borrower) that the Borrower or Required Lenders (as applicable) have determined, that:</w:t>
      </w:r>
    </w:p>
    <w:p>
      <w:pPr>
        <w:spacing w:after="0" w:line="192" w:lineRule="exact"/>
        <w:rPr>
          <w:rFonts w:ascii="Arial" w:cs="Arial" w:eastAsia="Arial" w:hAnsi="Arial"/>
          <w:sz w:val="18"/>
          <w:szCs w:val="18"/>
          <w:color w:val="FF0000"/>
          <w:strike w:val="1"/>
        </w:rPr>
      </w:pPr>
    </w:p>
    <w:p>
      <w:pPr>
        <w:ind w:left="660" w:right="20" w:firstLine="903"/>
        <w:spacing w:after="0" w:line="342" w:lineRule="auto"/>
        <w:tabs>
          <w:tab w:leader="none" w:pos="1917" w:val="left"/>
        </w:tabs>
        <w:numPr>
          <w:ilvl w:val="1"/>
          <w:numId w:val="77"/>
        </w:numPr>
        <w:rPr>
          <w:rFonts w:ascii="Arial" w:cs="Arial" w:eastAsia="Arial" w:hAnsi="Arial"/>
          <w:sz w:val="16"/>
          <w:szCs w:val="16"/>
          <w:color w:val="FF0000"/>
          <w:strike w:val="1"/>
        </w:rPr>
      </w:pPr>
      <w:r>
        <w:rPr>
          <w:rFonts w:ascii="Arial" w:cs="Arial" w:eastAsia="Arial" w:hAnsi="Arial"/>
          <w:sz w:val="16"/>
          <w:szCs w:val="16"/>
          <w:color w:val="FF0000"/>
          <w:strike w:val="1"/>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23" w:lineRule="exact"/>
        <w:rPr>
          <w:rFonts w:ascii="Arial" w:cs="Arial" w:eastAsia="Arial" w:hAnsi="Arial"/>
          <w:sz w:val="16"/>
          <w:szCs w:val="16"/>
          <w:color w:val="FF0000"/>
          <w:strike w:val="1"/>
        </w:rPr>
      </w:pPr>
    </w:p>
    <w:p>
      <w:pPr>
        <w:ind w:left="660" w:right="40" w:firstLine="903"/>
        <w:spacing w:after="0" w:line="263" w:lineRule="auto"/>
        <w:tabs>
          <w:tab w:leader="none" w:pos="1967" w:val="left"/>
        </w:tabs>
        <w:numPr>
          <w:ilvl w:val="1"/>
          <w:numId w:val="7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administrator of the LIBOR Screen Rate or a Governmental Authority having jurisdiction over </w:t>
      </w:r>
      <w:r>
        <w:rPr>
          <w:rFonts w:ascii="Arial" w:cs="Arial" w:eastAsia="Arial" w:hAnsi="Arial"/>
          <w:sz w:val="18"/>
          <w:szCs w:val="18"/>
          <w:color w:val="008000"/>
          <w:strike w:val="1"/>
        </w:rPr>
        <w:t>the Administrative Agent has</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made a </w:t>
      </w:r>
      <w:r>
        <w:rPr>
          <w:rFonts w:ascii="Arial" w:cs="Arial" w:eastAsia="Arial" w:hAnsi="Arial"/>
          <w:sz w:val="18"/>
          <w:szCs w:val="18"/>
          <w:color w:val="FF0000"/>
          <w:strike w:val="1"/>
        </w:rPr>
        <w:t>public statement identifying a specific date after which LIBOR or the LIBOR Screen Rate shall no longer be</w:t>
      </w:r>
      <w:r>
        <w:rPr>
          <w:rFonts w:ascii="Arial" w:cs="Arial" w:eastAsia="Arial" w:hAnsi="Arial"/>
          <w:sz w:val="18"/>
          <w:szCs w:val="18"/>
          <w:color w:val="008000"/>
          <w:strike w:val="1"/>
        </w:rPr>
        <w:t xml:space="preserve"> made available, or used for determining the interest rate of loans </w:t>
      </w:r>
      <w:r>
        <w:rPr>
          <w:rFonts w:ascii="Arial" w:cs="Arial" w:eastAsia="Arial" w:hAnsi="Arial"/>
          <w:sz w:val="18"/>
          <w:szCs w:val="18"/>
          <w:color w:val="FF0000"/>
          <w:strike w:val="1"/>
        </w:rPr>
        <w:t>(such specific date, the “</w:t>
      </w:r>
      <w:r>
        <w:rPr>
          <w:rFonts w:ascii="Arial" w:cs="Arial" w:eastAsia="Arial" w:hAnsi="Arial"/>
          <w:sz w:val="18"/>
          <w:szCs w:val="18"/>
          <w:b w:val="1"/>
          <w:bCs w:val="1"/>
          <w:color w:val="FF0000"/>
          <w:strike w:val="1"/>
        </w:rPr>
        <w:t>Scheduled Unavailability Date</w:t>
      </w:r>
      <w:r>
        <w:rPr>
          <w:rFonts w:ascii="Arial" w:cs="Arial" w:eastAsia="Arial" w:hAnsi="Arial"/>
          <w:sz w:val="18"/>
          <w:szCs w:val="18"/>
          <w:color w:val="FF0000"/>
          <w:strike w:val="1"/>
        </w:rPr>
        <w:t>”), or</w:t>
      </w:r>
    </w:p>
    <w:p>
      <w:pPr>
        <w:spacing w:after="0" w:line="183" w:lineRule="exact"/>
        <w:rPr>
          <w:rFonts w:ascii="Arial" w:cs="Arial" w:eastAsia="Arial" w:hAnsi="Arial"/>
          <w:sz w:val="18"/>
          <w:szCs w:val="18"/>
          <w:color w:val="FF0000"/>
          <w:strike w:val="1"/>
        </w:rPr>
      </w:pPr>
    </w:p>
    <w:p>
      <w:pPr>
        <w:ind w:left="660" w:right="80" w:firstLine="903"/>
        <w:spacing w:after="0" w:line="277" w:lineRule="auto"/>
        <w:tabs>
          <w:tab w:leader="none" w:pos="2017" w:val="left"/>
        </w:tabs>
        <w:numPr>
          <w:ilvl w:val="1"/>
          <w:numId w:val="77"/>
        </w:numPr>
        <w:rPr>
          <w:rFonts w:ascii="Arial" w:cs="Arial" w:eastAsia="Arial" w:hAnsi="Arial"/>
          <w:sz w:val="18"/>
          <w:szCs w:val="18"/>
          <w:color w:val="FF0000"/>
          <w:strike w:val="1"/>
        </w:rPr>
      </w:pPr>
      <w:r>
        <w:rPr>
          <w:rFonts w:ascii="Arial" w:cs="Arial" w:eastAsia="Arial" w:hAnsi="Arial"/>
          <w:sz w:val="18"/>
          <w:szCs w:val="18"/>
          <w:color w:val="FF0000"/>
          <w:strike w:val="1"/>
        </w:rPr>
        <w:t xml:space="preserve">syndicated loans </w:t>
      </w:r>
      <w:r>
        <w:rPr>
          <w:rFonts w:ascii="Arial" w:cs="Arial" w:eastAsia="Arial" w:hAnsi="Arial"/>
          <w:sz w:val="18"/>
          <w:szCs w:val="18"/>
          <w:color w:val="008000"/>
          <w:strike w:val="1"/>
        </w:rPr>
        <w:t>currently being executed, or that include language similar to that contained in</w:t>
      </w:r>
      <w:r>
        <w:rPr>
          <w:rFonts w:ascii="Arial" w:cs="Arial" w:eastAsia="Arial" w:hAnsi="Arial"/>
          <w:sz w:val="18"/>
          <w:szCs w:val="18"/>
          <w:color w:val="FF0000"/>
          <w:strike w:val="1"/>
        </w:rPr>
        <w:t xml:space="preserve"> this Section</w:t>
      </w:r>
      <w:r>
        <w:rPr>
          <w:rFonts w:ascii="Arial" w:cs="Arial" w:eastAsia="Arial" w:hAnsi="Arial"/>
          <w:sz w:val="18"/>
          <w:szCs w:val="18"/>
          <w:color w:val="008000"/>
          <w:strike w:val="1"/>
        </w:rPr>
        <w:t>, are being executed</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or amended (as applicable) to incorporate or adopt a new benchmark interest rate to replace LIBOR,</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FF0000"/>
          <w:strike w:val="1"/>
        </w:rPr>
        <w:t>then, reasonably promptly after such determination by the Administrative Agent or receipt by the Administrative Agent of such notice ,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Arial" w:cs="Arial" w:eastAsia="Arial" w:hAnsi="Arial"/>
          <w:sz w:val="18"/>
          <w:szCs w:val="18"/>
          <w:b w:val="1"/>
          <w:bCs w:val="1"/>
          <w:color w:val="FF0000"/>
          <w:strike w:val="1"/>
        </w:rPr>
        <w:t>LIBOR Successor Rate</w:t>
      </w:r>
      <w:r>
        <w:rPr>
          <w:rFonts w:ascii="Arial" w:cs="Arial" w:eastAsia="Arial" w:hAnsi="Arial"/>
          <w:sz w:val="18"/>
          <w:szCs w:val="18"/>
          <w:color w:val="FF0000"/>
          <w:strike w:val="1"/>
        </w:rPr>
        <w:t>”), together with any proposed LIBOR Successor Rate Conforming Changes (as defined below)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FF0000"/>
          <w:strike w:val="1"/>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LIBOR Loans shall be suspended, (to the extent of the affected LIBOR Loans or Interest Periods), and (y) the LIBOR Rate component shall no longer be utilized in determining the ABR. Upon receipt of such notice</w:t>
      </w:r>
      <w:r>
        <w:rPr>
          <w:rFonts w:ascii="Arial" w:cs="Arial" w:eastAsia="Arial" w:hAnsi="Arial"/>
          <w:sz w:val="16"/>
          <w:szCs w:val="16"/>
          <w:color w:val="008000"/>
          <w:strike w:val="1"/>
        </w:rPr>
        <w:t>, the Borrower may revoke any</w:t>
      </w:r>
      <w:r>
        <w:rPr>
          <w:rFonts w:ascii="Arial" w:cs="Arial" w:eastAsia="Arial" w:hAnsi="Arial"/>
          <w:sz w:val="16"/>
          <w:szCs w:val="16"/>
          <w:color w:val="FF0000"/>
          <w:strike w:val="1"/>
        </w:rPr>
        <w:t xml:space="preserve"> pending </w:t>
      </w:r>
      <w:r>
        <w:rPr>
          <w:rFonts w:ascii="Arial" w:cs="Arial" w:eastAsia="Arial" w:hAnsi="Arial"/>
          <w:sz w:val="16"/>
          <w:szCs w:val="16"/>
          <w:color w:val="008000"/>
          <w:strike w:val="1"/>
        </w:rPr>
        <w:t>request for a Borrowing of,</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conversion to or continuation of </w:t>
      </w:r>
      <w:r>
        <w:rPr>
          <w:rFonts w:ascii="Arial" w:cs="Arial" w:eastAsia="Arial" w:hAnsi="Arial"/>
          <w:sz w:val="16"/>
          <w:szCs w:val="16"/>
          <w:color w:val="FF0000"/>
          <w:strike w:val="1"/>
        </w:rPr>
        <w:t>LIBOR Loans (to the extent of the affected LIBOR Loans or Interest Periods) or, failing that,</w:t>
      </w:r>
      <w:r>
        <w:rPr>
          <w:rFonts w:ascii="Arial" w:cs="Arial" w:eastAsia="Arial" w:hAnsi="Arial"/>
          <w:sz w:val="16"/>
          <w:szCs w:val="16"/>
          <w:color w:val="008000"/>
          <w:strike w:val="1"/>
        </w:rPr>
        <w:t xml:space="preserve"> will be deemed to have converted such request into a request for a Borrowing of </w:t>
      </w:r>
      <w:r>
        <w:rPr>
          <w:rFonts w:ascii="Arial" w:cs="Arial" w:eastAsia="Arial" w:hAnsi="Arial"/>
          <w:sz w:val="16"/>
          <w:szCs w:val="16"/>
          <w:color w:val="FF0000"/>
          <w:strike w:val="1"/>
        </w:rPr>
        <w:t>ABR Loans (subject to the foregoing clause (y)) in the amount specified therein.</w:t>
      </w:r>
    </w:p>
    <w:p>
      <w:pPr>
        <w:spacing w:after="0" w:line="16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FF0000"/>
          <w:strike w:val="1"/>
        </w:rPr>
        <w:t>Notwithstanding anything else herein, any definition of “LIBOR Successor Rate” shall provide that in no event shall such LIBOR Successor Rate be less than 1.00% for purposes of this Agreement</w:t>
      </w:r>
    </w:p>
    <w:p>
      <w:pPr>
        <w:spacing w:after="0" w:line="1" w:lineRule="exact"/>
        <w:rPr>
          <w:sz w:val="20"/>
          <w:szCs w:val="20"/>
          <w:color w:val="auto"/>
        </w:rPr>
      </w:pPr>
    </w:p>
    <w:p>
      <w:pPr>
        <w:ind w:right="20" w:firstLine="8"/>
        <w:spacing w:after="0" w:line="268" w:lineRule="auto"/>
        <w:tabs>
          <w:tab w:leader="none" w:pos="400" w:val="left"/>
        </w:tabs>
        <w:numPr>
          <w:ilvl w:val="0"/>
          <w:numId w:val="7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Credit Document in respect of any Benchmark setting at or after 5:00 p.m.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(and any such objection shall be conclusive and binding absent manifest error); provided that solely in the event that the then-current Benchmark at the time of such Benchmark Transition Event is not a SOFR-based rate, the Benchmark Replacement therefor shall be determined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with clause (1) of the definition of “Benchmark Replacement” unless the Administrative Agent determines that neither of such alternative rates is available.</w:t>
      </w:r>
    </w:p>
    <w:p>
      <w:pPr>
        <w:spacing w:after="0" w:line="275" w:lineRule="exact"/>
        <w:rPr>
          <w:sz w:val="20"/>
          <w:szCs w:val="20"/>
          <w:color w:val="auto"/>
        </w:rPr>
      </w:pPr>
    </w:p>
    <w:p>
      <w:pPr>
        <w:jc w:val="both"/>
        <w:ind w:right="60" w:firstLine="656"/>
        <w:spacing w:after="0" w:line="263" w:lineRule="auto"/>
        <w:tabs>
          <w:tab w:leader="none" w:pos="903" w:val="left"/>
        </w:tabs>
        <w:numPr>
          <w:ilvl w:val="1"/>
          <w:numId w:val="7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On the Early Opt-in Effective Date in respect of an Other Rate Early Opt-in, the Benchmark Replacement will replace LIBOR for all purposes hereunder and under any Credit Document in respect of any setting of such Benchmark on such day and all subsequent settings without any amendment to, or further action or consent of any other party to this Agreement or any other Credit Document.</w:t>
      </w:r>
    </w:p>
    <w:p>
      <w:pPr>
        <w:spacing w:after="0" w:line="210" w:lineRule="exact"/>
        <w:rPr>
          <w:rFonts w:ascii="Arial" w:cs="Arial" w:eastAsia="Arial" w:hAnsi="Arial"/>
          <w:sz w:val="18"/>
          <w:szCs w:val="18"/>
          <w:u w:val="single" w:color="auto"/>
          <w:color w:val="0000FF"/>
        </w:rPr>
      </w:pPr>
    </w:p>
    <w:p>
      <w:pPr>
        <w:ind w:right="40" w:firstLine="8"/>
        <w:spacing w:after="0" w:line="254" w:lineRule="auto"/>
        <w:tabs>
          <w:tab w:leader="none" w:pos="450" w:val="left"/>
        </w:tabs>
        <w:numPr>
          <w:ilvl w:val="0"/>
          <w:numId w:val="8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w:t>
      </w:r>
      <w:r>
        <w:rPr>
          <w:rFonts w:ascii="Arial" w:cs="Arial" w:eastAsia="Arial" w:hAnsi="Arial"/>
          <w:sz w:val="18"/>
          <w:szCs w:val="18"/>
          <w:u w:val="single" w:color="auto"/>
          <w:color w:val="008000"/>
        </w:rPr>
        <w:t>, the Borrower may revoke any request for a borrowing of, conversion to or continuation of</w:t>
      </w:r>
      <w:r>
        <w:rPr>
          <w:rFonts w:ascii="Arial" w:cs="Arial" w:eastAsia="Arial" w:hAnsi="Arial"/>
          <w:sz w:val="18"/>
          <w:szCs w:val="18"/>
          <w:u w:val="single" w:color="auto"/>
          <w:color w:val="0000FF"/>
        </w:rPr>
        <w:t xml:space="preserve"> Loans to be made, converted or continued that would bear interest by reference to such Benchmark until the Borrower’s receipt of notice from the Administrative Agent that a Benchmark Replacement has replaced such Benchmark, and, failing that, the Borrower </w:t>
      </w:r>
      <w:r>
        <w:rPr>
          <w:rFonts w:ascii="Arial" w:cs="Arial" w:eastAsia="Arial" w:hAnsi="Arial"/>
          <w:sz w:val="18"/>
          <w:szCs w:val="18"/>
          <w:u w:val="single" w:color="auto"/>
          <w:color w:val="008000"/>
        </w:rPr>
        <w:t>will be deemed to have converted</w:t>
      </w:r>
      <w:r>
        <w:rPr>
          <w:rFonts w:ascii="Arial" w:cs="Arial" w:eastAsia="Arial" w:hAnsi="Arial"/>
          <w:sz w:val="18"/>
          <w:szCs w:val="18"/>
          <w:u w:val="single" w:color="auto"/>
          <w:color w:val="0000FF"/>
        </w:rPr>
        <w:t xml:space="preserve"> any </w:t>
      </w:r>
      <w:r>
        <w:rPr>
          <w:rFonts w:ascii="Arial" w:cs="Arial" w:eastAsia="Arial" w:hAnsi="Arial"/>
          <w:sz w:val="18"/>
          <w:szCs w:val="18"/>
          <w:u w:val="single" w:color="auto"/>
          <w:color w:val="008000"/>
        </w:rPr>
        <w:t>such request into a request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for a borrowing of </w:t>
      </w:r>
      <w:r>
        <w:rPr>
          <w:rFonts w:ascii="Arial" w:cs="Arial" w:eastAsia="Arial" w:hAnsi="Arial"/>
          <w:sz w:val="18"/>
          <w:szCs w:val="18"/>
          <w:u w:val="single" w:color="auto"/>
          <w:color w:val="0000FF"/>
        </w:rPr>
        <w:t>or conversion to ABR Loans. During the period referenced in the foregoing sentence, the component of ABR based upon the</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Benchmark will not be used in any determination of ABR.</w:t>
      </w:r>
    </w:p>
    <w:p>
      <w:pPr>
        <w:spacing w:after="0" w:line="218" w:lineRule="exact"/>
        <w:rPr>
          <w:rFonts w:ascii="Arial" w:cs="Arial" w:eastAsia="Arial" w:hAnsi="Arial"/>
          <w:sz w:val="18"/>
          <w:szCs w:val="18"/>
          <w:u w:val="single" w:color="auto"/>
          <w:color w:val="0000FF"/>
        </w:rPr>
      </w:pPr>
    </w:p>
    <w:p>
      <w:pPr>
        <w:ind w:right="260" w:firstLine="8"/>
        <w:spacing w:after="0" w:line="259" w:lineRule="auto"/>
        <w:tabs>
          <w:tab w:leader="none" w:pos="485" w:val="left"/>
        </w:tabs>
        <w:numPr>
          <w:ilvl w:val="0"/>
          <w:numId w:val="8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connection with the implementation and administration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w:t>
      </w:r>
    </w:p>
    <w:p>
      <w:pPr>
        <w:spacing w:after="0" w:line="213" w:lineRule="exact"/>
        <w:rPr>
          <w:rFonts w:ascii="Arial" w:cs="Arial" w:eastAsia="Arial" w:hAnsi="Arial"/>
          <w:sz w:val="18"/>
          <w:szCs w:val="18"/>
          <w:u w:val="single" w:color="auto"/>
          <w:color w:val="0000FF"/>
        </w:rPr>
      </w:pPr>
    </w:p>
    <w:p>
      <w:pPr>
        <w:ind w:right="80" w:firstLine="8"/>
        <w:spacing w:after="0" w:line="296" w:lineRule="auto"/>
        <w:tabs>
          <w:tab w:leader="none" w:pos="390" w:val="left"/>
        </w:tabs>
        <w:numPr>
          <w:ilvl w:val="0"/>
          <w:numId w:val="8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Section 2.10(d),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2.10(d).</w:t>
      </w:r>
    </w:p>
    <w:p>
      <w:pPr>
        <w:spacing w:after="0" w:line="188" w:lineRule="exact"/>
        <w:rPr>
          <w:rFonts w:ascii="Arial" w:cs="Arial" w:eastAsia="Arial" w:hAnsi="Arial"/>
          <w:sz w:val="16"/>
          <w:szCs w:val="16"/>
          <w:u w:val="single" w:color="auto"/>
          <w:color w:val="0000FF"/>
        </w:rPr>
      </w:pPr>
    </w:p>
    <w:p>
      <w:pPr>
        <w:ind w:right="180" w:firstLine="8"/>
        <w:spacing w:after="0" w:line="259" w:lineRule="auto"/>
        <w:tabs>
          <w:tab w:leader="none" w:pos="440" w:val="left"/>
        </w:tabs>
        <w:numPr>
          <w:ilvl w:val="0"/>
          <w:numId w:val="8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13.7</w:t>
      </w:r>
      <w:r>
        <w:rPr>
          <w:rFonts w:ascii="Arial" w:cs="Arial" w:eastAsia="Arial" w:hAnsi="Arial"/>
          <w:sz w:val="17"/>
          <w:szCs w:val="17"/>
          <w:color w:val="auto"/>
        </w:rPr>
        <w:t xml:space="preserve">, as a result of acceleration of the maturity of the Loans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for any other reason, (b) any Borrowing of LIBOR Loans is not made as a result of a withdrawn Notice of Borrowing or a failure to satisfy borrowing conditions, (c) any ABR Loan is not converted into a LIBOR Loan as a result of a withdrawn Notice of Conversion or Continuation, (d) any LIBOR Loan is not continued as a LIBOR Loan, as the case may be, as a result of a withdrawn Notice of Conversion or Continuation or (e) any prepayment of principal of any LIBOR Loan is not made as a result of a withdrawn notice of prepayment pursuant to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32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Lender to fund or maintain such LIBOR Loan. A certificate of a Lender setting forth the amount or amounts necessary to compensate such Lender as specified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setting forth in reasonable detail the manner in which such amount or amounts were determined shall be delivered to the Borrower and shall be conclusive, absent manifest error.</w:t>
      </w:r>
    </w:p>
    <w:p>
      <w:pPr>
        <w:spacing w:after="0" w:line="18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Change of Lending Office</w:t>
      </w:r>
      <w:r>
        <w:rPr>
          <w:rFonts w:ascii="Arial" w:cs="Arial" w:eastAsia="Arial" w:hAnsi="Arial"/>
          <w:sz w:val="17"/>
          <w:szCs w:val="17"/>
          <w:color w:val="auto"/>
        </w:rPr>
        <w:t xml:space="preserve">. Each Lender agrees that, upon the occurrence of any event giving rise to the operation of </w:t>
      </w:r>
      <w:r>
        <w:rPr>
          <w:rFonts w:ascii="Arial" w:cs="Arial" w:eastAsia="Arial" w:hAnsi="Arial"/>
          <w:sz w:val="17"/>
          <w:szCs w:val="17"/>
          <w:u w:val="single" w:color="auto"/>
          <w:color w:val="auto"/>
        </w:rPr>
        <w:t>Sections 2.10(a)(ii)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2.10(a)(iii)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2.10(b)</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affect or postpone any of the obligations of the Borrower or the right of any Lender provided in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w:t>
      </w:r>
    </w:p>
    <w:p>
      <w:pPr>
        <w:spacing w:after="0" w:line="17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Notice of Certain Costs</w:t>
      </w:r>
      <w:r>
        <w:rPr>
          <w:rFonts w:ascii="Arial" w:cs="Arial" w:eastAsia="Arial" w:hAnsi="Arial"/>
          <w:sz w:val="16"/>
          <w:szCs w:val="16"/>
          <w:color w:val="auto"/>
        </w:rPr>
        <w:t>. Notwithstanding anything in this Agreement to the contrary, to the extent any notice required by</w:t>
      </w:r>
      <w:r>
        <w:rPr>
          <w:rFonts w:ascii="Arial" w:cs="Arial" w:eastAsia="Arial" w:hAnsi="Arial"/>
          <w:sz w:val="16"/>
          <w:szCs w:val="16"/>
          <w:u w:val="single" w:color="auto"/>
          <w:color w:val="auto"/>
        </w:rPr>
        <w:t xml:space="preserve"> Sections 2.10</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is given by any Lender more than 120 days after such Lender has knowledge (or should have had knowledge) of the occurrence of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rise to the additional cost, reduction in amounts, loss, or other additional amounts described in such Sections, such Lender shall not be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compensation under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as the case may be, for any such amounts incurred or accruing prior to the 121st day prior to the giving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such notice to the Borrower.</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4" w:lineRule="auto"/>
        <w:tabs>
          <w:tab w:leader="none" w:pos="10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Borrower may by written notice to Administrative Agent elect to request the establishment of one or more (x) additional tranches of term loans (the commitments thereto, the “</w:t>
      </w:r>
      <w:r>
        <w:rPr>
          <w:rFonts w:ascii="Arial" w:cs="Arial" w:eastAsia="Arial" w:hAnsi="Arial"/>
          <w:sz w:val="16"/>
          <w:szCs w:val="16"/>
          <w:b w:val="1"/>
          <w:bCs w:val="1"/>
          <w:color w:val="auto"/>
        </w:rPr>
        <w:t>New Term Loan Commitments</w:t>
      </w:r>
      <w:r>
        <w:rPr>
          <w:rFonts w:ascii="Arial" w:cs="Arial" w:eastAsia="Arial" w:hAnsi="Arial"/>
          <w:sz w:val="16"/>
          <w:szCs w:val="16"/>
          <w:color w:val="auto"/>
        </w:rPr>
        <w:t>”), (y) increases in Revolving Credit Commitments (the “</w:t>
      </w:r>
      <w:r>
        <w:rPr>
          <w:rFonts w:ascii="Arial" w:cs="Arial" w:eastAsia="Arial" w:hAnsi="Arial"/>
          <w:sz w:val="16"/>
          <w:szCs w:val="16"/>
          <w:b w:val="1"/>
          <w:bCs w:val="1"/>
          <w:color w:val="auto"/>
        </w:rPr>
        <w:t>New Revolving Credit</w:t>
      </w:r>
      <w:r>
        <w:rPr>
          <w:rFonts w:ascii="Arial" w:cs="Arial" w:eastAsia="Arial" w:hAnsi="Arial"/>
          <w:sz w:val="16"/>
          <w:szCs w:val="16"/>
          <w:color w:val="auto"/>
        </w:rPr>
        <w:t xml:space="preserve"> </w:t>
      </w:r>
      <w:r>
        <w:rPr>
          <w:rFonts w:ascii="Arial" w:cs="Arial" w:eastAsia="Arial" w:hAnsi="Arial"/>
          <w:sz w:val="16"/>
          <w:szCs w:val="16"/>
          <w:b w:val="1"/>
          <w:bCs w:val="1"/>
          <w:color w:val="auto"/>
        </w:rPr>
        <w:t>Commitments</w:t>
      </w:r>
      <w:r>
        <w:rPr>
          <w:rFonts w:ascii="Arial" w:cs="Arial" w:eastAsia="Arial" w:hAnsi="Arial"/>
          <w:sz w:val="16"/>
          <w:szCs w:val="16"/>
          <w:color w:val="auto"/>
        </w:rPr>
        <w:t>” and together with the New Term Loan Commitments, the “</w:t>
      </w:r>
      <w:r>
        <w:rPr>
          <w:rFonts w:ascii="Arial" w:cs="Arial" w:eastAsia="Arial" w:hAnsi="Arial"/>
          <w:sz w:val="16"/>
          <w:szCs w:val="16"/>
          <w:b w:val="1"/>
          <w:bCs w:val="1"/>
          <w:color w:val="auto"/>
        </w:rPr>
        <w:t>New Loan Commitments</w:t>
      </w:r>
      <w:r>
        <w:rPr>
          <w:rFonts w:ascii="Arial" w:cs="Arial" w:eastAsia="Arial" w:hAnsi="Arial"/>
          <w:sz w:val="16"/>
          <w:szCs w:val="16"/>
          <w:color w:val="auto"/>
        </w:rPr>
        <w:t>”), by an aggregate amount not in excess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Incremental Facilities Amount in the aggregate and not less than $10,000,000 individually (or such lesser amount as (x) may be approved by the Administrative Agent or (y) shall constitute the difference between the Maximum Incremental Facilities Amount and all such New Loan Commitments obtained on or prior to such date). Each such notice shall specify the date (each, an “</w:t>
      </w:r>
      <w:r>
        <w:rPr>
          <w:rFonts w:ascii="Arial" w:cs="Arial" w:eastAsia="Arial" w:hAnsi="Arial"/>
          <w:sz w:val="16"/>
          <w:szCs w:val="16"/>
          <w:b w:val="1"/>
          <w:bCs w:val="1"/>
          <w:color w:val="auto"/>
        </w:rPr>
        <w:t>Increased Amount Date</w:t>
      </w:r>
      <w:r>
        <w:rPr>
          <w:rFonts w:ascii="Arial" w:cs="Arial" w:eastAsia="Arial" w:hAnsi="Arial"/>
          <w:sz w:val="16"/>
          <w:szCs w:val="16"/>
          <w:color w:val="auto"/>
        </w:rPr>
        <w:t xml:space="preserve">”) on which the Borrower proposes that the New Loan Commitments shall be effective. In connection with the incurrence of any Indebtedness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at the request of the Administrative Agent, the Borrower shall provide to the Administrative Agent a certificate certifying that the New Loan Commitments do not exceed the Maximum Incremental Facilities Amount, which certificate shall be in reasonable detail and shall provide the calculations and basis therefor. The Borrower may approach any Lender or any Person (other than a natural Person) to provide all or a portion of the New Loan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Lender offered or approached to provide all or a portion of the New Loan Commitments may elect or decline, in its sole discretion, to provide a New Loan Commitment. In each case, such New Loan Commitments shall become effective as of the applicable Increased Amount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Event of Default (except in connection with an acquisition or investment, no Event of Default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exist on such Increased Amount Date before or after giving effect to such New Loan Commitments, as applicable, (ii) the New Loan Commitments shall be effected pursuant to one or more Joinder Agreements executed and delivered by the Borrower and Administrative Agent, and each of which shall be recorded in the Register and shall be subject to the requirements set forth in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and (iii) the Borrower shall make any payments required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 connection with the New Loan Commitments, as applicable. No Lender shall have any obligation to provide any Commitments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2.14(a)</w:t>
      </w:r>
      <w:r>
        <w:rPr>
          <w:rFonts w:ascii="Arial" w:cs="Arial" w:eastAsia="Arial" w:hAnsi="Arial"/>
          <w:sz w:val="16"/>
          <w:szCs w:val="16"/>
          <w:color w:val="auto"/>
        </w:rPr>
        <w:t xml:space="preserve">. Any New Term Loans made on an Increased Amount Date shall </w:t>
      </w:r>
      <w:r>
        <w:rPr>
          <w:rFonts w:ascii="Arial" w:cs="Arial" w:eastAsia="Arial" w:hAnsi="Arial"/>
          <w:sz w:val="16"/>
          <w:szCs w:val="16"/>
          <w:color w:val="FF0000"/>
          <w:strike w:val="1"/>
        </w:rPr>
        <w:t>constitute an increase in a then existing Class of Term Loans under this</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Agreement;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if the upfront fees payable to any Lender providing New Loan Commitments are higher than the upfront fees paid to the existing Lenders in the primary syndication of the Term A Loans and Revolving Commitments, the Borrower shall pay the differential (in basis points) to each the existing Lender with respect to its Revolving Commitments and Term A Loans</w:t>
      </w:r>
      <w:r>
        <w:rPr>
          <w:rFonts w:ascii="Arial" w:cs="Arial" w:eastAsia="Arial" w:hAnsi="Arial"/>
          <w:sz w:val="16"/>
          <w:szCs w:val="16"/>
          <w:u w:val="single" w:color="auto"/>
          <w:color w:val="0000FF"/>
          <w:strike w:val="1"/>
        </w:rPr>
        <w:t>, at the election of the Borrower and agreed to by the Lenders providing such</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New Term Loan Commitments, be designated as (a) a separate series (a “</w:t>
      </w:r>
      <w:r>
        <w:rPr>
          <w:rFonts w:ascii="Arial" w:cs="Arial" w:eastAsia="Arial" w:hAnsi="Arial"/>
          <w:sz w:val="16"/>
          <w:szCs w:val="16"/>
          <w:b w:val="1"/>
          <w:bCs w:val="1"/>
          <w:u w:val="single" w:color="auto"/>
          <w:color w:val="0000FF"/>
          <w:strike w:val="1"/>
        </w:rPr>
        <w:t>Series</w:t>
      </w:r>
      <w:r>
        <w:rPr>
          <w:rFonts w:ascii="Arial" w:cs="Arial" w:eastAsia="Arial" w:hAnsi="Arial"/>
          <w:sz w:val="16"/>
          <w:szCs w:val="16"/>
          <w:u w:val="single" w:color="auto"/>
          <w:color w:val="0000FF"/>
          <w:strike w:val="1"/>
        </w:rPr>
        <w: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New Term Loans for all purposes of this Agreement or (b) as part of a Series of existing Term Loans for all purposes of this Agreement</w:t>
      </w:r>
      <w:r>
        <w:rPr>
          <w:rFonts w:ascii="Arial" w:cs="Arial" w:eastAsia="Arial" w:hAnsi="Arial"/>
          <w:sz w:val="18"/>
          <w:szCs w:val="18"/>
          <w:color w:val="000000"/>
        </w:rPr>
        <w:t>.</w:t>
      </w:r>
    </w:p>
    <w:p>
      <w:pPr>
        <w:spacing w:after="0" w:line="225" w:lineRule="exact"/>
        <w:rPr>
          <w:sz w:val="20"/>
          <w:szCs w:val="20"/>
          <w:color w:val="auto"/>
        </w:rPr>
      </w:pPr>
    </w:p>
    <w:p>
      <w:pPr>
        <w:ind w:right="40" w:firstLine="656"/>
        <w:spacing w:after="0" w:line="269" w:lineRule="auto"/>
        <w:tabs>
          <w:tab w:leader="none" w:pos="1038"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any Increased Amount Date on which New Revolving Credit Commitments (and each Loan made under a New Revolving Credit Commitment (a “</w:t>
      </w:r>
      <w:r>
        <w:rPr>
          <w:rFonts w:ascii="Arial" w:cs="Arial" w:eastAsia="Arial" w:hAnsi="Arial"/>
          <w:sz w:val="17"/>
          <w:szCs w:val="17"/>
          <w:b w:val="1"/>
          <w:bCs w:val="1"/>
          <w:color w:val="auto"/>
        </w:rPr>
        <w:t>New Revolving Credit Loan</w:t>
      </w:r>
      <w:r>
        <w:rPr>
          <w:rFonts w:ascii="Arial" w:cs="Arial" w:eastAsia="Arial" w:hAnsi="Arial"/>
          <w:sz w:val="17"/>
          <w:szCs w:val="17"/>
          <w:color w:val="auto"/>
        </w:rPr>
        <w:t>”) are effected, subject to the satisfaction of the foregoing terms and conditions, each of the Lenders with Revolving Credit Commitments of such Class shall assign to each Lender with a New Revolving Credit Commitment (each, a “</w:t>
      </w:r>
      <w:r>
        <w:rPr>
          <w:rFonts w:ascii="Arial" w:cs="Arial" w:eastAsia="Arial" w:hAnsi="Arial"/>
          <w:sz w:val="17"/>
          <w:szCs w:val="17"/>
          <w:b w:val="1"/>
          <w:bCs w:val="1"/>
          <w:color w:val="auto"/>
        </w:rPr>
        <w:t>New Revolving Loan</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and each of the New Revolving Loan Lenders shall purchase from each of the Lenders with Revolving Credit Commitments of such Class,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thereof, such interests in the Revolving Credit Loans outstanding on such Increased Amount Date as shall be necessary in order that, after giving effect to all such assignments and purchases, the Revolving Credit Loans of such Class will be held by existing Revolving Credit Lenders and New Revolving Loan Lenders ratably in accordance with their Revolving Credit Commitments of such Class after giving effect to the addition of such New Revolving Credit Commitments to the Revolving Credit Commitments and each New Revolving Loan Lender and shall become a Lender with respect to the New Revolving Credit Commitment and all matters relating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the Swingline Lender and the Letter of Credit Issuer shall have consented (not to be unreasonably withheld or delayed) to such Lender’s or New Revolving Loan Lender’s providing such New Revolving Credit Commitment to the extent such consent, if any, would be required under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for an assignment of Revolving Loans or Revolving Credit Commitments, as applicable, to such Lender or New Revolving Loan Lender.</w:t>
      </w:r>
    </w:p>
    <w:p>
      <w:pPr>
        <w:spacing w:after="0" w:line="178" w:lineRule="exact"/>
        <w:rPr>
          <w:rFonts w:ascii="Arial" w:cs="Arial" w:eastAsia="Arial" w:hAnsi="Arial"/>
          <w:sz w:val="17"/>
          <w:szCs w:val="17"/>
          <w:color w:val="auto"/>
        </w:rPr>
      </w:pPr>
    </w:p>
    <w:p>
      <w:pPr>
        <w:ind w:right="40" w:firstLine="656"/>
        <w:spacing w:after="0" w:line="275" w:lineRule="auto"/>
        <w:tabs>
          <w:tab w:leader="none" w:pos="10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any Increased Amount Date on which any New Term Loan Commitments of any Series are effective, subject to the satisfaction of the foregoing terms and conditions, (i) each Lender with a New Term Loan Commitment (each, a “</w:t>
      </w:r>
      <w:r>
        <w:rPr>
          <w:rFonts w:ascii="Arial" w:cs="Arial" w:eastAsia="Arial" w:hAnsi="Arial"/>
          <w:sz w:val="17"/>
          <w:szCs w:val="17"/>
          <w:b w:val="1"/>
          <w:bCs w:val="1"/>
          <w:color w:val="auto"/>
        </w:rPr>
        <w:t>New Term Loan Lender</w:t>
      </w:r>
      <w:r>
        <w:rPr>
          <w:rFonts w:ascii="Arial" w:cs="Arial" w:eastAsia="Arial" w:hAnsi="Arial"/>
          <w:sz w:val="17"/>
          <w:szCs w:val="17"/>
          <w:color w:val="auto"/>
        </w:rPr>
        <w:t>”) of any Series shall make a Loan to the Borrower (a “</w:t>
      </w:r>
      <w:r>
        <w:rPr>
          <w:rFonts w:ascii="Arial" w:cs="Arial" w:eastAsia="Arial" w:hAnsi="Arial"/>
          <w:sz w:val="17"/>
          <w:szCs w:val="17"/>
          <w:b w:val="1"/>
          <w:bCs w:val="1"/>
          <w:color w:val="auto"/>
        </w:rPr>
        <w:t>New Term Loan</w:t>
      </w:r>
      <w:r>
        <w:rPr>
          <w:rFonts w:ascii="Arial" w:cs="Arial" w:eastAsia="Arial" w:hAnsi="Arial"/>
          <w:sz w:val="17"/>
          <w:szCs w:val="17"/>
          <w:color w:val="auto"/>
        </w:rPr>
        <w:t>” and, together with the New Revolving Credit Loans, the “</w:t>
      </w:r>
      <w:r>
        <w:rPr>
          <w:rFonts w:ascii="Arial" w:cs="Arial" w:eastAsia="Arial" w:hAnsi="Arial"/>
          <w:sz w:val="17"/>
          <w:szCs w:val="17"/>
          <w:b w:val="1"/>
          <w:bCs w:val="1"/>
          <w:color w:val="auto"/>
        </w:rPr>
        <w:t>Incremental Loans</w:t>
      </w:r>
      <w:r>
        <w:rPr>
          <w:rFonts w:ascii="Arial" w:cs="Arial" w:eastAsia="Arial" w:hAnsi="Arial"/>
          <w:sz w:val="17"/>
          <w:szCs w:val="17"/>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176" w:lineRule="exact"/>
        <w:rPr>
          <w:rFonts w:ascii="Arial" w:cs="Arial" w:eastAsia="Arial" w:hAnsi="Arial"/>
          <w:sz w:val="17"/>
          <w:szCs w:val="17"/>
          <w:color w:val="auto"/>
        </w:rPr>
      </w:pPr>
    </w:p>
    <w:p>
      <w:pPr>
        <w:ind w:firstLine="656"/>
        <w:spacing w:after="0" w:line="269" w:lineRule="auto"/>
        <w:tabs>
          <w:tab w:leader="none" w:pos="1034"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terms and provisions of the New Term Loans and New Term Loan Commitments of any Series shall be on terms and documentation set forth in the Joinder Agreement as determined by the Borrower, </w:t>
      </w:r>
      <w:r>
        <w:rPr>
          <w:rFonts w:ascii="Arial" w:cs="Arial" w:eastAsia="Arial" w:hAnsi="Arial"/>
          <w:sz w:val="17"/>
          <w:szCs w:val="17"/>
          <w:color w:val="FF0000"/>
          <w:strike w:val="1"/>
        </w:rPr>
        <w:t>which shall be identical to the Term Loans of any then existing Class.</w:t>
      </w:r>
      <w:r>
        <w:rPr>
          <w:rFonts w:ascii="Arial" w:cs="Arial" w:eastAsia="Arial" w:hAnsi="Arial"/>
          <w:sz w:val="17"/>
          <w:szCs w:val="17"/>
          <w:u w:val="single" w:color="auto"/>
          <w:color w:val="0000FF"/>
        </w:rPr>
        <w:t>provided that (i)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applicable New Term Loan Maturity Date of each Series shall be no earlier than the Term A Loan Maturity Date; (ii) the weighted average life to maturity of all New Term Loans shall be no shorter than the weighted average life to maturity of the then existing Term A Loans as calculated without giving effect to any prepayments made in connection with the Term Loans; (iii) the pricing, interest rate margins, discounts, premiums, rate floors, fees, and amortization schedule applicable to any New Term Loans shall be determined by the Borrower and the Lenders thereunder; and (iv) to the extent such terms and documentation are not consistent with the then existing Term Loans (except to the extent permitted by clause (i), (ii) or (iii)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or other provisions are only applicable after the Latest Term Loan Maturity Date).</w:t>
      </w:r>
    </w:p>
    <w:p>
      <w:pPr>
        <w:spacing w:after="0" w:line="178" w:lineRule="exact"/>
        <w:rPr>
          <w:rFonts w:ascii="Arial" w:cs="Arial" w:eastAsia="Arial" w:hAnsi="Arial"/>
          <w:sz w:val="17"/>
          <w:szCs w:val="17"/>
          <w:color w:val="auto"/>
        </w:rPr>
      </w:pPr>
    </w:p>
    <w:p>
      <w:pPr>
        <w:ind w:right="20" w:firstLine="656"/>
        <w:spacing w:after="0" w:line="277" w:lineRule="auto"/>
        <w:tabs>
          <w:tab w:leader="none" w:pos="10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New Revolving Credit Commitments shall be identical to the Revolving Credit Commitments of the applicable Class (other than with respect to upfront fees) and other than the Maturity Date and as set forth in this </w:t>
      </w:r>
      <w:r>
        <w:rPr>
          <w:rFonts w:ascii="Arial" w:cs="Arial" w:eastAsia="Arial" w:hAnsi="Arial"/>
          <w:sz w:val="18"/>
          <w:szCs w:val="18"/>
          <w:u w:val="single" w:color="auto"/>
          <w:color w:val="auto"/>
        </w:rPr>
        <w:t>Section 2.14(e)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656"/>
        <w:spacing w:after="0" w:line="342" w:lineRule="auto"/>
        <w:tabs>
          <w:tab w:leader="none" w:pos="1008"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318" w:lineRule="exact"/>
        <w:rPr>
          <w:sz w:val="20"/>
          <w:szCs w:val="20"/>
          <w:color w:val="auto"/>
        </w:rPr>
      </w:pPr>
    </w:p>
    <w:p>
      <w:pPr>
        <w:ind w:left="-8" w:firstLine="656"/>
        <w:spacing w:after="0" w:line="284" w:lineRule="auto"/>
        <w:tabs>
          <w:tab w:leader="none" w:pos="1030" w:val="left"/>
        </w:tabs>
        <w:numPr>
          <w:ilvl w:val="1"/>
          <w:numId w:val="83"/>
        </w:numPr>
        <w:rPr>
          <w:rFonts w:ascii="Arial" w:cs="Arial" w:eastAsia="Arial" w:hAnsi="Arial"/>
          <w:sz w:val="16"/>
          <w:szCs w:val="16"/>
          <w:color w:val="auto"/>
        </w:rPr>
      </w:pPr>
      <w:r>
        <w:rPr>
          <w:rFonts w:ascii="Arial" w:cs="Arial" w:eastAsia="Arial" w:hAnsi="Arial"/>
          <w:sz w:val="16"/>
          <w:szCs w:val="16"/>
          <w:color w:val="auto"/>
        </w:rPr>
        <w:t>(i) The Borrower may at any time and from time to time request that all or a portion of the Term Loans of any Class (an “</w:t>
      </w:r>
      <w:r>
        <w:rPr>
          <w:rFonts w:ascii="Arial" w:cs="Arial" w:eastAsia="Arial" w:hAnsi="Arial"/>
          <w:sz w:val="16"/>
          <w:szCs w:val="16"/>
          <w:b w:val="1"/>
          <w:bCs w:val="1"/>
          <w:color w:val="auto"/>
        </w:rPr>
        <w:t>Existing Term</w:t>
      </w:r>
      <w:r>
        <w:rPr>
          <w:rFonts w:ascii="Arial" w:cs="Arial" w:eastAsia="Arial" w:hAnsi="Arial"/>
          <w:sz w:val="16"/>
          <w:szCs w:val="16"/>
          <w:color w:val="auto"/>
        </w:rPr>
        <w:t xml:space="preserve"> </w:t>
      </w:r>
      <w:r>
        <w:rPr>
          <w:rFonts w:ascii="Arial" w:cs="Arial" w:eastAsia="Arial" w:hAnsi="Arial"/>
          <w:sz w:val="16"/>
          <w:szCs w:val="16"/>
          <w:b w:val="1"/>
          <w:bCs w:val="1"/>
          <w:color w:val="auto"/>
        </w:rPr>
        <w:t>Loan Class</w:t>
      </w:r>
      <w:r>
        <w:rPr>
          <w:rFonts w:ascii="Arial" w:cs="Arial" w:eastAsia="Arial" w:hAnsi="Arial"/>
          <w:sz w:val="16"/>
          <w:szCs w:val="16"/>
          <w:color w:val="auto"/>
        </w:rPr>
        <w:t>”) be converted to extend the scheduled maturity date(s) of any payment of principal with respect to all or a portion of any principal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Term Loans (any such Term Loans which have been so converted, “</w:t>
      </w:r>
      <w:r>
        <w:rPr>
          <w:rFonts w:ascii="Arial" w:cs="Arial" w:eastAsia="Arial" w:hAnsi="Arial"/>
          <w:sz w:val="16"/>
          <w:szCs w:val="16"/>
          <w:b w:val="1"/>
          <w:bCs w:val="1"/>
          <w:color w:val="auto"/>
        </w:rPr>
        <w:t>Extended 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2.14(g)</w:t>
      </w:r>
      <w:r>
        <w:rPr>
          <w:rFonts w:ascii="Arial" w:cs="Arial" w:eastAsia="Arial" w:hAnsi="Arial"/>
          <w:sz w:val="16"/>
          <w:szCs w:val="16"/>
          <w:color w:val="auto"/>
        </w:rPr>
        <w:t>. In order to establish any Extended Term Loans, the Borrower shall provide a notice to the Administrative Agent (who shall provide a copy of such notice to each of the Lenders of the applicable Existing Term Loan Class which such request shall be offered equally to all such Lenders) (a “</w:t>
      </w:r>
      <w:r>
        <w:rPr>
          <w:rFonts w:ascii="Arial" w:cs="Arial" w:eastAsia="Arial" w:hAnsi="Arial"/>
          <w:sz w:val="16"/>
          <w:szCs w:val="16"/>
          <w:b w:val="1"/>
          <w:bCs w:val="1"/>
          <w:color w:val="auto"/>
        </w:rPr>
        <w:t>Term</w:t>
      </w:r>
      <w:r>
        <w:rPr>
          <w:rFonts w:ascii="Arial" w:cs="Arial" w:eastAsia="Arial" w:hAnsi="Arial"/>
          <w:sz w:val="16"/>
          <w:szCs w:val="16"/>
          <w:color w:val="auto"/>
        </w:rPr>
        <w:t xml:space="preserve"> </w:t>
      </w:r>
      <w:r>
        <w:rPr>
          <w:rFonts w:ascii="Arial" w:cs="Arial" w:eastAsia="Arial" w:hAnsi="Arial"/>
          <w:sz w:val="16"/>
          <w:szCs w:val="16"/>
          <w:b w:val="1"/>
          <w:bCs w:val="1"/>
          <w:color w:val="auto"/>
        </w:rPr>
        <w:t>Loan Extension Request</w:t>
      </w:r>
      <w:r>
        <w:rPr>
          <w:rFonts w:ascii="Arial" w:cs="Arial" w:eastAsia="Arial" w:hAnsi="Arial"/>
          <w:sz w:val="16"/>
          <w:szCs w:val="16"/>
          <w:color w:val="auto"/>
        </w:rPr>
        <w:t>”) setting forth the proposed terms of the Extended Term Loans to be established, which shall not be materially more restrictive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Credit Parties (as determined in good faith by the Borrower), when taken as a whole, than the terms of the Term Loans of the Existing Term Loan Class unless the Lenders of the Term Loans of such applicable Existing Term Loan Class receive the benefit of such more restrictive terms (a “</w:t>
      </w:r>
      <w:r>
        <w:rPr>
          <w:rFonts w:ascii="Arial" w:cs="Arial" w:eastAsia="Arial" w:hAnsi="Arial"/>
          <w:sz w:val="16"/>
          <w:szCs w:val="16"/>
          <w:b w:val="1"/>
          <w:bCs w:val="1"/>
          <w:color w:val="auto"/>
        </w:rPr>
        <w:t>Permitted Other</w:t>
      </w:r>
      <w:r>
        <w:rPr>
          <w:rFonts w:ascii="Arial" w:cs="Arial" w:eastAsia="Arial" w:hAnsi="Arial"/>
          <w:sz w:val="16"/>
          <w:szCs w:val="16"/>
          <w:color w:val="auto"/>
        </w:rPr>
        <w:t xml:space="preserve"> </w:t>
      </w:r>
      <w:r>
        <w:rPr>
          <w:rFonts w:ascii="Arial" w:cs="Arial" w:eastAsia="Arial" w:hAnsi="Arial"/>
          <w:sz w:val="16"/>
          <w:szCs w:val="16"/>
          <w:b w:val="1"/>
          <w:bCs w:val="1"/>
          <w:color w:val="auto"/>
        </w:rPr>
        <w:t>Provision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the scheduled final maturity date shall be extended and all or any of the scheduled amortization payments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in the Joinder Agreement, as the case may be, with respect to the Existing Term Loan Class from which such Extended Term Loans were converted, in each case as more particularly set forth in paragraph (iv) of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below), (y) (A) the interest margins with respect to the Extended Term Loans may be higher or lower than the interest margins for the Term Loans of such Existing Term Loan Class and/or (B) additional fees, premiums or AHYDO payments may be payable to the Lenders providing such Extended Term Loans in addition to or in lieu of any increased margins contemplated by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Notwithstanding anything to the contrary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otherwise, no Extended Term Loans may be optionally prepaid prior to the date on which the Existing Term Loan Class from which they were converted is repaid in full, except in accordance with the last sentence of </w:t>
      </w:r>
      <w:r>
        <w:rPr>
          <w:rFonts w:ascii="Arial" w:cs="Arial" w:eastAsia="Arial" w:hAnsi="Arial"/>
          <w:sz w:val="16"/>
          <w:szCs w:val="16"/>
          <w:u w:val="single" w:color="auto"/>
          <w:color w:val="auto"/>
        </w:rPr>
        <w:t>Section 5.1(a)</w:t>
      </w:r>
      <w:r>
        <w:rPr>
          <w:rFonts w:ascii="Arial" w:cs="Arial" w:eastAsia="Arial" w:hAnsi="Arial"/>
          <w:sz w:val="16"/>
          <w:szCs w:val="16"/>
          <w:color w:val="auto"/>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spacing w:after="0" w:line="398" w:lineRule="exact"/>
        <w:rPr>
          <w:rFonts w:ascii="Arial" w:cs="Arial" w:eastAsia="Arial" w:hAnsi="Arial"/>
          <w:sz w:val="16"/>
          <w:szCs w:val="16"/>
          <w:color w:val="auto"/>
        </w:rPr>
      </w:pPr>
    </w:p>
    <w:p>
      <w:pPr>
        <w:ind w:left="-8" w:right="20" w:firstLine="915"/>
        <w:spacing w:after="0" w:line="283" w:lineRule="auto"/>
        <w:tabs>
          <w:tab w:leader="none" w:pos="1296" w:val="left"/>
        </w:tabs>
        <w:numPr>
          <w:ilvl w:val="2"/>
          <w:numId w:val="83"/>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request that all or a portion of the Revolving Credit Commitments of any Class, any Extended Revolving Credit Commitments and/or any New Revolving Credit Commitments, each existing at the time of such request (each,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w:t>
      </w:r>
      <w:r>
        <w:rPr>
          <w:rFonts w:ascii="Arial" w:cs="Arial" w:eastAsia="Arial" w:hAnsi="Arial"/>
          <w:sz w:val="16"/>
          <w:szCs w:val="16"/>
          <w:color w:val="auto"/>
        </w:rPr>
        <w:t>” and any related revolving credit loans thereunder, “</w:t>
      </w:r>
      <w:r>
        <w:rPr>
          <w:rFonts w:ascii="Arial" w:cs="Arial" w:eastAsia="Arial" w:hAnsi="Arial"/>
          <w:sz w:val="16"/>
          <w:szCs w:val="16"/>
          <w:b w:val="1"/>
          <w:bCs w:val="1"/>
          <w:color w:val="auto"/>
        </w:rPr>
        <w:t>Existing Revolving Credit Loans</w:t>
      </w:r>
      <w:r>
        <w:rPr>
          <w:rFonts w:ascii="Arial" w:cs="Arial" w:eastAsia="Arial" w:hAnsi="Arial"/>
          <w:sz w:val="16"/>
          <w:szCs w:val="16"/>
          <w:color w:val="auto"/>
        </w:rPr>
        <w:t>”; each Existing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and related Existing Revolving Credit Loans together being referred to as an “</w:t>
      </w:r>
      <w:r>
        <w:rPr>
          <w:rFonts w:ascii="Arial" w:cs="Arial" w:eastAsia="Arial" w:hAnsi="Arial"/>
          <w:sz w:val="16"/>
          <w:szCs w:val="16"/>
          <w:b w:val="1"/>
          <w:bCs w:val="1"/>
          <w:color w:val="auto"/>
        </w:rPr>
        <w:t>Existing Revolving Credit Class</w:t>
      </w:r>
      <w:r>
        <w:rPr>
          <w:rFonts w:ascii="Arial" w:cs="Arial" w:eastAsia="Arial" w:hAnsi="Arial"/>
          <w:sz w:val="16"/>
          <w:szCs w:val="16"/>
          <w:color w:val="auto"/>
        </w:rPr>
        <w:t>”) be converted to extend the termination date thereof and the scheduled maturity date(s) of any payment of principal with respect to all or a portion of any principal amount of Loans related to such Existing Revolving Credit Commitments (any such Existing Revolving Credit Commitments which have been so extended, “</w:t>
      </w:r>
      <w:r>
        <w:rPr>
          <w:rFonts w:ascii="Arial" w:cs="Arial" w:eastAsia="Arial" w:hAnsi="Arial"/>
          <w:sz w:val="16"/>
          <w:szCs w:val="16"/>
          <w:b w:val="1"/>
          <w:bCs w:val="1"/>
          <w:color w:val="auto"/>
        </w:rPr>
        <w:t>Extended</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Commitments</w:t>
      </w:r>
      <w:r>
        <w:rPr>
          <w:rFonts w:ascii="Arial" w:cs="Arial" w:eastAsia="Arial" w:hAnsi="Arial"/>
          <w:sz w:val="16"/>
          <w:szCs w:val="16"/>
          <w:color w:val="auto"/>
        </w:rPr>
        <w:t>” and any related Loans, “</w:t>
      </w:r>
      <w:r>
        <w:rPr>
          <w:rFonts w:ascii="Arial" w:cs="Arial" w:eastAsia="Arial" w:hAnsi="Arial"/>
          <w:sz w:val="16"/>
          <w:szCs w:val="16"/>
          <w:b w:val="1"/>
          <w:bCs w:val="1"/>
          <w:color w:val="auto"/>
        </w:rPr>
        <w:t>Extended Revolving Credit Loans</w:t>
      </w:r>
      <w:r>
        <w:rPr>
          <w:rFonts w:ascii="Arial" w:cs="Arial" w:eastAsia="Arial" w:hAnsi="Arial"/>
          <w:sz w:val="16"/>
          <w:szCs w:val="16"/>
          <w:color w:val="auto"/>
        </w:rPr>
        <w:t>”) and to provide for other terms consistent with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2.14(g)</w:t>
      </w:r>
      <w:r>
        <w:rPr>
          <w:rFonts w:ascii="Arial" w:cs="Arial" w:eastAsia="Arial" w:hAnsi="Arial"/>
          <w:sz w:val="16"/>
          <w:szCs w:val="16"/>
          <w:color w:val="auto"/>
        </w:rPr>
        <w:t>. In order to establish any Extended Revolving Credit Commitments, the Borrower shall provide a notice to the Administrative Agent (who shall provide a copy of such notice to each of the Lenders of the applicable Class of Existing Revolving Credit Commitments which such request shall be offered equally to all such Lenders) setting forth the proposed terms of the Extended Revolving Credit Commitments to be established, which shall not be materially more restrictive to the Credit Parties (as determined in good faith by the Borrower), when taken as a whole, than the terms of the applicable Existing Revolving Credit Commitments (the “</w:t>
      </w:r>
      <w:r>
        <w:rPr>
          <w:rFonts w:ascii="Arial" w:cs="Arial" w:eastAsia="Arial" w:hAnsi="Arial"/>
          <w:sz w:val="16"/>
          <w:szCs w:val="16"/>
          <w:b w:val="1"/>
          <w:bCs w:val="1"/>
          <w:color w:val="auto"/>
        </w:rPr>
        <w:t>Specified Existing Revolving Credit Commitment</w:t>
      </w:r>
      <w:r>
        <w:rPr>
          <w:rFonts w:ascii="Arial" w:cs="Arial" w:eastAsia="Arial" w:hAnsi="Arial"/>
          <w:sz w:val="16"/>
          <w:szCs w:val="16"/>
          <w:color w:val="auto"/>
        </w:rPr>
        <w:t xml:space="preserve">”) unless (x) the Lenders providing existing Revolving Credit Loans receive the benefit of such more restrictive terms or (y) any such provisions apply after the Revolving Credit Termination Date, in each case,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 all or any of the final maturity dates of such Extended Revolving Credit Commitments may be delayed to later dates than the final maturity dates of the Specified Existing Revolving Credit Commitments, (x)</w:t>
      </w:r>
    </w:p>
    <w:p>
      <w:pPr>
        <w:ind w:left="292" w:hanging="292"/>
        <w:spacing w:after="0"/>
        <w:tabs>
          <w:tab w:leader="none" w:pos="29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interest margins with respect to the Extended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32"/>
          </w:cols>
          <w:pgMar w:left="328" w:top="1440" w:right="339" w:bottom="1440" w:gutter="0" w:footer="0" w:header="0"/>
        </w:sectPr>
      </w:pPr>
    </w:p>
    <w:bookmarkStart w:id="112" w:name="page113"/>
    <w:bookmarkEnd w:id="112"/>
    <w:p>
      <w:pPr>
        <w:spacing w:after="0" w:line="200" w:lineRule="exact"/>
        <w:rPr>
          <w:sz w:val="20"/>
          <w:szCs w:val="20"/>
          <w:color w:val="auto"/>
        </w:rPr>
      </w:pPr>
    </w:p>
    <w:p>
      <w:pPr>
        <w:spacing w:after="0" w:line="3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Commitments may be higher or lower than the interest margins for the Specified Existing Revolving Credit Commitments and/or (B) additional fees and premiums may be payable to the Lenders providing such Extended Revolving Credit Commitments in addition to or in lieu of any increased margins contemplated by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and (y) the revolving credit commitment fee rate with respect to the Extended Revolving Credit Commitments may be higher or lower than the revolving credit commitment fee rate for the Specified Existing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or otherwise, (1) the borrowing and repayment (other than in connection with a permanent repayment and termination of commitments) of Loans with respect to any Original Revolving Credit Commitments shall be made on a pro rata basis with all other Original Revolving Credit 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Arial" w:cs="Arial" w:eastAsia="Arial" w:hAnsi="Arial"/>
          <w:sz w:val="16"/>
          <w:szCs w:val="16"/>
          <w:u w:val="single" w:color="auto"/>
          <w:color w:val="auto"/>
        </w:rPr>
        <w:t>Section 13.6</w:t>
      </w:r>
      <w:r>
        <w:rPr>
          <w:rFonts w:ascii="Arial" w:cs="Arial" w:eastAsia="Arial" w:hAnsi="Arial"/>
          <w:sz w:val="16"/>
          <w:szCs w:val="16"/>
          <w:color w:val="auto"/>
        </w:rPr>
        <w:t>. No Lender shall have any obligation to agree to have any of its Revolving Credit Loans or Revolving Credit Commitments of any Existing Revolving Credit Class converted into Extended Revolving Credit Loans or Extended Revolving Credit Commitments pursuant to any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spacing w:after="0" w:line="170" w:lineRule="exact"/>
        <w:rPr>
          <w:sz w:val="20"/>
          <w:szCs w:val="20"/>
          <w:color w:val="auto"/>
        </w:rPr>
      </w:pPr>
    </w:p>
    <w:p>
      <w:pPr>
        <w:ind w:firstLine="915"/>
        <w:spacing w:after="0" w:line="285" w:lineRule="auto"/>
        <w:tabs>
          <w:tab w:leader="none" w:pos="13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Lender (an “</w:t>
      </w:r>
      <w:r>
        <w:rPr>
          <w:rFonts w:ascii="Arial" w:cs="Arial" w:eastAsia="Arial" w:hAnsi="Arial"/>
          <w:sz w:val="16"/>
          <w:szCs w:val="16"/>
          <w:b w:val="1"/>
          <w:bCs w:val="1"/>
          <w:color w:val="auto"/>
        </w:rPr>
        <w:t>Extending Lender</w:t>
      </w:r>
      <w:r>
        <w:rPr>
          <w:rFonts w:ascii="Arial" w:cs="Arial" w:eastAsia="Arial" w:hAnsi="Arial"/>
          <w:sz w:val="16"/>
          <w:szCs w:val="16"/>
          <w:color w:val="auto"/>
        </w:rPr>
        <w:t>”) wishing to have all or a portion of its Term Loans, Revolving Credit Commitments, New Revolving Credit Commitment or Extended Revolving Credit Commitment of the Existing Class or Existing Classes subject to such Extension Request converted into Extended Term Loans or Extended Revolving Credit Commitments, as applicable, shall notify the Administrative Agent (an “</w:t>
      </w:r>
      <w:r>
        <w:rPr>
          <w:rFonts w:ascii="Arial" w:cs="Arial" w:eastAsia="Arial" w:hAnsi="Arial"/>
          <w:sz w:val="16"/>
          <w:szCs w:val="16"/>
          <w:b w:val="1"/>
          <w:bCs w:val="1"/>
          <w:color w:val="auto"/>
        </w:rPr>
        <w:t>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Election</w:t>
      </w:r>
      <w:r>
        <w:rPr>
          <w:rFonts w:ascii="Arial" w:cs="Arial" w:eastAsia="Arial" w:hAnsi="Arial"/>
          <w:sz w:val="16"/>
          <w:szCs w:val="16"/>
          <w:color w:val="auto"/>
        </w:rPr>
        <w:t>”) on or prior to the date specified in such Extension Request of the amount of its Term Loans, Revolving Credit Commitments, New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Credit Commitment or Extended Revolving Credit Commitment of the Existing Class or Existing Classes subject to such Extension Request that it has elected to convert into Extended Term Loans or Extended Revolving Credit Commitments, as applicable. In the event that the aggregate amount of Term Loans, Revolving Credit Commitments, New Revolving Credit Commitment or Extended Revolving Credit Commitment of the Existing Class or Existing Classes subject to Extension Elections exceeds the amount of Extended Term Loans or Extended Revolving Credit Commitments, as applicable, requested pursuant to the Extension Request, Term Loans or Revolving Credit Commitments, New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New Revolving Credit Commitment or Extended Revolving Credit Commitment included in each such Extension Election. Notwithstanding the conversion of any Existing Revolving Credit Commitment into an Extended Revolving Credit Commitment, such Extended Revolving Credit Commitment shall be treated identically to all other Original Revolving Credit Commitments for purposes of the obligations of a Revolving Credit Lender in respect of Swingline Loans under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Letters of Credit under </w:t>
      </w:r>
      <w:r>
        <w:rPr>
          <w:rFonts w:ascii="Arial" w:cs="Arial" w:eastAsia="Arial" w:hAnsi="Arial"/>
          <w:sz w:val="16"/>
          <w:szCs w:val="16"/>
          <w:u w:val="single" w:color="auto"/>
          <w:color w:val="auto"/>
        </w:rPr>
        <w:t>Section 3</w:t>
      </w:r>
      <w:r>
        <w:rPr>
          <w:rFonts w:ascii="Arial" w:cs="Arial" w:eastAsia="Arial" w:hAnsi="Arial"/>
          <w:sz w:val="16"/>
          <w:szCs w:val="16"/>
          <w:color w:val="auto"/>
        </w:rPr>
        <w:t>, except that the applicable Extension Amendment may provide that the Swingline Maturity Date and/or the L/C Facility Maturity Date may be extended and the related obligations to make Swingline Loans and issue Letters of Credit may be continued so long as the Swingline Lender and/or the Letter of Credit Issuer, as applicable, have consented to such extensions in their sole discretion (it being understood that no consent of any other Lender shall be required in connection with any such extension).</w:t>
      </w:r>
    </w:p>
    <w:p>
      <w:pPr>
        <w:spacing w:after="0" w:line="175" w:lineRule="exact"/>
        <w:rPr>
          <w:rFonts w:ascii="Arial" w:cs="Arial" w:eastAsia="Arial" w:hAnsi="Arial"/>
          <w:sz w:val="16"/>
          <w:szCs w:val="16"/>
          <w:color w:val="auto"/>
        </w:rPr>
      </w:pPr>
    </w:p>
    <w:p>
      <w:pPr>
        <w:ind w:left="1360" w:hanging="445"/>
        <w:spacing w:after="0"/>
        <w:tabs>
          <w:tab w:leader="none" w:pos="1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Extended Term Loans or Extended Revolving Credit Commitments, as applicable, shall be established pursuant to an amendment (an</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Amendment</w:t>
      </w:r>
      <w:r>
        <w:rPr>
          <w:rFonts w:ascii="Arial" w:cs="Arial" w:eastAsia="Arial" w:hAnsi="Arial"/>
          <w:sz w:val="17"/>
          <w:szCs w:val="17"/>
          <w:color w:val="auto"/>
        </w:rPr>
        <w:t xml:space="preserve">”) to this Agreement (which, except to the extent expressly contemplated by the penultimate sentence of this </w:t>
      </w:r>
      <w:r>
        <w:rPr>
          <w:rFonts w:ascii="Arial" w:cs="Arial" w:eastAsia="Arial" w:hAnsi="Arial"/>
          <w:sz w:val="17"/>
          <w:szCs w:val="17"/>
          <w:u w:val="single" w:color="auto"/>
          <w:color w:val="auto"/>
        </w:rPr>
        <w:t>Section 2.14(g)(iv)</w:t>
      </w:r>
      <w:r>
        <w:rPr>
          <w:rFonts w:ascii="Arial" w:cs="Arial" w:eastAsia="Arial" w:hAnsi="Arial"/>
          <w:sz w:val="17"/>
          <w:szCs w:val="17"/>
          <w:color w:val="auto"/>
        </w:rPr>
        <w:t xml:space="preserve"> and notwithstanding anything to the contrary set forth in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shall not require the consent of any Lender other than the Extending Lenders with respect to the Extended Term Loans or Extended Revolving Credit Commitments, as applicable, established thereby) executed by the Credit Parties, the Administrative Agent and the Extending Lenders. No Extension Amendment shall provide for any tranche of Extended Term Loans or Extended Revolving Credit Commitments in an aggregate principal amount that is less than $10,000,000. In addition to any terms and changes required or permitted by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2.14(g)(i)</w:t>
      </w:r>
      <w:r>
        <w:rPr>
          <w:rFonts w:ascii="Arial" w:cs="Arial" w:eastAsia="Arial" w:hAnsi="Arial"/>
          <w:sz w:val="17"/>
          <w:szCs w:val="17"/>
          <w:color w:val="auto"/>
        </w:rPr>
        <w:t>, each Extension Amendment (x) shall amend the scheduled amortization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200" w:lineRule="exact"/>
        <w:rPr>
          <w:sz w:val="20"/>
          <w:szCs w:val="20"/>
          <w:color w:val="auto"/>
        </w:rPr>
      </w:pPr>
    </w:p>
    <w:p>
      <w:pPr>
        <w:spacing w:after="0" w:line="3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and without limiting the generality or applicability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to any Section 2.14 Additional Amendments, any Extension Amendment may provide for additional terms and/or additional amendments other than those referred to or contemplated above (any such additional amendment, a “</w:t>
      </w:r>
      <w:r>
        <w:rPr>
          <w:rFonts w:ascii="Arial" w:cs="Arial" w:eastAsia="Arial" w:hAnsi="Arial"/>
          <w:sz w:val="16"/>
          <w:szCs w:val="16"/>
          <w:b w:val="1"/>
          <w:bCs w:val="1"/>
          <w:color w:val="auto"/>
        </w:rPr>
        <w:t>Section 2.14 Additional Amendment</w:t>
      </w:r>
      <w:r>
        <w:rPr>
          <w:rFonts w:ascii="Arial" w:cs="Arial" w:eastAsia="Arial" w:hAnsi="Arial"/>
          <w:sz w:val="16"/>
          <w:szCs w:val="16"/>
          <w:color w:val="auto"/>
        </w:rPr>
        <w:t xml:space="preserve">”) to this Agreement and the other Credit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Section 2.14 Additional Amendments are within the requirements of </w:t>
      </w:r>
      <w:r>
        <w:rPr>
          <w:rFonts w:ascii="Arial" w:cs="Arial" w:eastAsia="Arial" w:hAnsi="Arial"/>
          <w:sz w:val="16"/>
          <w:szCs w:val="16"/>
          <w:u w:val="single" w:color="auto"/>
          <w:color w:val="auto"/>
        </w:rPr>
        <w:t>Section 2.14(g)(i)</w:t>
      </w:r>
      <w:r>
        <w:rPr>
          <w:rFonts w:ascii="Arial" w:cs="Arial" w:eastAsia="Arial" w:hAnsi="Arial"/>
          <w:sz w:val="16"/>
          <w:szCs w:val="16"/>
          <w:color w:val="auto"/>
        </w:rPr>
        <w:t xml:space="preserve"> and do not become effective prior to the time that such Section 2.14 Additional Amendments have been consented to (including, without limitation, pursuant to (1) consents applicable to holders of New Term Loans and New Revolving Credit Commitments provided for in any Joinder Agreement and (2) consents applicable to holders of any Extended Term Loans or Extended Revolving Credit Commitments provided for in any Extension Amendment) by such of the Lenders, Credit Parties and other parties (if any) as may be required in order for such Section 2.14 Additional Amendments to become effective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171" w:lineRule="exact"/>
        <w:rPr>
          <w:sz w:val="20"/>
          <w:szCs w:val="20"/>
          <w:color w:val="auto"/>
        </w:rPr>
      </w:pPr>
    </w:p>
    <w:p>
      <w:pPr>
        <w:ind w:firstLine="915"/>
        <w:spacing w:after="0" w:line="286" w:lineRule="auto"/>
        <w:tabs>
          <w:tab w:leader="none" w:pos="1297"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(A) on any date on which any Existing Class is converted to extend the related scheduled maturity date(s) in accordance with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(an “</w:t>
      </w:r>
      <w:r>
        <w:rPr>
          <w:rFonts w:ascii="Arial" w:cs="Arial" w:eastAsia="Arial" w:hAnsi="Arial"/>
          <w:sz w:val="16"/>
          <w:szCs w:val="16"/>
          <w:b w:val="1"/>
          <w:bCs w:val="1"/>
          <w:color w:val="auto"/>
        </w:rPr>
        <w:t>Extension Date</w:t>
      </w:r>
      <w:r>
        <w:rPr>
          <w:rFonts w:ascii="Arial" w:cs="Arial" w:eastAsia="Arial" w:hAnsi="Arial"/>
          <w:sz w:val="16"/>
          <w:szCs w:val="16"/>
          <w:color w:val="auto"/>
        </w:rPr>
        <w:t>”), (I)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(II)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 Extension Date, any Loans of any Extending Lender are outstanding under the applicable Specified Existing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spacing w:after="0" w:line="173" w:lineRule="exact"/>
        <w:rPr>
          <w:rFonts w:ascii="Arial" w:cs="Arial" w:eastAsia="Arial" w:hAnsi="Arial"/>
          <w:sz w:val="16"/>
          <w:szCs w:val="16"/>
          <w:color w:val="auto"/>
        </w:rPr>
      </w:pPr>
    </w:p>
    <w:p>
      <w:pPr>
        <w:ind w:right="60" w:firstLine="915"/>
        <w:spacing w:after="0" w:line="255" w:lineRule="auto"/>
        <w:tabs>
          <w:tab w:leader="none" w:pos="13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Lenders (other than the Swingline Lender to the extent such consent is expressly required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hereby consent to the consummation of the transactions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(including, for the avoidance of doubt, payment of any interest, fees, or premium in respect of any Extended Term Loans and/or Extended Revolving Credit Commitments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9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322"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left="-40" w:right="100" w:firstLine="656"/>
        <w:spacing w:after="0" w:line="277" w:lineRule="auto"/>
        <w:tabs>
          <w:tab w:leader="none" w:pos="98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620" w:right="320" w:firstLine="903"/>
        <w:spacing w:after="0" w:line="277" w:lineRule="auto"/>
        <w:tabs>
          <w:tab w:leader="none" w:pos="1877" w:val="left"/>
        </w:tabs>
        <w:numPr>
          <w:ilvl w:val="2"/>
          <w:numId w:val="87"/>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20" w:firstLine="903"/>
        <w:spacing w:after="0" w:line="284" w:lineRule="auto"/>
        <w:tabs>
          <w:tab w:leader="none" w:pos="1927" w:val="left"/>
        </w:tabs>
        <w:numPr>
          <w:ilvl w:val="2"/>
          <w:numId w:val="87"/>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13.8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the Letter of Credit Issuer or Swingline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Letter of Credit Issuer’s Fronting Exposure with respect to such Defaulting Lender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Borrower, the Lenders, the Letter of Credit Issuer or Swingline Lender as a result of any judgment of a court of competent jurisdiction obtained by the Borrower, any Lender, the Letter of Credit Issuer or the Swingline Lender against such Defaulting Lender as a result of such Defaulting Lender’s breach of its obligations under this Agreement; and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2.16(a)(ii)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76" w:lineRule="exact"/>
        <w:rPr>
          <w:rFonts w:ascii="Arial" w:cs="Arial" w:eastAsia="Arial" w:hAnsi="Arial"/>
          <w:sz w:val="16"/>
          <w:szCs w:val="16"/>
          <w:color w:val="auto"/>
        </w:rPr>
      </w:pPr>
    </w:p>
    <w:p>
      <w:pPr>
        <w:ind w:left="1980" w:hanging="457"/>
        <w:spacing w:after="0"/>
        <w:tabs>
          <w:tab w:leader="none" w:pos="1980" w:val="left"/>
        </w:tabs>
        <w:numPr>
          <w:ilvl w:val="2"/>
          <w:numId w:val="87"/>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right="140" w:firstLine="644"/>
        <w:spacing w:after="0" w:line="263" w:lineRule="auto"/>
        <w:tabs>
          <w:tab w:leader="none" w:pos="1698"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ind w:left="620" w:right="100" w:firstLine="644"/>
        <w:spacing w:after="0" w:line="263" w:lineRule="auto"/>
        <w:tabs>
          <w:tab w:leader="none" w:pos="16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360" w:top="1440" w:right="359" w:bottom="1440" w:gutter="0" w:footer="0" w:header="0"/>
        </w:sectPr>
      </w:pPr>
    </w:p>
    <w:bookmarkStart w:id="115" w:name="page116"/>
    <w:bookmarkEnd w:id="115"/>
    <w:p>
      <w:pPr>
        <w:spacing w:after="0" w:line="200" w:lineRule="exact"/>
        <w:rPr>
          <w:sz w:val="20"/>
          <w:szCs w:val="20"/>
          <w:color w:val="auto"/>
        </w:rPr>
      </w:pPr>
    </w:p>
    <w:p>
      <w:pPr>
        <w:spacing w:after="0" w:line="322" w:lineRule="exact"/>
        <w:rPr>
          <w:sz w:val="20"/>
          <w:szCs w:val="20"/>
          <w:color w:val="auto"/>
        </w:rPr>
      </w:pPr>
    </w:p>
    <w:p>
      <w:pPr>
        <w:jc w:val="both"/>
        <w:ind w:left="660" w:right="100" w:firstLine="644"/>
        <w:spacing w:after="0" w:line="287" w:lineRule="auto"/>
        <w:tabs>
          <w:tab w:leader="none" w:pos="1725"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With respect to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w:t>
      </w:r>
    </w:p>
    <w:p>
      <w:pPr>
        <w:spacing w:after="0" w:line="2" w:lineRule="exact"/>
        <w:rPr>
          <w:rFonts w:ascii="Arial" w:cs="Arial" w:eastAsia="Arial" w:hAnsi="Arial"/>
          <w:sz w:val="16"/>
          <w:szCs w:val="16"/>
          <w:color w:val="auto"/>
        </w:rPr>
      </w:pPr>
    </w:p>
    <w:p>
      <w:pPr>
        <w:ind w:left="660" w:right="40" w:hanging="4"/>
        <w:spacing w:after="0" w:line="290" w:lineRule="auto"/>
        <w:tabs>
          <w:tab w:leader="none" w:pos="9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spacing w:after="0" w:line="161" w:lineRule="exact"/>
        <w:rPr>
          <w:rFonts w:ascii="Arial" w:cs="Arial" w:eastAsia="Arial" w:hAnsi="Arial"/>
          <w:sz w:val="17"/>
          <w:szCs w:val="17"/>
          <w:color w:val="auto"/>
        </w:rPr>
      </w:pPr>
    </w:p>
    <w:p>
      <w:pPr>
        <w:ind w:left="660" w:firstLine="903"/>
        <w:spacing w:after="0" w:line="272" w:lineRule="auto"/>
        <w:tabs>
          <w:tab w:leader="none" w:pos="2007" w:val="left"/>
        </w:tabs>
        <w:numPr>
          <w:ilvl w:val="2"/>
          <w:numId w:val="89"/>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Arial" w:cs="Arial" w:eastAsia="Arial" w:hAnsi="Arial"/>
          <w:sz w:val="17"/>
          <w:szCs w:val="17"/>
          <w:u w:val="single" w:color="auto"/>
          <w:color w:val="auto"/>
        </w:rPr>
        <w:t>Section 13.22</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7" w:lineRule="exact"/>
        <w:rPr>
          <w:rFonts w:ascii="Arial" w:cs="Arial" w:eastAsia="Arial" w:hAnsi="Arial"/>
          <w:sz w:val="17"/>
          <w:szCs w:val="17"/>
          <w:color w:val="auto"/>
        </w:rPr>
      </w:pPr>
    </w:p>
    <w:p>
      <w:pPr>
        <w:ind w:left="660" w:right="160" w:firstLine="903"/>
        <w:spacing w:after="0" w:line="259" w:lineRule="auto"/>
        <w:tabs>
          <w:tab w:leader="none" w:pos="1957"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them hereunder or under applicable law, (x) </w:t>
      </w:r>
      <w:r>
        <w:rPr>
          <w:rFonts w:ascii="Arial" w:cs="Arial" w:eastAsia="Arial" w:hAnsi="Arial"/>
          <w:sz w:val="18"/>
          <w:szCs w:val="18"/>
          <w:i w:val="1"/>
          <w:iCs w:val="1"/>
          <w:color w:val="auto"/>
        </w:rPr>
        <w:t>first</w:t>
      </w:r>
      <w:r>
        <w:rPr>
          <w:rFonts w:ascii="Arial" w:cs="Arial" w:eastAsia="Arial" w:hAnsi="Arial"/>
          <w:sz w:val="18"/>
          <w:szCs w:val="18"/>
          <w:color w:val="auto"/>
        </w:rPr>
        <w:t xml:space="preserve">, prepay Swingline Loans in an amount equal to the Swingline Lenders’ Fronting Exposure and (y) </w:t>
      </w:r>
      <w:r>
        <w:rPr>
          <w:rFonts w:ascii="Arial" w:cs="Arial" w:eastAsia="Arial" w:hAnsi="Arial"/>
          <w:sz w:val="18"/>
          <w:szCs w:val="18"/>
          <w:i w:val="1"/>
          <w:iCs w:val="1"/>
          <w:color w:val="auto"/>
        </w:rPr>
        <w:t>second</w:t>
      </w:r>
      <w:r>
        <w:rPr>
          <w:rFonts w:ascii="Arial" w:cs="Arial" w:eastAsia="Arial" w:hAnsi="Arial"/>
          <w:sz w:val="18"/>
          <w:szCs w:val="18"/>
          <w:color w:val="auto"/>
        </w:rPr>
        <w:t xml:space="preserve">, Cash Collateralize the Letter of Credit Issuers’ Fronting Exposure in accordance with the procedures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87" w:lineRule="exact"/>
        <w:rPr>
          <w:sz w:val="20"/>
          <w:szCs w:val="20"/>
          <w:color w:val="auto"/>
        </w:rPr>
      </w:pPr>
    </w:p>
    <w:p>
      <w:pPr>
        <w:ind w:right="40" w:firstLine="656"/>
        <w:spacing w:after="0" w:line="269" w:lineRule="auto"/>
        <w:tabs>
          <w:tab w:leader="none" w:pos="1038"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Letters of Credit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54" w:lineRule="auto"/>
        <w:tabs>
          <w:tab w:leader="none" w:pos="10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and upon the terms and conditions herein set forth, at any time and from time to time after the Restatement Effective Date and prior to the L/C Facility Maturity Date, the Letter of Credit Issuer agrees, in reliance upon the agreements of the Revolving Credit Lenders set forth in this Section 3, to issue from time to time from the Restatement Effective Date through the L/C Facility Maturity Date for the account of the Borrower (or, so long as the Borrower is the primary obligor, for the account of Holdings or any Restricted Subsidiary (other than the Borrower)) letters of credit (the “</w:t>
      </w:r>
      <w:r>
        <w:rPr>
          <w:rFonts w:ascii="Arial" w:cs="Arial" w:eastAsia="Arial" w:hAnsi="Arial"/>
          <w:sz w:val="18"/>
          <w:szCs w:val="18"/>
          <w:b w:val="1"/>
          <w:bCs w:val="1"/>
          <w:color w:val="auto"/>
        </w:rPr>
        <w:t>Letters of Credit</w:t>
      </w:r>
      <w:r>
        <w:rPr>
          <w:rFonts w:ascii="Arial" w:cs="Arial" w:eastAsia="Arial" w:hAnsi="Arial"/>
          <w:sz w:val="18"/>
          <w:szCs w:val="18"/>
          <w:color w:val="auto"/>
        </w:rPr>
        <w:t>” and each, a “</w:t>
      </w:r>
      <w:r>
        <w:rPr>
          <w:rFonts w:ascii="Arial" w:cs="Arial" w:eastAsia="Arial" w:hAnsi="Arial"/>
          <w:sz w:val="18"/>
          <w:szCs w:val="18"/>
          <w:b w:val="1"/>
          <w:bCs w:val="1"/>
          <w:color w:val="auto"/>
        </w:rPr>
        <w:t>Letter of Credit</w:t>
      </w:r>
      <w:r>
        <w:rPr>
          <w:rFonts w:ascii="Arial" w:cs="Arial" w:eastAsia="Arial" w:hAnsi="Arial"/>
          <w:sz w:val="18"/>
          <w:szCs w:val="18"/>
          <w:color w:val="auto"/>
        </w:rPr>
        <w:t>”) in such form as may be approved by the Letter of Credit Issuer in its reasonable discretion. Each Existing Letter of Credit shall be deemed to have been issued under this Agreement by the applicable Letter of Credit Issuer on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200" w:lineRule="exact"/>
        <w:rPr>
          <w:sz w:val="20"/>
          <w:szCs w:val="20"/>
          <w:color w:val="auto"/>
        </w:rPr>
      </w:pPr>
    </w:p>
    <w:p>
      <w:pPr>
        <w:spacing w:after="0" w:line="322" w:lineRule="exact"/>
        <w:rPr>
          <w:sz w:val="20"/>
          <w:szCs w:val="20"/>
          <w:color w:val="auto"/>
        </w:rPr>
      </w:pPr>
    </w:p>
    <w:p>
      <w:pPr>
        <w:ind w:left="-8" w:firstLine="656"/>
        <w:spacing w:after="0" w:line="283" w:lineRule="auto"/>
        <w:tabs>
          <w:tab w:leader="none" w:pos="1030"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the Letter of Credit Issuer after it has received a written notice from any Credit Party or the Administrative Agent or the Required Revolving Credit Lenders stating that a Default or Event of Default has occurred and is continuing until such time as the Letter of Credit Issuer shall have received a written notice of (x) rescission of such notice from the party or parties originally delivering such notice or</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waiver of such Default or Event of Default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8" w:firstLine="656"/>
        <w:spacing w:after="0" w:line="275" w:lineRule="auto"/>
        <w:tabs>
          <w:tab w:leader="none" w:pos="10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Upon at least two Business Days’ prior written notice to the Administrative Agent and the Letter of Credit Issuer (which notice the Administrative Agent shall promptly transmit to each of the Lenders), the Borrower shall have the right, on any day, permanently to terminate or reduce the Letter of Credit Commitment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w:t>
      </w:r>
    </w:p>
    <w:p>
      <w:pPr>
        <w:spacing w:after="0" w:line="176" w:lineRule="exact"/>
        <w:rPr>
          <w:rFonts w:ascii="Arial" w:cs="Arial" w:eastAsia="Arial" w:hAnsi="Arial"/>
          <w:sz w:val="17"/>
          <w:szCs w:val="17"/>
          <w:color w:val="auto"/>
        </w:rPr>
      </w:pPr>
    </w:p>
    <w:p>
      <w:pPr>
        <w:ind w:left="1032" w:hanging="384"/>
        <w:spacing w:after="0"/>
        <w:tabs>
          <w:tab w:leader="none" w:pos="1032"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32" w:hanging="384"/>
        <w:spacing w:after="0"/>
        <w:tabs>
          <w:tab w:leader="none" w:pos="103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Letter of Credit Issuer shall not be under any obligation to issue any Letter of Credit if:</w:t>
      </w:r>
    </w:p>
    <w:p>
      <w:pPr>
        <w:spacing w:after="0" w:line="225" w:lineRule="exact"/>
        <w:rPr>
          <w:rFonts w:ascii="Arial" w:cs="Arial" w:eastAsia="Arial" w:hAnsi="Arial"/>
          <w:sz w:val="18"/>
          <w:szCs w:val="18"/>
          <w:color w:val="auto"/>
        </w:rPr>
      </w:pPr>
    </w:p>
    <w:p>
      <w:pPr>
        <w:ind w:left="652" w:right="80" w:firstLine="903"/>
        <w:spacing w:after="0" w:line="254" w:lineRule="auto"/>
        <w:tabs>
          <w:tab w:leader="none" w:pos="1909"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(in each case, for which the Letter of Credit Issuer is not otherwise compensated hereunder) not in effect on the Restatement Effective Date, or shall impose upon the Letter of Credit Issuer any unreimbursed loss, cost or expense which was not applicable on the Restatement Effective Date and which the Letter of Credit Issuer in good faith deems material to it;</w:t>
      </w:r>
    </w:p>
    <w:p>
      <w:pPr>
        <w:spacing w:after="0" w:line="191" w:lineRule="exact"/>
        <w:rPr>
          <w:rFonts w:ascii="Arial" w:cs="Arial" w:eastAsia="Arial" w:hAnsi="Arial"/>
          <w:sz w:val="18"/>
          <w:szCs w:val="18"/>
          <w:color w:val="auto"/>
        </w:rPr>
      </w:pPr>
    </w:p>
    <w:p>
      <w:pPr>
        <w:ind w:left="1952" w:hanging="397"/>
        <w:spacing w:after="0"/>
        <w:tabs>
          <w:tab w:leader="none" w:pos="1952" w:val="left"/>
        </w:tabs>
        <w:numPr>
          <w:ilvl w:val="2"/>
          <w:numId w:val="93"/>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the Letter of Credit Issuer applicable to letters of</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credit generally;</w:t>
      </w:r>
    </w:p>
    <w:p>
      <w:pPr>
        <w:spacing w:after="0" w:line="210" w:lineRule="exact"/>
        <w:rPr>
          <w:rFonts w:ascii="Arial" w:cs="Arial" w:eastAsia="Arial" w:hAnsi="Arial"/>
          <w:sz w:val="17"/>
          <w:szCs w:val="17"/>
          <w:color w:val="auto"/>
        </w:rPr>
      </w:pPr>
    </w:p>
    <w:p>
      <w:pPr>
        <w:ind w:left="652" w:right="60" w:firstLine="903"/>
        <w:spacing w:after="0" w:line="277" w:lineRule="auto"/>
        <w:tabs>
          <w:tab w:leader="none" w:pos="2009" w:val="left"/>
        </w:tabs>
        <w:numPr>
          <w:ilvl w:val="2"/>
          <w:numId w:val="93"/>
        </w:numPr>
        <w:rPr>
          <w:rFonts w:ascii="Arial" w:cs="Arial" w:eastAsia="Arial" w:hAnsi="Arial"/>
          <w:sz w:val="18"/>
          <w:szCs w:val="18"/>
          <w:color w:val="auto"/>
        </w:rPr>
      </w:pPr>
      <w:r>
        <w:rPr>
          <w:rFonts w:ascii="Arial" w:cs="Arial" w:eastAsia="Arial" w:hAnsi="Arial"/>
          <w:sz w:val="18"/>
          <w:szCs w:val="18"/>
          <w:color w:val="auto"/>
        </w:rPr>
        <w:t>except as otherwise agreed by the Letter of Credit Issuer, such Letter of Credit is in an initial Stated Amount less than $50,000, in the case of a commercial Letter of Credit, or $10,000, in the case of a standby Letter of Credit;</w:t>
      </w:r>
    </w:p>
    <w:p>
      <w:pPr>
        <w:spacing w:after="0" w:line="170" w:lineRule="exact"/>
        <w:rPr>
          <w:rFonts w:ascii="Arial" w:cs="Arial" w:eastAsia="Arial" w:hAnsi="Arial"/>
          <w:sz w:val="18"/>
          <w:szCs w:val="18"/>
          <w:color w:val="auto"/>
        </w:rPr>
      </w:pPr>
    </w:p>
    <w:p>
      <w:pPr>
        <w:ind w:left="1992" w:hanging="437"/>
        <w:spacing w:after="0"/>
        <w:tabs>
          <w:tab w:leader="none" w:pos="1992" w:val="left"/>
        </w:tabs>
        <w:numPr>
          <w:ilvl w:val="2"/>
          <w:numId w:val="93"/>
        </w:numPr>
        <w:rPr>
          <w:rFonts w:ascii="Arial" w:cs="Arial" w:eastAsia="Arial" w:hAnsi="Arial"/>
          <w:sz w:val="18"/>
          <w:szCs w:val="18"/>
          <w:color w:val="auto"/>
        </w:rPr>
      </w:pPr>
      <w:r>
        <w:rPr>
          <w:rFonts w:ascii="Arial" w:cs="Arial" w:eastAsia="Arial" w:hAnsi="Arial"/>
          <w:sz w:val="18"/>
          <w:szCs w:val="18"/>
          <w:color w:val="auto"/>
        </w:rPr>
        <w:t>such Letter of Credit is denominated in a currency other than Dollars;</w:t>
      </w:r>
    </w:p>
    <w:p>
      <w:pPr>
        <w:spacing w:after="0" w:line="225" w:lineRule="exact"/>
        <w:rPr>
          <w:rFonts w:ascii="Arial" w:cs="Arial" w:eastAsia="Arial" w:hAnsi="Arial"/>
          <w:sz w:val="18"/>
          <w:szCs w:val="18"/>
          <w:color w:val="auto"/>
        </w:rPr>
      </w:pPr>
    </w:p>
    <w:p>
      <w:pPr>
        <w:ind w:left="1952" w:hanging="397"/>
        <w:spacing w:after="0"/>
        <w:tabs>
          <w:tab w:leader="none" w:pos="1952" w:val="left"/>
        </w:tabs>
        <w:numPr>
          <w:ilvl w:val="2"/>
          <w:numId w:val="93"/>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12"/>
          </w:cols>
          <w:pgMar w:left="328" w:top="1440" w:right="359" w:bottom="1440" w:gutter="0" w:footer="0" w:header="0"/>
        </w:sectPr>
      </w:pPr>
    </w:p>
    <w:bookmarkStart w:id="117" w:name="page118"/>
    <w:bookmarkEnd w:id="117"/>
    <w:p>
      <w:pPr>
        <w:spacing w:after="0" w:line="200" w:lineRule="exact"/>
        <w:rPr>
          <w:sz w:val="20"/>
          <w:szCs w:val="20"/>
          <w:color w:val="auto"/>
        </w:rPr>
      </w:pPr>
    </w:p>
    <w:p>
      <w:pPr>
        <w:spacing w:after="0" w:line="322" w:lineRule="exact"/>
        <w:rPr>
          <w:sz w:val="20"/>
          <w:szCs w:val="20"/>
          <w:color w:val="auto"/>
        </w:rPr>
      </w:pPr>
    </w:p>
    <w:p>
      <w:pPr>
        <w:ind w:left="640" w:right="180" w:firstLine="903"/>
        <w:spacing w:after="0" w:line="259" w:lineRule="auto"/>
        <w:tabs>
          <w:tab w:leader="none" w:pos="1987"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 default of any Revolving Credit Lender’s obligations to fund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exists or any Revolving Credit Lender is at such time a Defaulting Lender hereunder, unless, in each case, the Borrower have entered into arrangements reasonably satisfactory to the Letter of Credit Issuer to eliminate the Letter of Credit Issuer’s risk with respect to such Revolving Credit Lender or such risk has been reallocated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firstLine="656"/>
        <w:spacing w:after="0" w:line="277" w:lineRule="auto"/>
        <w:tabs>
          <w:tab w:leader="none" w:pos="9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Letter of Credit Issuer shall not increase the Stated Amount of any Letter of Credit if the Letter of Credit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ind w:left="-20" w:right="280" w:firstLine="656"/>
        <w:spacing w:after="0" w:line="263" w:lineRule="auto"/>
        <w:tabs>
          <w:tab w:leader="none" w:pos="101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183" w:lineRule="exact"/>
        <w:rPr>
          <w:rFonts w:ascii="Arial" w:cs="Arial" w:eastAsia="Arial" w:hAnsi="Arial"/>
          <w:sz w:val="18"/>
          <w:szCs w:val="18"/>
          <w:color w:val="auto"/>
        </w:rPr>
      </w:pPr>
    </w:p>
    <w:p>
      <w:pPr>
        <w:ind w:left="-20" w:right="20" w:firstLine="656"/>
        <w:spacing w:after="0" w:line="296" w:lineRule="auto"/>
        <w:tabs>
          <w:tab w:leader="none" w:pos="1014"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included the Letter of Credit Issuer with respect to such acts or omissions, and (B) as additionally provided herein with respect to the Letter of Credit Issuer.</w:t>
      </w:r>
    </w:p>
    <w:p>
      <w:pPr>
        <w:spacing w:after="0" w:line="161"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Letter of Credit Requests</w:t>
      </w:r>
      <w:r>
        <w:rPr>
          <w:rFonts w:ascii="Arial" w:cs="Arial" w:eastAsia="Arial" w:hAnsi="Arial"/>
          <w:sz w:val="16"/>
          <w:szCs w:val="16"/>
          <w:color w:val="auto"/>
        </w:rPr>
        <w:t>.</w:t>
      </w:r>
    </w:p>
    <w:p>
      <w:pPr>
        <w:spacing w:after="0" w:line="225" w:lineRule="exact"/>
        <w:rPr>
          <w:sz w:val="20"/>
          <w:szCs w:val="20"/>
          <w:color w:val="auto"/>
        </w:rPr>
      </w:pPr>
    </w:p>
    <w:p>
      <w:pPr>
        <w:ind w:left="-20" w:right="120" w:firstLine="656"/>
        <w:spacing w:after="0" w:line="255" w:lineRule="auto"/>
        <w:tabs>
          <w:tab w:leader="none" w:pos="10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spacing w:after="0" w:line="192" w:lineRule="exact"/>
        <w:rPr>
          <w:rFonts w:ascii="Arial" w:cs="Arial" w:eastAsia="Arial" w:hAnsi="Arial"/>
          <w:sz w:val="18"/>
          <w:szCs w:val="18"/>
          <w:color w:val="auto"/>
        </w:rPr>
      </w:pPr>
    </w:p>
    <w:p>
      <w:pPr>
        <w:ind w:left="-20" w:right="40" w:firstLine="656"/>
        <w:spacing w:after="0" w:line="269" w:lineRule="auto"/>
        <w:tabs>
          <w:tab w:leader="none" w:pos="1018"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spacing w:after="0" w:line="185" w:lineRule="exact"/>
        <w:rPr>
          <w:rFonts w:ascii="Arial" w:cs="Arial" w:eastAsia="Arial" w:hAnsi="Arial"/>
          <w:sz w:val="17"/>
          <w:szCs w:val="17"/>
          <w:color w:val="auto"/>
        </w:rPr>
      </w:pPr>
    </w:p>
    <w:p>
      <w:pPr>
        <w:ind w:left="-20" w:right="140" w:firstLine="656"/>
        <w:spacing w:after="0" w:line="279" w:lineRule="auto"/>
        <w:tabs>
          <w:tab w:leader="none" w:pos="10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(solely with respect to any Letter of Credit issued on the Restatement Effective Date)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shall not then be satisfied to the extent required thereby, then, subject to the terms and conditions hereof, the Letter of Credit Issuer shall,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40" w:top="1440" w:right="339" w:bottom="1440" w:gutter="0" w:footer="0" w:header="0"/>
        </w:sectPr>
      </w:pPr>
    </w:p>
    <w:bookmarkStart w:id="118" w:name="page119"/>
    <w:bookmarkEnd w:id="118"/>
    <w:p>
      <w:pPr>
        <w:spacing w:after="0" w:line="200" w:lineRule="exact"/>
        <w:rPr>
          <w:sz w:val="20"/>
          <w:szCs w:val="20"/>
          <w:color w:val="auto"/>
        </w:rPr>
      </w:pPr>
    </w:p>
    <w:p>
      <w:pPr>
        <w:spacing w:after="0" w:line="3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spacing w:after="0" w:line="184" w:lineRule="exact"/>
        <w:rPr>
          <w:sz w:val="20"/>
          <w:szCs w:val="20"/>
          <w:color w:val="auto"/>
        </w:rPr>
      </w:pPr>
    </w:p>
    <w:p>
      <w:pPr>
        <w:ind w:firstLine="656"/>
        <w:spacing w:after="0" w:line="286" w:lineRule="auto"/>
        <w:tabs>
          <w:tab w:leader="none" w:pos="1038"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Borrower so requests in any Letter of Credit Request, the Letter of Credit Issuer shall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otherwise), or (B) it has received written notice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are not then satisfied, and in each such case directing the Letter of Credit Issuer not to permit such extension.</w:t>
      </w:r>
    </w:p>
    <w:p>
      <w:pPr>
        <w:spacing w:after="0" w:line="173" w:lineRule="exact"/>
        <w:rPr>
          <w:rFonts w:ascii="Arial" w:cs="Arial" w:eastAsia="Arial" w:hAnsi="Arial"/>
          <w:sz w:val="16"/>
          <w:szCs w:val="16"/>
          <w:color w:val="auto"/>
        </w:rPr>
      </w:pPr>
    </w:p>
    <w:p>
      <w:pPr>
        <w:jc w:val="both"/>
        <w:ind w:right="220" w:firstLine="656"/>
        <w:spacing w:after="0" w:line="259" w:lineRule="auto"/>
        <w:tabs>
          <w:tab w:leader="none" w:pos="10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Letter of Credit Issuer will also deliver to the Borrower and the Administrative Agent a true and complete copy of such Letter of Credit or amendment. On the first Business Day of each month, the Letter of Credit Issuer shall provide the Administrative Agent a list of all Letters of Credit issued by it that are outstanding at such time.</w:t>
      </w:r>
    </w:p>
    <w:p>
      <w:pPr>
        <w:spacing w:after="0" w:line="186" w:lineRule="exact"/>
        <w:rPr>
          <w:rFonts w:ascii="Arial" w:cs="Arial" w:eastAsia="Arial" w:hAnsi="Arial"/>
          <w:sz w:val="18"/>
          <w:szCs w:val="18"/>
          <w:color w:val="auto"/>
        </w:rPr>
      </w:pPr>
    </w:p>
    <w:p>
      <w:pPr>
        <w:ind w:right="240" w:firstLine="656"/>
        <w:spacing w:after="0" w:line="277" w:lineRule="auto"/>
        <w:tabs>
          <w:tab w:leader="none" w:pos="1004"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Letter of Credit Participations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54" w:lineRule="auto"/>
        <w:tabs>
          <w:tab w:leader="none" w:pos="10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the Letter of Credit Issuer of any Letter of Credit, the Letter of Credit Issuer shall be deemed to have sold and transferred to each Revolving Credit Lender (each such Revolving Credit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b w:val="1"/>
          <w:bCs w:val="1"/>
          <w:color w:val="auto"/>
        </w:rPr>
        <w:t>L/C Participant</w:t>
      </w:r>
      <w:r>
        <w:rPr>
          <w:rFonts w:ascii="Arial" w:cs="Arial" w:eastAsia="Arial" w:hAnsi="Arial"/>
          <w:sz w:val="18"/>
          <w:szCs w:val="18"/>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of Credit Fees will be paid directly to the Administrative Agent for the ratable account of the L/C Participants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and the L/C Participants shall have no right to receive any portion of any Fronting Fees.</w:t>
      </w:r>
    </w:p>
    <w:p>
      <w:pPr>
        <w:spacing w:after="0" w:line="191" w:lineRule="exact"/>
        <w:rPr>
          <w:rFonts w:ascii="Arial" w:cs="Arial" w:eastAsia="Arial" w:hAnsi="Arial"/>
          <w:sz w:val="18"/>
          <w:szCs w:val="18"/>
          <w:color w:val="auto"/>
        </w:rPr>
      </w:pPr>
    </w:p>
    <w:p>
      <w:pPr>
        <w:ind w:right="40" w:firstLine="656"/>
        <w:spacing w:after="0" w:line="296" w:lineRule="auto"/>
        <w:tabs>
          <w:tab w:leader="none" w:pos="1038"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00" w:lineRule="exact"/>
        <w:rPr>
          <w:sz w:val="20"/>
          <w:szCs w:val="20"/>
          <w:color w:val="auto"/>
        </w:rPr>
      </w:pPr>
    </w:p>
    <w:p>
      <w:pPr>
        <w:spacing w:after="0" w:line="322" w:lineRule="exact"/>
        <w:rPr>
          <w:sz w:val="20"/>
          <w:szCs w:val="20"/>
          <w:color w:val="auto"/>
        </w:rPr>
      </w:pPr>
    </w:p>
    <w:p>
      <w:pPr>
        <w:ind w:left="-20" w:right="20" w:firstLine="656"/>
        <w:spacing w:after="0" w:line="268" w:lineRule="auto"/>
        <w:tabs>
          <w:tab w:leader="none" w:pos="1008"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Overnight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w:t>
      </w:r>
    </w:p>
    <w:p>
      <w:pPr>
        <w:spacing w:after="0" w:line="181" w:lineRule="exact"/>
        <w:rPr>
          <w:rFonts w:ascii="Arial" w:cs="Arial" w:eastAsia="Arial" w:hAnsi="Arial"/>
          <w:sz w:val="17"/>
          <w:szCs w:val="17"/>
          <w:color w:val="auto"/>
        </w:rPr>
      </w:pPr>
    </w:p>
    <w:p>
      <w:pPr>
        <w:ind w:left="-20" w:firstLine="656"/>
        <w:spacing w:after="0" w:line="273" w:lineRule="auto"/>
        <w:tabs>
          <w:tab w:leader="none" w:pos="1014"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Whenever the Administrative Agent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Overnight Rate.</w:t>
      </w:r>
    </w:p>
    <w:p>
      <w:pPr>
        <w:spacing w:after="0" w:line="177" w:lineRule="exact"/>
        <w:rPr>
          <w:rFonts w:ascii="Arial" w:cs="Arial" w:eastAsia="Arial" w:hAnsi="Arial"/>
          <w:sz w:val="17"/>
          <w:szCs w:val="17"/>
          <w:color w:val="auto"/>
        </w:rPr>
      </w:pPr>
    </w:p>
    <w:p>
      <w:pPr>
        <w:ind w:left="-20" w:right="120" w:firstLine="656"/>
        <w:spacing w:after="0" w:line="286" w:lineRule="auto"/>
        <w:tabs>
          <w:tab w:leader="none" w:pos="1004"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165" w:lineRule="exact"/>
        <w:rPr>
          <w:rFonts w:ascii="Arial" w:cs="Arial" w:eastAsia="Arial" w:hAnsi="Arial"/>
          <w:sz w:val="17"/>
          <w:szCs w:val="17"/>
          <w:color w:val="auto"/>
        </w:rPr>
      </w:pPr>
    </w:p>
    <w:p>
      <w:pPr>
        <w:ind w:left="-20" w:right="20" w:firstLine="656"/>
        <w:spacing w:after="0" w:line="257" w:lineRule="auto"/>
        <w:tabs>
          <w:tab w:leader="none" w:pos="9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Letter of Credit Issuer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is required to be returned, each Lender shall pay to the Administrative Agent for the account of the Letter of Credit Issuer its Revolving Credit Commitment Percentage thereof on demand of the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8"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Agreement to Repay Letter of Credit Drawings</w:t>
      </w:r>
      <w:r>
        <w:rPr>
          <w:rFonts w:ascii="Arial" w:cs="Arial" w:eastAsia="Arial" w:hAnsi="Arial"/>
          <w:sz w:val="16"/>
          <w:szCs w:val="16"/>
          <w:color w:val="auto"/>
        </w:rPr>
        <w:t>.</w:t>
      </w:r>
    </w:p>
    <w:p>
      <w:pPr>
        <w:spacing w:after="0" w:line="225" w:lineRule="exact"/>
        <w:rPr>
          <w:sz w:val="20"/>
          <w:szCs w:val="20"/>
          <w:color w:val="auto"/>
        </w:rPr>
      </w:pPr>
    </w:p>
    <w:p>
      <w:pPr>
        <w:ind w:left="-20" w:right="20" w:firstLine="656"/>
        <w:spacing w:after="0" w:line="293" w:lineRule="auto"/>
        <w:tabs>
          <w:tab w:leader="none" w:pos="100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Arial" w:cs="Arial" w:eastAsia="Arial" w:hAnsi="Arial"/>
          <w:sz w:val="16"/>
          <w:szCs w:val="16"/>
          <w:b w:val="1"/>
          <w:bCs w:val="1"/>
          <w:color w:val="auto"/>
        </w:rPr>
        <w:t>Unpaid Drawing</w:t>
      </w:r>
      <w:r>
        <w:rPr>
          <w:rFonts w:ascii="Arial" w:cs="Arial" w:eastAsia="Arial" w:hAnsi="Arial"/>
          <w:sz w:val="16"/>
          <w:szCs w:val="16"/>
          <w:color w:val="auto"/>
        </w:rPr>
        <w:t>”) no later than the date that is one Business Day after the date on which the Borrower receives written notice of such payment or disbursement (the “</w:t>
      </w:r>
      <w:r>
        <w:rPr>
          <w:rFonts w:ascii="Arial" w:cs="Arial" w:eastAsia="Arial" w:hAnsi="Arial"/>
          <w:sz w:val="16"/>
          <w:szCs w:val="16"/>
          <w:b w:val="1"/>
          <w:bCs w:val="1"/>
          <w:color w:val="auto"/>
        </w:rPr>
        <w:t>Reimbursement Date</w:t>
      </w:r>
      <w:r>
        <w:rPr>
          <w:rFonts w:ascii="Arial" w:cs="Arial" w:eastAsia="Arial" w:hAnsi="Arial"/>
          <w:sz w:val="16"/>
          <w:szCs w:val="16"/>
          <w:color w:val="auto"/>
        </w:rPr>
        <w:t>”), with interest on the amount so paid or disbursed by the Letter of Credit Issuer,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40" w:top="1440" w:right="339" w:bottom="1440" w:gutter="0" w:footer="0" w:header="0"/>
        </w:sectPr>
      </w:pPr>
    </w:p>
    <w:bookmarkStart w:id="120" w:name="page121"/>
    <w:bookmarkEnd w:id="120"/>
    <w:p>
      <w:pPr>
        <w:spacing w:after="0" w:line="200" w:lineRule="exact"/>
        <w:rPr>
          <w:sz w:val="20"/>
          <w:szCs w:val="20"/>
          <w:color w:val="auto"/>
        </w:rPr>
      </w:pPr>
    </w:p>
    <w:p>
      <w:pPr>
        <w:spacing w:after="0" w:line="32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extent not reimbursed prior to 5:00 p.m. (New York City time) on the Reimbursement Date, from the Reimbursement Date to the date the Letter of Credit Issuer is reimbursed therefor at a rate per annum that shall at all times be the Applicable Margin for ABR Loans that are Revolving Credit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ABR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in this Agreement to the contrary, (i) unless the Borrower shall have notified the Administrative Agent and the relevant Letter of Credit Issuer prior to 1:00 p.m.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fails to Cash Collateralize any Letter of Credit that is outstanding on the L/C Facility Maturity Date, the full amount of the Letters of Credit Outstanding in respect of such Letter of Credit shall be deemed to be an Unpaid Drawing subject to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except that the Letter of Credit Issuer shall hold the proceeds received from the L/C Participants as contemplated above as cash collateral for such Letter of Credit to reimburse any Drawing under such Letter of Credit and shall use such proceeds first, to reimburse itself for any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shall affect the Borrower’s obligation to repay all outstanding Revolving Credit Loans when due in accordance with the terms of this Agreement.</w:t>
      </w:r>
    </w:p>
    <w:p>
      <w:pPr>
        <w:spacing w:after="0" w:line="398" w:lineRule="exact"/>
        <w:rPr>
          <w:sz w:val="20"/>
          <w:szCs w:val="20"/>
          <w:color w:val="auto"/>
        </w:rPr>
      </w:pPr>
    </w:p>
    <w:p>
      <w:pPr>
        <w:ind w:right="160" w:firstLine="656"/>
        <w:spacing w:after="0" w:line="263" w:lineRule="auto"/>
        <w:tabs>
          <w:tab w:leader="none" w:pos="103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3" w:lineRule="exact"/>
        <w:rPr>
          <w:rFonts w:ascii="Arial" w:cs="Arial" w:eastAsia="Arial" w:hAnsi="Arial"/>
          <w:sz w:val="18"/>
          <w:szCs w:val="18"/>
          <w:color w:val="auto"/>
        </w:rPr>
      </w:pPr>
    </w:p>
    <w:p>
      <w:pPr>
        <w:ind w:left="1920" w:hanging="357"/>
        <w:spacing w:after="0"/>
        <w:tabs>
          <w:tab w:leader="none" w:pos="19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Credit Documents;</w:t>
      </w:r>
    </w:p>
    <w:p>
      <w:pPr>
        <w:spacing w:after="0" w:line="225" w:lineRule="exact"/>
        <w:rPr>
          <w:rFonts w:ascii="Arial" w:cs="Arial" w:eastAsia="Arial" w:hAnsi="Arial"/>
          <w:sz w:val="18"/>
          <w:szCs w:val="18"/>
          <w:color w:val="auto"/>
        </w:rPr>
      </w:pPr>
    </w:p>
    <w:p>
      <w:pPr>
        <w:ind w:left="660" w:right="20" w:firstLine="903"/>
        <w:spacing w:after="0" w:line="257" w:lineRule="auto"/>
        <w:tabs>
          <w:tab w:leader="none" w:pos="196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87" w:lineRule="exact"/>
        <w:rPr>
          <w:rFonts w:ascii="Arial" w:cs="Arial" w:eastAsia="Arial" w:hAnsi="Arial"/>
          <w:sz w:val="18"/>
          <w:szCs w:val="18"/>
          <w:color w:val="auto"/>
        </w:rPr>
      </w:pPr>
    </w:p>
    <w:p>
      <w:pPr>
        <w:ind w:left="660" w:right="40" w:firstLine="903"/>
        <w:spacing w:after="0" w:line="263" w:lineRule="auto"/>
        <w:tabs>
          <w:tab w:leader="none" w:pos="201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3" w:lineRule="exact"/>
        <w:rPr>
          <w:rFonts w:ascii="Arial" w:cs="Arial" w:eastAsia="Arial" w:hAnsi="Arial"/>
          <w:sz w:val="18"/>
          <w:szCs w:val="18"/>
          <w:color w:val="auto"/>
        </w:rPr>
      </w:pPr>
    </w:p>
    <w:p>
      <w:pPr>
        <w:ind w:left="660" w:right="500" w:firstLine="903"/>
        <w:spacing w:after="0" w:line="263" w:lineRule="auto"/>
        <w:tabs>
          <w:tab w:leader="none" w:pos="200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200" w:lineRule="exact"/>
        <w:rPr>
          <w:sz w:val="20"/>
          <w:szCs w:val="20"/>
          <w:color w:val="auto"/>
        </w:rPr>
      </w:pPr>
    </w:p>
    <w:p>
      <w:pPr>
        <w:spacing w:after="0" w:line="322" w:lineRule="exact"/>
        <w:rPr>
          <w:sz w:val="20"/>
          <w:szCs w:val="20"/>
          <w:color w:val="auto"/>
        </w:rPr>
      </w:pPr>
    </w:p>
    <w:p>
      <w:pPr>
        <w:ind w:left="660" w:firstLine="903"/>
        <w:spacing w:after="0" w:line="263" w:lineRule="auto"/>
        <w:tabs>
          <w:tab w:leader="none" w:pos="195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or the ISP;</w:t>
      </w:r>
    </w:p>
    <w:p>
      <w:pPr>
        <w:spacing w:after="0" w:line="183" w:lineRule="exact"/>
        <w:rPr>
          <w:rFonts w:ascii="Arial" w:cs="Arial" w:eastAsia="Arial" w:hAnsi="Arial"/>
          <w:sz w:val="18"/>
          <w:szCs w:val="18"/>
          <w:color w:val="auto"/>
        </w:rPr>
      </w:pPr>
    </w:p>
    <w:p>
      <w:pPr>
        <w:ind w:left="660" w:right="80" w:firstLine="903"/>
        <w:spacing w:after="0" w:line="257" w:lineRule="auto"/>
        <w:tabs>
          <w:tab w:leader="none" w:pos="200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w:t>
      </w:r>
    </w:p>
    <w:p>
      <w:pPr>
        <w:spacing w:after="0" w:line="187" w:lineRule="exact"/>
        <w:rPr>
          <w:rFonts w:ascii="Arial" w:cs="Arial" w:eastAsia="Arial" w:hAnsi="Arial"/>
          <w:sz w:val="18"/>
          <w:szCs w:val="18"/>
          <w:color w:val="auto"/>
        </w:rPr>
      </w:pPr>
    </w:p>
    <w:p>
      <w:pPr>
        <w:ind w:left="2060" w:hanging="497"/>
        <w:spacing w:after="0"/>
        <w:tabs>
          <w:tab w:leader="none" w:pos="2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draft;</w:t>
      </w:r>
    </w:p>
    <w:p>
      <w:pPr>
        <w:spacing w:after="0" w:line="210" w:lineRule="exact"/>
        <w:rPr>
          <w:rFonts w:ascii="Arial" w:cs="Arial" w:eastAsia="Arial" w:hAnsi="Arial"/>
          <w:sz w:val="16"/>
          <w:szCs w:val="16"/>
          <w:color w:val="auto"/>
        </w:rPr>
      </w:pPr>
    </w:p>
    <w:p>
      <w:pPr>
        <w:ind w:left="2100" w:hanging="537"/>
        <w:spacing w:after="0"/>
        <w:tabs>
          <w:tab w:leader="none" w:pos="21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adverse change in any relevant exchange rates or in the relevant currency markets generally; or</w:t>
      </w:r>
    </w:p>
    <w:p>
      <w:pPr>
        <w:spacing w:after="0" w:line="225" w:lineRule="exact"/>
        <w:rPr>
          <w:rFonts w:ascii="Arial" w:cs="Arial" w:eastAsia="Arial" w:hAnsi="Arial"/>
          <w:sz w:val="18"/>
          <w:szCs w:val="18"/>
          <w:color w:val="auto"/>
        </w:rPr>
      </w:pPr>
    </w:p>
    <w:p>
      <w:pPr>
        <w:ind w:left="660" w:right="220" w:firstLine="903"/>
        <w:spacing w:after="0" w:line="263" w:lineRule="auto"/>
        <w:tabs>
          <w:tab w:leader="none" w:pos="200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184" w:lineRule="exact"/>
        <w:rPr>
          <w:sz w:val="20"/>
          <w:szCs w:val="20"/>
          <w:color w:val="auto"/>
        </w:rPr>
      </w:pPr>
    </w:p>
    <w:p>
      <w:pPr>
        <w:ind w:right="100" w:firstLine="656"/>
        <w:spacing w:after="0" w:line="263" w:lineRule="auto"/>
        <w:tabs>
          <w:tab w:leader="none" w:pos="10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w:t>
      </w:r>
    </w:p>
    <w:p>
      <w:pPr>
        <w:spacing w:after="0" w:line="18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Increased Costs</w:t>
      </w:r>
      <w:r>
        <w:rPr>
          <w:rFonts w:ascii="Arial" w:cs="Arial" w:eastAsia="Arial" w:hAnsi="Arial"/>
          <w:sz w:val="16"/>
          <w:szCs w:val="16"/>
          <w:color w:val="auto"/>
        </w:rPr>
        <w:t>. If after the Restatement Effective Date, the adoption of any applicable law, treaty, rule, or regulation, or any change therein, or any 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Restatement Effective Date (whether or not having the force of law), by any such authority, central bank or comparable agency shall either (x) 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the Borrower (or Holdings or other Restricted Subsidiary))), the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Restatement Effective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Issuer or such L/C Participant as aforesaid shall be conclusive and binding on the Borrower absent clearly demonstrable error.</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New or Successor Letter of Credit Issuer</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4" w:lineRule="auto"/>
        <w:tabs>
          <w:tab w:leader="none" w:pos="101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 Letter of Credit Issuer may resign as the Letter of Credit Issuer upon 60 days’ prior written notice to the Administrative Agent, the Lenders, Holdings, and the Borrower. The Borrower may replace a Letter of Credit Issuer for any reason upon written notice to the Administrative Agent and the Letter of Credit Issuer. The Borrower may add Letter of Credit Issuers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Arial" w:cs="Arial" w:eastAsia="Arial" w:hAnsi="Arial"/>
          <w:sz w:val="16"/>
          <w:szCs w:val="16"/>
          <w:u w:val="single" w:color="auto"/>
          <w:color w:val="auto"/>
        </w:rPr>
        <w:t>Sections 4.1(b)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4.1(d)</w:t>
      </w:r>
      <w:r>
        <w:rPr>
          <w:rFonts w:ascii="Arial" w:cs="Arial" w:eastAsia="Arial" w:hAnsi="Arial"/>
          <w:sz w:val="16"/>
          <w:szCs w:val="16"/>
          <w:color w:val="auto"/>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w:t>
      </w:r>
    </w:p>
    <w:p>
      <w:pPr>
        <w:spacing w:after="0" w:line="385" w:lineRule="exact"/>
        <w:rPr>
          <w:rFonts w:ascii="Arial" w:cs="Arial" w:eastAsia="Arial" w:hAnsi="Arial"/>
          <w:sz w:val="16"/>
          <w:szCs w:val="16"/>
          <w:color w:val="auto"/>
        </w:rPr>
      </w:pPr>
    </w:p>
    <w:p>
      <w:pPr>
        <w:ind w:right="40" w:firstLine="656"/>
        <w:spacing w:after="0" w:line="257" w:lineRule="auto"/>
        <w:tabs>
          <w:tab w:leader="none" w:pos="10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To the extent there are, at the time of any resignation or replacement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Role of Letter of Credit Issuer</w:t>
      </w:r>
      <w:r>
        <w:rPr>
          <w:rFonts w:ascii="Arial" w:cs="Arial" w:eastAsia="Arial" w:hAnsi="Arial"/>
          <w:sz w:val="18"/>
          <w:szCs w:val="18"/>
          <w:color w:val="auto"/>
        </w:rPr>
        <w:t>.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200" w:lineRule="exact"/>
        <w:rPr>
          <w:sz w:val="20"/>
          <w:szCs w:val="20"/>
          <w:color w:val="auto"/>
        </w:rPr>
      </w:pPr>
    </w:p>
    <w:p>
      <w:pPr>
        <w:spacing w:after="0" w:line="32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in such Section to the contrary notwithstanding, the Borrower may have a claim against the Letter of Credit Issuer, and the Letter of Credit Issuer may be liable to the Borrower, to the extent, but only to the extent, of any direct, as opposed to consequential or exemplary, damages suffered by the Borrower which the Borrower proves were caused by the Letter of Credit Issuer’s willful misconduct or gross negligence or the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Letter of Credit Issuer may send a Letter of Credit or conduct any communication to or from the beneficiary via the Society for Worldwide Interbank Financial Telecommunication (“</w:t>
      </w:r>
      <w:r>
        <w:rPr>
          <w:rFonts w:ascii="Arial" w:cs="Arial" w:eastAsia="Arial" w:hAnsi="Arial"/>
          <w:sz w:val="18"/>
          <w:szCs w:val="18"/>
          <w:b w:val="1"/>
          <w:b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1" w:lineRule="auto"/>
        <w:tabs>
          <w:tab w:leader="none" w:pos="1027"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Upon the written request of the Administrative Agent or the Letter of Credit Issuer, if (i) as of the L/C Facility Maturity Date, any L/C Obligation for any reason remains outstanding, (ii) the Borrower shall be required to provide Cash Collateral pursuant to</w:t>
      </w:r>
    </w:p>
    <w:p>
      <w:pPr>
        <w:ind w:right="240"/>
        <w:spacing w:after="0" w:line="273" w:lineRule="auto"/>
        <w:rPr>
          <w:rFonts w:ascii="Arial" w:cs="Arial" w:eastAsia="Arial" w:hAnsi="Arial"/>
          <w:sz w:val="16"/>
          <w:szCs w:val="16"/>
          <w:color w:val="auto"/>
        </w:rPr>
      </w:pP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or (iii) the provisions of </w:t>
      </w:r>
      <w:r>
        <w:rPr>
          <w:rFonts w:ascii="Arial" w:cs="Arial" w:eastAsia="Arial" w:hAnsi="Arial"/>
          <w:sz w:val="17"/>
          <w:szCs w:val="17"/>
          <w:u w:val="single" w:color="auto"/>
          <w:color w:val="auto"/>
        </w:rPr>
        <w:t>Section 2.16(a)(v)</w:t>
      </w:r>
      <w:r>
        <w:rPr>
          <w:rFonts w:ascii="Arial" w:cs="Arial" w:eastAsia="Arial" w:hAnsi="Arial"/>
          <w:sz w:val="17"/>
          <w:szCs w:val="17"/>
          <w:color w:val="auto"/>
        </w:rPr>
        <w:t xml:space="preserve"> are in effect, the Borrower shall immediately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any Cash Collateral provided by the Defaulting Lender).</w:t>
      </w:r>
    </w:p>
    <w:p>
      <w:pPr>
        <w:spacing w:after="0" w:line="176" w:lineRule="exact"/>
        <w:rPr>
          <w:rFonts w:ascii="Arial" w:cs="Arial" w:eastAsia="Arial" w:hAnsi="Arial"/>
          <w:sz w:val="16"/>
          <w:szCs w:val="16"/>
          <w:color w:val="auto"/>
        </w:rPr>
      </w:pPr>
    </w:p>
    <w:p>
      <w:pPr>
        <w:ind w:right="40" w:firstLine="656"/>
        <w:spacing w:after="0" w:line="270" w:lineRule="auto"/>
        <w:tabs>
          <w:tab w:leader="none" w:pos="1038"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3.8(c)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0" w:lineRule="exact"/>
        <w:rPr>
          <w:sz w:val="20"/>
          <w:szCs w:val="20"/>
          <w:color w:val="auto"/>
        </w:rPr>
      </w:pPr>
    </w:p>
    <w:p>
      <w:pPr>
        <w:spacing w:after="0" w:line="3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Administrative Agent. The Borrower shall pay on demand therefor from time to time all customary account opening, activity and other administrative fees and charges in connection with the maintenance and disbursement of Cash Collateral.</w:t>
      </w:r>
    </w:p>
    <w:p>
      <w:pPr>
        <w:spacing w:after="0" w:line="170" w:lineRule="exact"/>
        <w:rPr>
          <w:sz w:val="20"/>
          <w:szCs w:val="20"/>
          <w:color w:val="auto"/>
        </w:rPr>
      </w:pPr>
    </w:p>
    <w:p>
      <w:pPr>
        <w:ind w:right="40" w:firstLine="656"/>
        <w:spacing w:after="0" w:line="301" w:lineRule="auto"/>
        <w:tabs>
          <w:tab w:leader="none" w:pos="1027"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57" w:lineRule="exact"/>
        <w:rPr>
          <w:rFonts w:ascii="Arial" w:cs="Arial" w:eastAsia="Arial" w:hAnsi="Arial"/>
          <w:sz w:val="16"/>
          <w:szCs w:val="16"/>
          <w:color w:val="auto"/>
        </w:rPr>
      </w:pPr>
    </w:p>
    <w:p>
      <w:pPr>
        <w:ind w:right="180" w:firstLine="656"/>
        <w:spacing w:after="0" w:line="301" w:lineRule="auto"/>
        <w:tabs>
          <w:tab w:leader="none" w:pos="103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13.6(b)(ii)</w:t>
      </w:r>
      <w:r>
        <w:rPr>
          <w:rFonts w:ascii="Arial" w:cs="Arial" w:eastAsia="Arial" w:hAnsi="Arial"/>
          <w:sz w:val="16"/>
          <w:szCs w:val="16"/>
          <w:color w:val="auto"/>
        </w:rPr>
        <w:t>) or there is no longer existing an Event of Default) or (ii) the determination by the Administrative Agent and the Letter of Credit Issuer that there exists excess Cash Collateral.</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Applicability of ISP</w:t>
      </w:r>
      <w:r>
        <w:rPr>
          <w:rFonts w:ascii="Arial" w:cs="Arial" w:eastAsia="Arial" w:hAnsi="Arial"/>
          <w:sz w:val="17"/>
          <w:szCs w:val="17"/>
          <w:color w:val="auto"/>
        </w:rPr>
        <w:t>. Unless otherwise expressly agreed by the Letter of Credit Issuer and the applicable Borrower when a Letter of Credit is issued (including any such agreement applicable to an Existing Letter of Credit), the rules of the ISP shall apply to each standby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 and any grant of security interest in any Issuer Documents shall be void.</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w:t>
      </w:r>
    </w:p>
    <w:p>
      <w:pPr>
        <w:spacing w:after="0" w:line="18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xml:space="preserve">.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3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 Borrower shall Cash Collateralize any such Letter of Credit in accordance with </w:t>
      </w:r>
      <w:r>
        <w:rPr>
          <w:rFonts w:ascii="Arial" w:cs="Arial" w:eastAsia="Arial" w:hAnsi="Arial"/>
          <w:sz w:val="18"/>
          <w:szCs w:val="18"/>
          <w:u w:val="single" w:color="auto"/>
          <w:color w:val="auto"/>
        </w:rPr>
        <w:t>Section 3.8</w:t>
      </w:r>
      <w:r>
        <w:rPr>
          <w:rFonts w:ascii="Arial" w:cs="Arial" w:eastAsia="Arial" w:hAnsi="Arial"/>
          <w:sz w:val="18"/>
          <w:szCs w:val="18"/>
          <w:color w:val="auto"/>
        </w:rPr>
        <w:t>. Upon the maturity date of any tranche of Revolving Credit Commitments, the sublimit for Letters of Credit may be reduced as agreed between the Letter of Credit Issuer and the Borrower, without the consent of any other Person.</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color w:val="auto"/>
        </w:rPr>
        <w:t>Fees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80" w:firstLine="656"/>
        <w:spacing w:after="0" w:line="273" w:lineRule="auto"/>
        <w:tabs>
          <w:tab w:leader="none" w:pos="102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Arial" w:cs="Arial" w:eastAsia="Arial" w:hAnsi="Arial"/>
          <w:sz w:val="17"/>
          <w:szCs w:val="17"/>
          <w:b w:val="1"/>
          <w:bCs w:val="1"/>
          <w:color w:val="auto"/>
        </w:rPr>
        <w:t>Commitment Fee</w:t>
      </w:r>
      <w:r>
        <w:rPr>
          <w:rFonts w:ascii="Arial" w:cs="Arial" w:eastAsia="Arial" w:hAnsi="Arial"/>
          <w:sz w:val="17"/>
          <w:szCs w:val="17"/>
          <w:color w:val="auto"/>
        </w:rPr>
        <w:t xml:space="preserve">”) for each day from the Restatement Effective Date to the Revolving Credit Termination Date. Each Commitment Fee shall be payable (x) quarterly in arrears on the last Business Day of March, June, September and December and (y) on the Revolving Credit Termination Date (for the period ended on such date for which no payment has been received pursuant to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above), and shall be computed for each day during such period at a rate per annum equal to the Commitment Fee Rate in effect on such day on the Available Commitment in effect on such day.</w:t>
      </w:r>
    </w:p>
    <w:p>
      <w:pPr>
        <w:spacing w:after="0" w:line="177" w:lineRule="exact"/>
        <w:rPr>
          <w:rFonts w:ascii="Arial" w:cs="Arial" w:eastAsia="Arial" w:hAnsi="Arial"/>
          <w:sz w:val="17"/>
          <w:szCs w:val="17"/>
          <w:color w:val="auto"/>
        </w:rPr>
      </w:pPr>
    </w:p>
    <w:p>
      <w:pPr>
        <w:ind w:firstLine="656"/>
        <w:spacing w:after="0" w:line="273" w:lineRule="auto"/>
        <w:tabs>
          <w:tab w:leader="none" w:pos="103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Arial" w:cs="Arial" w:eastAsia="Arial" w:hAnsi="Arial"/>
          <w:sz w:val="17"/>
          <w:szCs w:val="17"/>
          <w:b w:val="1"/>
          <w:bCs w:val="1"/>
          <w:color w:val="auto"/>
        </w:rPr>
        <w:t>Letter of Credit Fee</w:t>
      </w:r>
      <w:r>
        <w:rPr>
          <w:rFonts w:ascii="Arial" w:cs="Arial" w:eastAsia="Arial" w:hAnsi="Arial"/>
          <w:sz w:val="17"/>
          <w:szCs w:val="17"/>
          <w:color w:val="auto"/>
        </w:rPr>
        <w:t>”), for the period from the date of issuance of such Letter of Credit to the termination date of such Letter of Credit computed at the per annum rate for each day equal to the Applicable Margin. Except as provided below, such Letter of Credit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77" w:lineRule="exact"/>
        <w:rPr>
          <w:rFonts w:ascii="Arial" w:cs="Arial" w:eastAsia="Arial" w:hAnsi="Arial"/>
          <w:sz w:val="17"/>
          <w:szCs w:val="17"/>
          <w:color w:val="auto"/>
        </w:rPr>
      </w:pPr>
    </w:p>
    <w:p>
      <w:pPr>
        <w:ind w:right="360" w:firstLine="656"/>
        <w:spacing w:after="0" w:line="277" w:lineRule="auto"/>
        <w:tabs>
          <w:tab w:leader="none" w:pos="10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170" w:lineRule="exact"/>
        <w:rPr>
          <w:rFonts w:ascii="Arial" w:cs="Arial" w:eastAsia="Arial" w:hAnsi="Arial"/>
          <w:sz w:val="18"/>
          <w:szCs w:val="18"/>
          <w:color w:val="auto"/>
        </w:rPr>
      </w:pPr>
    </w:p>
    <w:p>
      <w:pPr>
        <w:ind w:right="20" w:firstLine="656"/>
        <w:spacing w:after="0" w:line="255" w:lineRule="auto"/>
        <w:tabs>
          <w:tab w:leader="none" w:pos="10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Letter of Credit Issuer a fee in Dollars in respect of each Letter of Credit issued by it to the Borrower (the “</w:t>
      </w:r>
      <w:r>
        <w:rPr>
          <w:rFonts w:ascii="Arial" w:cs="Arial" w:eastAsia="Arial" w:hAnsi="Arial"/>
          <w:sz w:val="18"/>
          <w:szCs w:val="18"/>
          <w:b w:val="1"/>
          <w:bCs w:val="1"/>
          <w:color w:val="auto"/>
        </w:rPr>
        <w:t>Fronting Fee</w:t>
      </w:r>
      <w:r>
        <w:rPr>
          <w:rFonts w:ascii="Arial" w:cs="Arial" w:eastAsia="Arial" w:hAnsi="Arial"/>
          <w:sz w:val="18"/>
          <w:szCs w:val="18"/>
          <w:color w:val="auto"/>
        </w:rPr>
        <w:t>”), for the period from the date of issuance of such Letter of Credit to the termination date of such Letter of Credit, computed at the rate for each day equal to 0.125% per annum on the actual daily Stated Amount of such Letter of Credit (or at such other rate per annum as agreed in writing between the Borrower and the Letter of Credit Issuer). Such Fronting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92" w:lineRule="exact"/>
        <w:rPr>
          <w:rFonts w:ascii="Arial" w:cs="Arial" w:eastAsia="Arial" w:hAnsi="Arial"/>
          <w:sz w:val="18"/>
          <w:szCs w:val="18"/>
          <w:color w:val="auto"/>
        </w:rPr>
      </w:pPr>
    </w:p>
    <w:p>
      <w:pPr>
        <w:ind w:right="180" w:firstLine="656"/>
        <w:spacing w:after="0" w:line="259" w:lineRule="auto"/>
        <w:tabs>
          <w:tab w:leader="none" w:pos="10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duplication, the Borrower agrees to pay directly to the Letter of Credit Issuer in Dollars upon each issuance or renewal of, drawing under, and/or amendment of, a Letter of Credit issued by it such amount as shall at the time of such issuance or renewal of, drawing under, and/or amendment be the processing charge that the Letter of Credit Issuer is customarily charging for issuances or renewals of, drawings under or amendments of, letters of credit issued by it.</w:t>
      </w:r>
    </w:p>
    <w:p>
      <w:pPr>
        <w:spacing w:after="0" w:line="186" w:lineRule="exact"/>
        <w:rPr>
          <w:rFonts w:ascii="Arial" w:cs="Arial" w:eastAsia="Arial" w:hAnsi="Arial"/>
          <w:sz w:val="18"/>
          <w:szCs w:val="18"/>
          <w:color w:val="auto"/>
        </w:rPr>
      </w:pPr>
    </w:p>
    <w:p>
      <w:pPr>
        <w:ind w:left="1020" w:hanging="364"/>
        <w:spacing w:after="0"/>
        <w:tabs>
          <w:tab w:leader="none" w:pos="10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Borrower shall not be obligated to pay any amounts to any Defaulting Lender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20" w:firstLine="656"/>
        <w:spacing w:after="0" w:line="277" w:lineRule="auto"/>
        <w:tabs>
          <w:tab w:leader="none" w:pos="10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such fees as stipulated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fully earned when paid and shall not be refundable for any reason whatsoever.</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Voluntary Reduction of Revolving Credit Commitments</w:t>
      </w:r>
      <w:r>
        <w:rPr>
          <w:rFonts w:ascii="Arial" w:cs="Arial" w:eastAsia="Arial" w:hAnsi="Arial"/>
          <w:sz w:val="18"/>
          <w:szCs w:val="18"/>
          <w:color w:val="auto"/>
        </w:rPr>
        <w:t>. Upon at least two Business Days’ prior written notice to the Administrative Agent at the Administrative Agent’s Office (which notice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32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Agent shall promptly transmit to each of the Lenders), the Borrower shall have the right, without premium or penalty, on any day, permanently to terminate or reduce the Revolving Credit Commitments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such reduction shall apply proportionately and permanently to reduce the Revolving Credit Commitment of each of the Lenders of any applicable Class, except that (i) notwithstanding the foregoing, in connection with the establishment on any date of any Extended Revolving Credit Commitments pursuant to </w:t>
      </w:r>
      <w:r>
        <w:rPr>
          <w:rFonts w:ascii="Arial" w:cs="Arial" w:eastAsia="Arial" w:hAnsi="Arial"/>
          <w:sz w:val="16"/>
          <w:szCs w:val="16"/>
          <w:u w:val="single" w:color="auto"/>
          <w:color w:val="auto"/>
        </w:rPr>
        <w:t>Section 2.14(g)</w:t>
      </w:r>
      <w:r>
        <w:rPr>
          <w:rFonts w:ascii="Arial" w:cs="Arial" w:eastAsia="Arial" w:hAnsi="Arial"/>
          <w:sz w:val="16"/>
          <w:szCs w:val="16"/>
          <w:color w:val="auto"/>
        </w:rPr>
        <w:t>, the Revolving Credit Commitments of any one or more Lenders providing any such Extended Revolving Credit Commitments on such date shall be reduced in an amount equal to the amount of Revolving Credit Commitments so extended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with respect to the ratable allocation of payments hereunder, with such allocation being determined after giving effect to any conversion pursuant to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of Revolving Credit Commitments and Revolving Credit Loans into Extended Revolving Credit Commitments and Extended Revolving Credit Loans pursuant to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be in the amount of at least $5,000,000, and</w:t>
      </w:r>
    </w:p>
    <w:p>
      <w:pPr>
        <w:spacing w:after="0" w:line="2" w:lineRule="exact"/>
        <w:rPr>
          <w:sz w:val="20"/>
          <w:szCs w:val="20"/>
          <w:color w:val="auto"/>
        </w:rPr>
      </w:pPr>
    </w:p>
    <w:p>
      <w:pPr>
        <w:jc w:val="both"/>
        <w:ind w:right="200" w:firstLine="8"/>
        <w:spacing w:after="0" w:line="302" w:lineRule="auto"/>
        <w:tabs>
          <w:tab w:leader="none" w:pos="24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spacing w:after="0" w:line="15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Mandatory Termination of Commitments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77" w:lineRule="auto"/>
        <w:tabs>
          <w:tab w:leader="none" w:pos="10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Term A Loan Commitment shall terminate in full on the Restatement Effective Date immediately following the funding of the Term A Loan thereunder.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Revolving Credit Commitment shall terminate at 5:00 p.m. (New York City time) on the Revolving Credit Maturity Date.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Swingline Commitment shall terminate at 5:00 p.m. (New York City time) on the Swingline Maturity Date.</w:t>
      </w:r>
    </w:p>
    <w:p>
      <w:pPr>
        <w:spacing w:after="0" w:line="225" w:lineRule="exact"/>
        <w:rPr>
          <w:rFonts w:ascii="Arial" w:cs="Arial" w:eastAsia="Arial" w:hAnsi="Arial"/>
          <w:sz w:val="18"/>
          <w:szCs w:val="18"/>
          <w:color w:val="auto"/>
        </w:rPr>
      </w:pPr>
    </w:p>
    <w:p>
      <w:pPr>
        <w:ind w:right="340" w:firstLine="656"/>
        <w:spacing w:after="0" w:line="277" w:lineRule="auto"/>
        <w:tabs>
          <w:tab w:leader="none" w:pos="10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New Term Loan Commitment for any Series shall, unless otherwise provided in the applicable Joinder Agreement, terminate at 5:00 p.m. (New York City time) on the Increased Amount Date for such Series.</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color w:val="auto"/>
        </w:rPr>
        <w:t>Payments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The Borrower shall have the right to prepay Loans, including Term Loans, Revolving Credit Loans, and Swingline Loans, as applicable, in each case, other than as set forth in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without premium or penalty, in whole or in part from time to time on the following terms and conditions: (1) the Borrower shall give the Administrative Agent at the Administrative Agent’s Office </w:t>
      </w:r>
      <w:r>
        <w:rPr>
          <w:rFonts w:ascii="Arial" w:cs="Arial" w:eastAsia="Arial" w:hAnsi="Arial"/>
          <w:sz w:val="16"/>
          <w:szCs w:val="16"/>
          <w:color w:val="FF0000"/>
          <w:strike w:val="1"/>
        </w:rPr>
        <w:t>notice of its intent to make such</w:t>
      </w:r>
      <w:r>
        <w:rPr>
          <w:rFonts w:ascii="Arial" w:cs="Arial" w:eastAsia="Arial" w:hAnsi="Arial"/>
          <w:sz w:val="16"/>
          <w:szCs w:val="16"/>
          <w:color w:val="auto"/>
        </w:rPr>
        <w:t xml:space="preserve"> </w:t>
      </w:r>
      <w:r>
        <w:rPr>
          <w:rFonts w:ascii="Arial" w:cs="Arial" w:eastAsia="Arial" w:hAnsi="Arial"/>
          <w:sz w:val="16"/>
          <w:szCs w:val="16"/>
          <w:color w:val="FF0000"/>
          <w:strike w:val="1"/>
        </w:rPr>
        <w:t>prepayment,</w:t>
      </w:r>
      <w:r>
        <w:rPr>
          <w:rFonts w:ascii="Arial" w:cs="Arial" w:eastAsia="Arial" w:hAnsi="Arial"/>
          <w:sz w:val="16"/>
          <w:szCs w:val="16"/>
          <w:u w:val="single" w:color="auto"/>
          <w:color w:val="0000FF"/>
        </w:rPr>
        <w:t>a Prepayment Notice specifying</w:t>
      </w:r>
      <w:r>
        <w:rPr>
          <w:rFonts w:ascii="Arial" w:cs="Arial" w:eastAsia="Arial" w:hAnsi="Arial"/>
          <w:sz w:val="16"/>
          <w:szCs w:val="16"/>
          <w:color w:val="FF0000"/>
        </w:rPr>
        <w:t xml:space="preserve"> </w:t>
      </w:r>
      <w:r>
        <w:rPr>
          <w:rFonts w:ascii="Arial" w:cs="Arial" w:eastAsia="Arial" w:hAnsi="Arial"/>
          <w:sz w:val="16"/>
          <w:szCs w:val="16"/>
          <w:color w:val="000000"/>
        </w:rPr>
        <w:t>the amount of such prepayment and (in the case of LIBOR Loans) the specific Borrowing(s) pursuant to which</w:t>
      </w:r>
      <w:r>
        <w:rPr>
          <w:rFonts w:ascii="Arial" w:cs="Arial" w:eastAsia="Arial" w:hAnsi="Arial"/>
          <w:sz w:val="16"/>
          <w:szCs w:val="16"/>
          <w:color w:val="FF0000"/>
        </w:rPr>
        <w:t xml:space="preserve"> </w:t>
      </w:r>
      <w:r>
        <w:rPr>
          <w:rFonts w:ascii="Arial" w:cs="Arial" w:eastAsia="Arial" w:hAnsi="Arial"/>
          <w:sz w:val="16"/>
          <w:szCs w:val="16"/>
          <w:color w:val="000000"/>
        </w:rPr>
        <w:t xml:space="preserve">made, which </w:t>
      </w:r>
      <w:r>
        <w:rPr>
          <w:rFonts w:ascii="Arial" w:cs="Arial" w:eastAsia="Arial" w:hAnsi="Arial"/>
          <w:sz w:val="16"/>
          <w:szCs w:val="16"/>
          <w:u w:val="single" w:color="auto"/>
          <w:color w:val="0000FF"/>
        </w:rPr>
        <w:t>Prepayment</w:t>
      </w:r>
      <w:r>
        <w:rPr>
          <w:rFonts w:ascii="Arial" w:cs="Arial" w:eastAsia="Arial" w:hAnsi="Arial"/>
          <w:sz w:val="16"/>
          <w:szCs w:val="16"/>
          <w:color w:val="000000"/>
        </w:rPr>
        <w:t xml:space="preserve"> Notice shall be given by the Borrower no later than 12:00 Noon (New York City time) (i) in the case of LIBOR Loans, three Business Days prior to, (ii) in the case of ABR Loans (other than Swingline Loans), one Business Day prior to or (ii) in the case of Swingline Loans, on, the date of such prepayment and shall promptly be transmitted by the Administrative Agent to each of the Lenders or the Swingline Lender, as the case may be; (2) each partial prepayment of (i) any Borrowing of LIBOR 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multiples of $100,000 in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32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partial prepayment of LIBOR Loans made pursuant to a single Borrowing shall reduce the outstanding LIBOR Loans made pursuant to such Borrowing to an amount less than the applicable Minimum Borrowing Amount for such LIBOR Loans, and (3) in the case of any prepayment of LIBOR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applied to the Class or Classes of Term Loans as the Borrower may specify. Such notice may be given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promptly by delivery to the Administrative Agent of a written </w:t>
      </w:r>
      <w:r>
        <w:rPr>
          <w:rFonts w:ascii="Arial" w:cs="Arial" w:eastAsia="Arial" w:hAnsi="Arial"/>
          <w:sz w:val="16"/>
          <w:szCs w:val="16"/>
          <w:u w:val="single" w:color="auto"/>
          <w:color w:val="0000FF"/>
        </w:rPr>
        <w:t>Prepayment</w:t>
      </w:r>
      <w:r>
        <w:rPr>
          <w:rFonts w:ascii="Arial" w:cs="Arial" w:eastAsia="Arial" w:hAnsi="Arial"/>
          <w:sz w:val="16"/>
          <w:szCs w:val="16"/>
          <w:color w:val="auto"/>
        </w:rPr>
        <w:t xml:space="preserve"> Notice </w:t>
      </w:r>
      <w:r>
        <w:rPr>
          <w:rFonts w:ascii="Arial" w:cs="Arial" w:eastAsia="Arial" w:hAnsi="Arial"/>
          <w:sz w:val="16"/>
          <w:szCs w:val="16"/>
          <w:color w:val="FF0000"/>
        </w:rPr>
        <w:t>of</w:t>
      </w:r>
      <w:r>
        <w:rPr>
          <w:rFonts w:ascii="Arial" w:cs="Arial" w:eastAsia="Arial" w:hAnsi="Arial"/>
          <w:sz w:val="16"/>
          <w:szCs w:val="16"/>
          <w:color w:val="auto"/>
        </w:rPr>
        <w:t xml:space="preserve"> </w:t>
      </w:r>
      <w:r>
        <w:rPr>
          <w:rFonts w:ascii="Arial" w:cs="Arial" w:eastAsia="Arial" w:hAnsi="Arial"/>
          <w:sz w:val="16"/>
          <w:szCs w:val="16"/>
          <w:color w:val="FF0000"/>
          <w:strike w:val="1"/>
        </w:rPr>
        <w:t>prepayment</w:t>
      </w:r>
      <w:r>
        <w:rPr>
          <w:rFonts w:ascii="Arial" w:cs="Arial" w:eastAsia="Arial" w:hAnsi="Arial"/>
          <w:sz w:val="16"/>
          <w:szCs w:val="16"/>
          <w:color w:val="000000"/>
        </w:rPr>
        <w:t>. Each prepayment in respect of any Term Loans pursuant to this</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5.1</w:t>
      </w:r>
      <w:r>
        <w:rPr>
          <w:rFonts w:ascii="Arial" w:cs="Arial" w:eastAsia="Arial" w:hAnsi="Arial"/>
          <w:sz w:val="16"/>
          <w:szCs w:val="16"/>
          <w:color w:val="FF0000"/>
        </w:rPr>
        <w:t xml:space="preserve"> </w:t>
      </w:r>
      <w:r>
        <w:rPr>
          <w:rFonts w:ascii="Arial" w:cs="Arial" w:eastAsia="Arial" w:hAnsi="Arial"/>
          <w:sz w:val="16"/>
          <w:szCs w:val="16"/>
          <w:color w:val="000000"/>
        </w:rPr>
        <w:t>shall be (a) applied to the Class or Classes of Term Loans as the</w:t>
      </w:r>
      <w:r>
        <w:rPr>
          <w:rFonts w:ascii="Arial" w:cs="Arial" w:eastAsia="Arial" w:hAnsi="Arial"/>
          <w:sz w:val="16"/>
          <w:szCs w:val="16"/>
          <w:color w:val="FF0000"/>
        </w:rPr>
        <w:t xml:space="preserve"> </w:t>
      </w:r>
      <w:r>
        <w:rPr>
          <w:rFonts w:ascii="Arial" w:cs="Arial" w:eastAsia="Arial" w:hAnsi="Arial"/>
          <w:sz w:val="16"/>
          <w:szCs w:val="16"/>
          <w:color w:val="000000"/>
        </w:rPr>
        <w:t xml:space="preserve">Borrower may specify and (b) applied to reduce any Term A Loan Repayment Amounts, New Term Loan Repayment Amounts, and, subject to </w:t>
      </w:r>
      <w:r>
        <w:rPr>
          <w:rFonts w:ascii="Arial" w:cs="Arial" w:eastAsia="Arial" w:hAnsi="Arial"/>
          <w:sz w:val="16"/>
          <w:szCs w:val="16"/>
          <w:u w:val="single" w:color="auto"/>
          <w:color w:val="000000"/>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6769735</wp:posOffset>
            </wp:positionH>
            <wp:positionV relativeFrom="paragraph">
              <wp:posOffset>-338455</wp:posOffset>
            </wp:positionV>
            <wp:extent cx="123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8"/>
          <w:szCs w:val="18"/>
          <w:u w:val="single" w:color="auto"/>
          <w:color w:val="auto"/>
        </w:rPr>
        <w:t>2.14(g)</w:t>
      </w:r>
      <w:r>
        <w:rPr>
          <w:rFonts w:ascii="Arial" w:cs="Arial" w:eastAsia="Arial" w:hAnsi="Arial"/>
          <w:sz w:val="18"/>
          <w:szCs w:val="18"/>
          <w:color w:val="auto"/>
        </w:rPr>
        <w:t xml:space="preserve">, Extended Term Loan Repayment Amounts, as the case may be, in each case, in such order as the Borrower may specify. At the Borrower’s election in connection with any prepayment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 such prepayment shall not be applied to any Term Loan or Revolving Credit Loan of a Defaulting Lender.</w:t>
      </w:r>
    </w:p>
    <w:p>
      <w:pPr>
        <w:spacing w:after="0" w:line="19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left="1040" w:hanging="384"/>
        <w:spacing w:after="0"/>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 Loan Prepayments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15"/>
        <w:spacing w:after="0" w:line="285" w:lineRule="auto"/>
        <w:tabs>
          <w:tab w:leader="none" w:pos="125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On each occasion that a Prepayment Event occurs, the Borrower shall, within three Business Days after receipt of the Net Cash Proceeds of a Debt Incurrence Prepayment Event (other than one covered by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w:t>
      </w:r>
      <w:r>
        <w:rPr>
          <w:rFonts w:ascii="Arial" w:cs="Arial" w:eastAsia="Arial" w:hAnsi="Arial"/>
          <w:sz w:val="16"/>
          <w:szCs w:val="16"/>
          <w:color w:val="FF0000"/>
          <w:strike w:val="1"/>
        </w:rPr>
        <w:t>or Capital Markets Prepayment Event</w:t>
      </w:r>
      <w:r>
        <w:rPr>
          <w:rFonts w:ascii="Arial" w:cs="Arial" w:eastAsia="Arial" w:hAnsi="Arial"/>
          <w:sz w:val="16"/>
          <w:szCs w:val="16"/>
          <w:color w:val="auto"/>
        </w:rPr>
        <w:t xml:space="preserve"> and within ten Business Days after the occurrence of any other Prepayment Event (or, in the case of Deferred Net Cash Proceeds, within ten Business Days after the Deferred Net Cash Proceeds Payment Date), prepay,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Term Loans with an equivalent principal amount equal to 100% of the Net Cash Proceeds from such Prepayment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color w:val="FF0000"/>
          <w:strike w:val="1"/>
        </w:rPr>
        <w:t>(i)</w:t>
      </w:r>
      <w:r>
        <w:rPr>
          <w:rFonts w:ascii="Arial" w:cs="Arial" w:eastAsia="Arial" w:hAnsi="Arial"/>
          <w:sz w:val="16"/>
          <w:szCs w:val="16"/>
          <w:color w:val="auto"/>
        </w:rPr>
        <w:t xml:space="preserve"> with respect to the Net Cash Proceeds of an Asset Sale Prepayment Event, Casualty Event or Permitted Sale Leaseback, in each case solely to the extent with respect to any Collateral, the Borrower may use a portion of such Net Cash Proceeds to prepay or repurchase Permitted Other Indebtedness (and with such prepaid or repurchased Permitted Other Indebtedness permanently extinguished) with a Lien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 (x) the amount of such Net Cash Proceeds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(y) a fraction, the numerator of which is the outstanding principal amount of the Permitted Other Indebtedness with a Lien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 </w:t>
      </w:r>
      <w:r>
        <w:rPr>
          <w:rFonts w:ascii="Arial" w:cs="Arial" w:eastAsia="Arial" w:hAnsi="Arial"/>
          <w:sz w:val="16"/>
          <w:szCs w:val="16"/>
          <w:color w:val="FF0000"/>
        </w:rPr>
        <w:t>and (ii) with respect to</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Net Cash Proceeds from Capital Market Prepayment Events, the Borrower shall only be required to prepay Term Loans with (x) the first $75,000,000 of Net Cash Proceeds from Capital Markets Prepayment Events, (y) except </w:t>
      </w:r>
      <w:r>
        <w:rPr>
          <w:rFonts w:ascii="Arial" w:cs="Arial" w:eastAsia="Arial" w:hAnsi="Arial"/>
          <w:sz w:val="16"/>
          <w:szCs w:val="16"/>
          <w:color w:val="008000"/>
          <w:strike w:val="1"/>
        </w:rPr>
        <w:t>in the case of any</w:t>
      </w:r>
      <w:r>
        <w:rPr>
          <w:rFonts w:ascii="Arial" w:cs="Arial" w:eastAsia="Arial" w:hAnsi="Arial"/>
          <w:sz w:val="16"/>
          <w:szCs w:val="16"/>
          <w:color w:val="FF0000"/>
          <w:strike w:val="1"/>
        </w:rPr>
        <w:t xml:space="preserve"> issuance and sale of common stock of any Parent Entity within 90 days after the Amendment No. 1 Effective Date, 50% of the amount of Net Cash Proceeds from all Capital Markets Prepayment Events that are in excess of $400,000,000 of Net Cash Proceeds and (z) prior to the expiration of the Additional Restrictions Period.</w:t>
      </w:r>
      <w:r>
        <w:rPr>
          <w:rFonts w:ascii="Arial" w:cs="Arial" w:eastAsia="Arial" w:hAnsi="Arial"/>
          <w:sz w:val="16"/>
          <w:szCs w:val="16"/>
          <w:u w:val="single" w:color="auto"/>
          <w:color w:val="0000FF"/>
          <w:strike w:val="1"/>
        </w:rPr>
        <w:t>.</w:t>
      </w:r>
    </w:p>
    <w:p>
      <w:pPr>
        <w:spacing w:after="0" w:line="173" w:lineRule="exact"/>
        <w:rPr>
          <w:rFonts w:ascii="Arial" w:cs="Arial" w:eastAsia="Arial" w:hAnsi="Arial"/>
          <w:sz w:val="16"/>
          <w:szCs w:val="16"/>
          <w:color w:val="auto"/>
        </w:rPr>
      </w:pPr>
    </w:p>
    <w:p>
      <w:pPr>
        <w:ind w:left="1320" w:hanging="405"/>
        <w:spacing w:after="0"/>
        <w:tabs>
          <w:tab w:leader="none" w:pos="1320" w:val="left"/>
        </w:tabs>
        <w:numPr>
          <w:ilvl w:val="1"/>
          <w:numId w:val="110"/>
        </w:numPr>
        <w:rPr>
          <w:rFonts w:ascii="Arial" w:cs="Arial" w:eastAsia="Arial" w:hAnsi="Arial"/>
          <w:sz w:val="16"/>
          <w:szCs w:val="16"/>
          <w:color w:val="auto"/>
        </w:rPr>
      </w:pPr>
      <w:r>
        <w:rPr>
          <w:rFonts w:ascii="Arial" w:cs="Arial" w:eastAsia="Arial" w:hAnsi="Arial"/>
          <w:sz w:val="16"/>
          <w:szCs w:val="16"/>
          <w:color w:val="FF0000"/>
          <w:strike w:val="1"/>
        </w:rPr>
        <w:t>[Reserved.]</w:t>
      </w:r>
      <w:r>
        <w:rPr>
          <w:rFonts w:ascii="Arial" w:cs="Arial" w:eastAsia="Arial" w:hAnsi="Arial"/>
          <w:sz w:val="16"/>
          <w:szCs w:val="16"/>
          <w:u w:val="single" w:color="auto"/>
          <w:color w:val="0000FF"/>
          <w:strike w:val="1"/>
        </w:rPr>
        <w:t>The Borrower shall prepay all Term A Loans that are not Continuing Term A Loans on the Amendment No. 2 Effective Date.</w:t>
      </w:r>
    </w:p>
    <w:p>
      <w:pPr>
        <w:spacing w:after="0" w:line="248" w:lineRule="exact"/>
        <w:rPr>
          <w:rFonts w:ascii="Arial" w:cs="Arial" w:eastAsia="Arial" w:hAnsi="Arial"/>
          <w:sz w:val="16"/>
          <w:szCs w:val="16"/>
          <w:color w:val="auto"/>
        </w:rPr>
      </w:pPr>
    </w:p>
    <w:p>
      <w:pPr>
        <w:jc w:val="both"/>
        <w:ind w:right="200" w:firstLine="915"/>
        <w:spacing w:after="0" w:line="286" w:lineRule="auto"/>
        <w:tabs>
          <w:tab w:leader="none" w:pos="135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On each occasion that Permitted Other Indebtedness is issued or incurred pursuant to </w:t>
      </w:r>
      <w:r>
        <w:rPr>
          <w:rFonts w:ascii="Arial" w:cs="Arial" w:eastAsia="Arial" w:hAnsi="Arial"/>
          <w:sz w:val="17"/>
          <w:szCs w:val="17"/>
          <w:u w:val="single" w:color="auto"/>
          <w:color w:val="auto"/>
        </w:rPr>
        <w:t>Section 10.1(w)</w:t>
      </w:r>
      <w:r>
        <w:rPr>
          <w:rFonts w:ascii="Arial" w:cs="Arial" w:eastAsia="Arial" w:hAnsi="Arial"/>
          <w:sz w:val="17"/>
          <w:szCs w:val="17"/>
          <w:color w:val="auto"/>
        </w:rPr>
        <w:t xml:space="preserve">, the Borrower shall within three Business Days of receipt of the Net Cash Proceeds of such Permitted Other Indebtedness prepay, in accordance with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Term Loans with a principal amount equal to 100% of the Net Cash Proceeds from such issuance or incurrence of Permitted Other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6032500</wp:posOffset>
            </wp:positionH>
            <wp:positionV relativeFrom="paragraph">
              <wp:posOffset>-1462405</wp:posOffset>
            </wp:positionV>
            <wp:extent cx="1062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322" w:lineRule="exact"/>
        <w:rPr>
          <w:sz w:val="20"/>
          <w:szCs w:val="20"/>
          <w:color w:val="auto"/>
        </w:rPr>
      </w:pPr>
    </w:p>
    <w:p>
      <w:pPr>
        <w:ind w:firstLine="915"/>
        <w:spacing w:after="0" w:line="285" w:lineRule="auto"/>
        <w:tabs>
          <w:tab w:leader="none" w:pos="13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 to the extent that any or all of the Net Cash Proceeds of any Prepayment Event by a Foreign Subsidiary giving rise to a prepayment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 “</w:t>
      </w:r>
      <w:r>
        <w:rPr>
          <w:rFonts w:ascii="Arial" w:cs="Arial" w:eastAsia="Arial" w:hAnsi="Arial"/>
          <w:sz w:val="16"/>
          <w:szCs w:val="16"/>
          <w:b w:val="1"/>
          <w:bCs w:val="1"/>
          <w:color w:val="auto"/>
        </w:rPr>
        <w:t>Foreign Prepayment Event</w:t>
      </w:r>
      <w:r>
        <w:rPr>
          <w:rFonts w:ascii="Arial" w:cs="Arial" w:eastAsia="Arial" w:hAnsi="Arial"/>
          <w:sz w:val="16"/>
          <w:szCs w:val="16"/>
          <w:color w:val="auto"/>
        </w:rPr>
        <w:t xml:space="preserve">”) are prohibited or delayed by any Requirement of Law from being repatriated to the Credit Parties, an amount equal to the portion of such Net Cash Proceeds so affected will not be required to be applied to repay Loans at the times provided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the case may be, but only so long, as the applicable Requirement of Law will not permit repatriation to the Credit Parties (the Credit Parties hereby agreeing to cause the applicable Foreign Subsidiary to promptly take all actions reasonably required by the applicable Requirement of Law to permit repatriation), and once a repatriation of any of such affected Net Cash Proceeds is permitted under the applicable Requirement of Law, an amount equal to such Net Cash Proceeds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applicable, and (B) to the extent that the Borrower has determined in good faith that repatriation of any of or all the Net Cash Proceeds of any Foreign Prepayment Event would have a material adverse tax consequence with respect to such Net Cash Proceeds, an amount equal to the Net Cash Proceeds so affected may be retained by the applicable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 or before the date on which any Net Cash Proceeds from any Foreign Prepayment Event so retained would otherwise have been required to be applied to reinvestments or prepayments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(x) the Borrower shall apply an amount equal to such Net Cash Proceeds to such reinvestments or prepayments as if such Net Cash Proceeds had been received by the Credit Parties rather than such Foreign Subsidiary, less the amount of any taxes that would have been payable or reserved against if such Net Cash Proceeds had been repatriated (or, if less, the Net Cash Proceeds that would be calculated if received by such Foreign Subsidiary) or (y) such Net Cash Proceeds shall be applied to the repayment of Indebtedness of a Foreign Subsidiary. For the avoidance of doubt, nothing in this Agreement, including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construed to require any Foreign Subsidiary to repatriate cash.</w:t>
      </w:r>
    </w:p>
    <w:p>
      <w:pPr>
        <w:spacing w:after="0" w:line="171" w:lineRule="exact"/>
        <w:rPr>
          <w:rFonts w:ascii="Arial" w:cs="Arial" w:eastAsia="Arial" w:hAnsi="Arial"/>
          <w:sz w:val="16"/>
          <w:szCs w:val="16"/>
          <w:color w:val="auto"/>
        </w:rPr>
      </w:pPr>
    </w:p>
    <w:p>
      <w:pPr>
        <w:ind w:firstLine="656"/>
        <w:spacing w:after="0" w:line="253" w:lineRule="auto"/>
        <w:tabs>
          <w:tab w:leader="none" w:pos="103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Repayment of Revolving Credit Loans</w:t>
      </w:r>
      <w:r>
        <w:rPr>
          <w:rFonts w:ascii="Arial" w:cs="Arial" w:eastAsia="Arial" w:hAnsi="Arial"/>
          <w:sz w:val="18"/>
          <w:szCs w:val="18"/>
          <w:color w:val="auto"/>
        </w:rPr>
        <w:t xml:space="preserve">. If on any date the aggregate amount of the Lenders’ Revolving Credit Exposures in respect of any Class of Revolving Loans for any reason exceeds 100% of the Revolving Credit Commitment of such Class then in effect,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Letters of Credit Outstanding in relation to such Class to the extent of such excess. </w:t>
      </w:r>
      <w:r>
        <w:rPr>
          <w:rFonts w:ascii="Arial" w:cs="Arial" w:eastAsia="Arial" w:hAnsi="Arial"/>
          <w:sz w:val="18"/>
          <w:szCs w:val="18"/>
          <w:color w:val="FF0000"/>
          <w:strike w:val="1"/>
        </w:rPr>
        <w:t>Additionally, if for three consecutive</w:t>
      </w:r>
      <w:r>
        <w:rPr>
          <w:rFonts w:ascii="Arial" w:cs="Arial" w:eastAsia="Arial" w:hAnsi="Arial"/>
          <w:sz w:val="18"/>
          <w:szCs w:val="18"/>
          <w:color w:val="auto"/>
        </w:rPr>
        <w:t xml:space="preserve"> </w:t>
      </w:r>
      <w:r>
        <w:rPr>
          <w:rFonts w:ascii="Arial" w:cs="Arial" w:eastAsia="Arial" w:hAnsi="Arial"/>
          <w:sz w:val="18"/>
          <w:szCs w:val="18"/>
          <w:color w:val="FF0000"/>
          <w:strike w:val="1"/>
        </w:rPr>
        <w:t>Business Days, the unrestricted cash and cash equivalents of Holdings and its Restricted Subsidiaries exceed $50,000,000 and any Revolving Loans or Swingline Loans are then outstanding, the Borrower will, within three Business Days thereafter, prepay an amount of Revolving Loans or Swingline Loans equal to the lesser of (i) such excess amount of unrestricted cash and cash equivalents in excess of $50,000,000 and (ii) all then outstanding Revolving Loans and Swingline Loans.</w:t>
      </w:r>
    </w:p>
    <w:p>
      <w:pPr>
        <w:spacing w:after="0" w:line="196" w:lineRule="exact"/>
        <w:rPr>
          <w:rFonts w:ascii="Arial" w:cs="Arial" w:eastAsia="Arial" w:hAnsi="Arial"/>
          <w:sz w:val="18"/>
          <w:szCs w:val="18"/>
          <w:color w:val="auto"/>
        </w:rPr>
      </w:pPr>
    </w:p>
    <w:p>
      <w:pPr>
        <w:ind w:right="60" w:firstLine="656"/>
        <w:spacing w:after="0" w:line="284" w:lineRule="auto"/>
        <w:tabs>
          <w:tab w:leader="none" w:pos="102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Application to Repayment Amounts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each prepayment of Term Loans required by </w:t>
      </w:r>
      <w:r>
        <w:rPr>
          <w:rFonts w:ascii="Arial" w:cs="Arial" w:eastAsia="Arial" w:hAnsi="Arial"/>
          <w:sz w:val="16"/>
          <w:szCs w:val="16"/>
          <w:u w:val="single" w:color="auto"/>
          <w:color w:val="auto"/>
        </w:rPr>
        <w:t>Section 5.2(a)(i)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shall be allocated pro rata among the Term A Loans, New Term Loans and Extended Term Loans based on the applicable remaining Repayment Amounts due thereunder and shall be applied within each Class of Term Loans in respect of such Term Loans in direct order of maturity thereof or as otherwise directed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Class of Extended Term Loans have been established hereunder, the Borrower may allocate such prepayment in its sole discretion to the Term Loans of the Existing Term Loan Class, if any, from which such Extended Term Loans were converted (except, as to Term Loans made pursuant to a Joinder Agreement, as otherwise set forth in such Joinder Agreement, or as to a Replacement Term Loan). Subject to </w:t>
      </w:r>
      <w:r>
        <w:rPr>
          <w:rFonts w:ascii="Arial" w:cs="Arial" w:eastAsia="Arial" w:hAnsi="Arial"/>
          <w:sz w:val="16"/>
          <w:szCs w:val="16"/>
          <w:u w:val="single" w:color="auto"/>
          <w:color w:val="auto"/>
        </w:rPr>
        <w:t>Section</w:t>
      </w:r>
    </w:p>
    <w:p>
      <w:pPr>
        <w:spacing w:after="0" w:line="4"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5.2(f)</w:t>
      </w:r>
      <w:r>
        <w:rPr>
          <w:rFonts w:ascii="Arial" w:cs="Arial" w:eastAsia="Arial" w:hAnsi="Arial"/>
          <w:sz w:val="18"/>
          <w:szCs w:val="18"/>
          <w:color w:val="auto"/>
        </w:rPr>
        <w:t xml:space="preserve">, with respect to each such prepayment, the Borrower will, not later than the date specified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for making such prepayment, give the Administrative Agent written notice which shall include a calculation of the amount of such prepayment to be applied to each Class of Term Loans requesting that the Administrative Agent provide notice of such prepayment to each Term A Lender, New Term Loan Lender, or Lender of Extended Term Loans,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1440" w:right="399" w:bottom="1440" w:gutter="0" w:footer="0" w:header="0"/>
        </w:sectPr>
      </w:pPr>
    </w:p>
    <w:bookmarkStart w:id="129" w:name="page130"/>
    <w:bookmarkEnd w:id="129"/>
    <w:p>
      <w:pPr>
        <w:spacing w:after="0" w:line="200" w:lineRule="exact"/>
        <w:rPr>
          <w:sz w:val="20"/>
          <w:szCs w:val="20"/>
          <w:color w:val="auto"/>
        </w:rPr>
      </w:pPr>
    </w:p>
    <w:p>
      <w:pPr>
        <w:spacing w:after="0" w:line="322" w:lineRule="exact"/>
        <w:rPr>
          <w:sz w:val="20"/>
          <w:szCs w:val="20"/>
          <w:color w:val="auto"/>
        </w:rPr>
      </w:pPr>
    </w:p>
    <w:p>
      <w:pPr>
        <w:ind w:left="-20" w:right="20" w:firstLine="656"/>
        <w:spacing w:after="0" w:line="293" w:lineRule="auto"/>
        <w:tabs>
          <w:tab w:leader="none" w:pos="1018"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Application to Term Loans</w:t>
      </w:r>
      <w:r>
        <w:rPr>
          <w:rFonts w:ascii="Arial" w:cs="Arial" w:eastAsia="Arial" w:hAnsi="Arial"/>
          <w:sz w:val="16"/>
          <w:szCs w:val="16"/>
          <w:color w:val="auto"/>
        </w:rPr>
        <w:t xml:space="preserve">. With respect to each prepayment of Term Loans required by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the Borrower may, if applicable, designate the Types of Loans that are to be prepaid and the specific Borrowing(s) pursuant to which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Lender has provided a Rejection Notice in compliance with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20" w:right="80" w:firstLine="656"/>
        <w:spacing w:after="0" w:line="293" w:lineRule="auto"/>
        <w:tabs>
          <w:tab w:leader="none" w:pos="1007"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Credit Loans</w:t>
      </w:r>
      <w:r>
        <w:rPr>
          <w:rFonts w:ascii="Arial" w:cs="Arial" w:eastAsia="Arial" w:hAnsi="Arial"/>
          <w:sz w:val="16"/>
          <w:szCs w:val="16"/>
          <w:color w:val="auto"/>
        </w:rPr>
        <w:t xml:space="preserve">. With respect to each prepayment of Revolving Credit Loans, the Borrower may designate (i) the Types of Loans that are to be prepaid and the specific Borrowing(s) pursuant to which made and (ii) the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each prepayment of any Loans made pursuant to a Borrowing shall be applied pro rata among such Loans; and (z) notwithstanding the provisions of the preceding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20" w:right="40" w:firstLine="656"/>
        <w:spacing w:after="0" w:line="288" w:lineRule="auto"/>
        <w:tabs>
          <w:tab w:leader="none" w:pos="988"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Rejection Right</w:t>
      </w:r>
      <w:r>
        <w:rPr>
          <w:rFonts w:ascii="Arial" w:cs="Arial" w:eastAsia="Arial" w:hAnsi="Arial"/>
          <w:sz w:val="16"/>
          <w:szCs w:val="16"/>
          <w:color w:val="auto"/>
        </w:rPr>
        <w:t xml:space="preserve">. Holdings or the Borrower shall notify the Administrative Agent in writing of any mandatory prepayment of Term Loans required to be made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 share of any mandatory prepayment other than any such mandatory prepayment with respect to a Debt Incurrence Prepayment Event under </w:t>
      </w:r>
      <w:r>
        <w:rPr>
          <w:rFonts w:ascii="Arial" w:cs="Arial" w:eastAsia="Arial" w:hAnsi="Arial"/>
          <w:sz w:val="16"/>
          <w:szCs w:val="16"/>
          <w:u w:val="single" w:color="auto"/>
          <w:color w:val="auto"/>
        </w:rPr>
        <w:t>Section 5.2(a)(i)</w:t>
      </w:r>
      <w:r>
        <w:rPr>
          <w:rFonts w:ascii="Arial" w:cs="Arial" w:eastAsia="Arial" w:hAnsi="Arial"/>
          <w:sz w:val="16"/>
          <w:szCs w:val="16"/>
          <w:color w:val="auto"/>
        </w:rPr>
        <w:t xml:space="preserve"> or Permitted Other Indebtedness under </w:t>
      </w:r>
      <w:r>
        <w:rPr>
          <w:rFonts w:ascii="Arial" w:cs="Arial" w:eastAsia="Arial" w:hAnsi="Arial"/>
          <w:sz w:val="16"/>
          <w:szCs w:val="16"/>
          <w:u w:val="single" w:color="auto"/>
          <w:color w:val="auto"/>
        </w:rPr>
        <w:t>Section 5.2(a)(iii)</w:t>
      </w:r>
      <w:r>
        <w:rPr>
          <w:rFonts w:ascii="Arial" w:cs="Arial" w:eastAsia="Arial" w:hAnsi="Arial"/>
          <w:sz w:val="16"/>
          <w:szCs w:val="16"/>
          <w:color w:val="auto"/>
        </w:rPr>
        <w:t xml:space="preserve"> (such declined amounts, the “</w:t>
      </w:r>
      <w:r>
        <w:rPr>
          <w:rFonts w:ascii="Arial" w:cs="Arial" w:eastAsia="Arial" w:hAnsi="Arial"/>
          <w:sz w:val="16"/>
          <w:szCs w:val="16"/>
          <w:b w:val="1"/>
          <w:bCs w:val="1"/>
          <w:color w:val="auto"/>
        </w:rPr>
        <w:t>Declined</w:t>
      </w:r>
      <w:r>
        <w:rPr>
          <w:rFonts w:ascii="Arial" w:cs="Arial" w:eastAsia="Arial" w:hAnsi="Arial"/>
          <w:sz w:val="16"/>
          <w:szCs w:val="16"/>
          <w:color w:val="auto"/>
        </w:rPr>
        <w:t xml:space="preserve"> </w:t>
      </w:r>
      <w:r>
        <w:rPr>
          <w:rFonts w:ascii="Arial" w:cs="Arial" w:eastAsia="Arial" w:hAnsi="Arial"/>
          <w:sz w:val="16"/>
          <w:szCs w:val="16"/>
          <w:b w:val="1"/>
          <w:bCs w:val="1"/>
          <w:color w:val="auto"/>
        </w:rPr>
        <w:t>Proceeds</w:t>
      </w:r>
      <w:r>
        <w:rPr>
          <w:rFonts w:ascii="Arial" w:cs="Arial" w:eastAsia="Arial" w:hAnsi="Arial"/>
          <w:sz w:val="16"/>
          <w:szCs w:val="16"/>
          <w:color w:val="auto"/>
        </w:rPr>
        <w:t>”) of Term Loans required to be made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5.2(a)</w:t>
      </w:r>
      <w:r>
        <w:rPr>
          <w:rFonts w:ascii="Arial" w:cs="Arial" w:eastAsia="Arial" w:hAnsi="Arial"/>
          <w:sz w:val="16"/>
          <w:szCs w:val="16"/>
          <w:b w:val="1"/>
          <w:bCs w:val="1"/>
          <w:color w:val="auto"/>
        </w:rPr>
        <w:t xml:space="preserve"> </w:t>
      </w:r>
      <w:r>
        <w:rPr>
          <w:rFonts w:ascii="Arial" w:cs="Arial" w:eastAsia="Arial" w:hAnsi="Arial"/>
          <w:sz w:val="16"/>
          <w:szCs w:val="16"/>
          <w:color w:val="auto"/>
        </w:rPr>
        <w:t>by providing written notice (each, a “</w:t>
      </w:r>
      <w:r>
        <w:rPr>
          <w:rFonts w:ascii="Arial" w:cs="Arial" w:eastAsia="Arial" w:hAnsi="Arial"/>
          <w:sz w:val="16"/>
          <w:szCs w:val="16"/>
          <w:b w:val="1"/>
          <w:bCs w:val="1"/>
          <w:color w:val="auto"/>
        </w:rPr>
        <w:t>Rejection Notice</w:t>
      </w:r>
      <w:r>
        <w:rPr>
          <w:rFonts w:ascii="Arial" w:cs="Arial" w:eastAsia="Arial" w:hAnsi="Arial"/>
          <w:sz w:val="16"/>
          <w:szCs w:val="16"/>
          <w:color w:val="auto"/>
        </w:rPr>
        <w:t>”) to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w:t>
      </w:r>
    </w:p>
    <w:p>
      <w:pPr>
        <w:spacing w:after="0" w:line="168"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69" w:lineRule="auto"/>
        <w:tabs>
          <w:tab w:leader="none" w:pos="100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shall be made in the currency in which such Loans are denominated and all other payments under each Credit Document shall, unless otherwise specified in such Credit Document, be made in Dollars. The Administrative Agent will thereafter cause to be distributed on the same day (if payment was actually received by the Administrative Agent prior to 2:00 p.m. (New York City time) or, otherwise, on the next Business Day in the Administrative Agent’s sole discretion) like funds relating to the payment of principal or interest or Fees ratably to the Lenders entitled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40" w:top="1440" w:right="339" w:bottom="1440" w:gutter="0" w:footer="0" w:header="0"/>
        </w:sectPr>
      </w:pPr>
    </w:p>
    <w:bookmarkStart w:id="130" w:name="page131"/>
    <w:bookmarkEnd w:id="130"/>
    <w:p>
      <w:pPr>
        <w:spacing w:after="0" w:line="200" w:lineRule="exact"/>
        <w:rPr>
          <w:sz w:val="20"/>
          <w:szCs w:val="20"/>
          <w:color w:val="auto"/>
        </w:rPr>
      </w:pPr>
    </w:p>
    <w:p>
      <w:pPr>
        <w:spacing w:after="0" w:line="322" w:lineRule="exact"/>
        <w:rPr>
          <w:sz w:val="20"/>
          <w:szCs w:val="20"/>
          <w:color w:val="auto"/>
        </w:rPr>
      </w:pPr>
    </w:p>
    <w:p>
      <w:pPr>
        <w:ind w:left="-20" w:right="40" w:firstLine="656"/>
        <w:spacing w:after="0" w:line="275" w:lineRule="auto"/>
        <w:tabs>
          <w:tab w:leader="none" w:pos="100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payments under this Agreement that are made later than 2:00 p.m. (New York City time) may be deemed to have been made on the next succeeding Business Day in the Administrative Agent’s sole discretion for purposes of calculating interest thereon (or, in the case of the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76"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Net Payments</w:t>
      </w:r>
      <w:r>
        <w:rPr>
          <w:rFonts w:ascii="Arial" w:cs="Arial" w:eastAsia="Arial" w:hAnsi="Arial"/>
          <w:sz w:val="16"/>
          <w:szCs w:val="16"/>
          <w:color w:val="auto"/>
        </w:rPr>
        <w:t>.</w:t>
      </w:r>
    </w:p>
    <w:p>
      <w:pPr>
        <w:spacing w:after="0" w:line="225" w:lineRule="exact"/>
        <w:rPr>
          <w:sz w:val="20"/>
          <w:szCs w:val="20"/>
          <w:color w:val="auto"/>
        </w:rPr>
      </w:pPr>
    </w:p>
    <w:p>
      <w:pPr>
        <w:ind w:left="1020" w:hanging="384"/>
        <w:spacing w:after="0"/>
        <w:tabs>
          <w:tab w:leader="none" w:pos="10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20" w:firstLine="915"/>
        <w:spacing w:after="0" w:line="277" w:lineRule="auto"/>
        <w:tabs>
          <w:tab w:leader="none" w:pos="122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170" w:lineRule="exact"/>
        <w:rPr>
          <w:rFonts w:ascii="Arial" w:cs="Arial" w:eastAsia="Arial" w:hAnsi="Arial"/>
          <w:sz w:val="18"/>
          <w:szCs w:val="18"/>
          <w:color w:val="auto"/>
        </w:rPr>
      </w:pPr>
    </w:p>
    <w:p>
      <w:pPr>
        <w:ind w:left="-20" w:right="80" w:firstLine="915"/>
        <w:spacing w:after="0" w:line="291" w:lineRule="auto"/>
        <w:tabs>
          <w:tab w:leader="none" w:pos="128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If any Credit Party, the Administrative Agent or any other applicable Withholding Agent shall be required by applicable law to withhold or deduct any Taxes from any payment,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166" w:lineRule="exact"/>
        <w:rPr>
          <w:rFonts w:ascii="Arial" w:cs="Arial" w:eastAsia="Arial" w:hAnsi="Arial"/>
          <w:sz w:val="16"/>
          <w:szCs w:val="16"/>
          <w:color w:val="auto"/>
        </w:rPr>
      </w:pPr>
    </w:p>
    <w:p>
      <w:pPr>
        <w:ind w:left="-20" w:right="160" w:firstLine="656"/>
        <w:spacing w:after="0" w:line="263" w:lineRule="auto"/>
        <w:tabs>
          <w:tab w:leader="none" w:pos="101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spacing w:after="0" w:line="183" w:lineRule="exact"/>
        <w:rPr>
          <w:rFonts w:ascii="Arial" w:cs="Arial" w:eastAsia="Arial" w:hAnsi="Arial"/>
          <w:sz w:val="18"/>
          <w:szCs w:val="18"/>
          <w:color w:val="auto"/>
        </w:rPr>
      </w:pPr>
    </w:p>
    <w:p>
      <w:pPr>
        <w:ind w:left="-20" w:right="20" w:firstLine="656"/>
        <w:spacing w:after="0" w:line="269" w:lineRule="auto"/>
        <w:tabs>
          <w:tab w:leader="none" w:pos="1007"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Tax Indemnifications</w:t>
      </w:r>
      <w:r>
        <w:rPr>
          <w:rFonts w:ascii="Arial" w:cs="Arial" w:eastAsia="Arial" w:hAnsi="Arial"/>
          <w:sz w:val="17"/>
          <w:szCs w:val="17"/>
          <w:color w:val="auto"/>
        </w:rPr>
        <w:t xml:space="preserve">. Without limiting the provisions of subsection (a) or (b) above, the Borrower shall indemnify the Administrative Agent and each Lender, and shall make payment in respect thereof within 15 days after demand therefor, for the full amount of Indemnified Taxes or Other Taxes (including Indemnified Taxes or Other Taxes imposed or asserted on or attributable to amounts payable under this </w:t>
      </w:r>
      <w:r>
        <w:rPr>
          <w:rFonts w:ascii="Arial" w:cs="Arial" w:eastAsia="Arial" w:hAnsi="Arial"/>
          <w:sz w:val="17"/>
          <w:szCs w:val="17"/>
          <w:u w:val="single" w:color="auto"/>
          <w:color w:val="auto"/>
        </w:rPr>
        <w:t>Section 5.4</w:t>
      </w:r>
      <w:r>
        <w:rPr>
          <w:rFonts w:ascii="Arial" w:cs="Arial" w:eastAsia="Arial" w:hAnsi="Arial"/>
          <w:sz w:val="17"/>
          <w:szCs w:val="17"/>
          <w:color w:val="auto"/>
        </w:rPr>
        <w:t>) payable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w:t>
      </w:r>
    </w:p>
    <w:p>
      <w:pPr>
        <w:spacing w:after="0" w:line="181" w:lineRule="exact"/>
        <w:rPr>
          <w:rFonts w:ascii="Arial" w:cs="Arial" w:eastAsia="Arial" w:hAnsi="Arial"/>
          <w:sz w:val="17"/>
          <w:szCs w:val="17"/>
          <w:color w:val="auto"/>
        </w:rPr>
      </w:pPr>
    </w:p>
    <w:p>
      <w:pPr>
        <w:ind w:left="-20" w:firstLine="656"/>
        <w:spacing w:after="0" w:line="301" w:lineRule="auto"/>
        <w:tabs>
          <w:tab w:leader="none" w:pos="1018"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After any payment of Taxes by any Credit Party or the Administrative Agent to a Governmental Authority as provided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40" w:top="1440" w:right="339" w:bottom="1440" w:gutter="0" w:footer="0" w:header="0"/>
        </w:sectPr>
      </w:pPr>
    </w:p>
    <w:bookmarkStart w:id="131" w:name="page132"/>
    <w:bookmarkEnd w:id="131"/>
    <w:p>
      <w:pPr>
        <w:spacing w:after="0" w:line="200" w:lineRule="exact"/>
        <w:rPr>
          <w:sz w:val="20"/>
          <w:szCs w:val="20"/>
          <w:color w:val="auto"/>
        </w:rPr>
      </w:pPr>
    </w:p>
    <w:p>
      <w:pPr>
        <w:spacing w:after="0" w:line="322" w:lineRule="exact"/>
        <w:rPr>
          <w:sz w:val="20"/>
          <w:szCs w:val="20"/>
          <w:color w:val="auto"/>
        </w:rPr>
      </w:pPr>
    </w:p>
    <w:p>
      <w:pPr>
        <w:ind w:left="1020" w:hanging="384"/>
        <w:spacing w:after="0"/>
        <w:tabs>
          <w:tab w:leader="none" w:pos="10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Status of Lenders and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915"/>
        <w:spacing w:after="0" w:line="268" w:lineRule="auto"/>
        <w:tabs>
          <w:tab w:leader="none" w:pos="123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Any documentation and information required to be delivered by a Lender pursuant to this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w:t>
      </w:r>
    </w:p>
    <w:p>
      <w:pPr>
        <w:spacing w:after="0" w:line="186" w:lineRule="exact"/>
        <w:rPr>
          <w:rFonts w:ascii="Arial" w:cs="Arial" w:eastAsia="Arial" w:hAnsi="Arial"/>
          <w:sz w:val="17"/>
          <w:szCs w:val="17"/>
          <w:color w:val="auto"/>
        </w:rPr>
      </w:pPr>
    </w:p>
    <w:p>
      <w:pPr>
        <w:ind w:left="1300" w:hanging="405"/>
        <w:spacing w:after="0"/>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1" w:lineRule="exact"/>
        <w:rPr>
          <w:rFonts w:ascii="Arial" w:cs="Arial" w:eastAsia="Arial" w:hAnsi="Arial"/>
          <w:sz w:val="18"/>
          <w:szCs w:val="18"/>
          <w:color w:val="auto"/>
        </w:rPr>
      </w:pPr>
    </w:p>
    <w:p>
      <w:pPr>
        <w:ind w:left="640" w:right="20" w:firstLine="644"/>
        <w:spacing w:after="0" w:line="258" w:lineRule="auto"/>
        <w:tabs>
          <w:tab w:leader="none" w:pos="1718"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(a “</w:t>
      </w:r>
      <w:r>
        <w:rPr>
          <w:rFonts w:ascii="Arial" w:cs="Arial" w:eastAsia="Arial" w:hAnsi="Arial"/>
          <w:sz w:val="18"/>
          <w:szCs w:val="18"/>
          <w:b w:val="1"/>
          <w:bCs w:val="1"/>
          <w:color w:val="auto"/>
        </w:rPr>
        <w:t>U.S. Lender</w:t>
      </w:r>
      <w:r>
        <w:rPr>
          <w:rFonts w:ascii="Arial" w:cs="Arial" w:eastAsia="Arial" w:hAnsi="Arial"/>
          <w:sz w:val="18"/>
          <w:szCs w:val="18"/>
          <w:color w:val="auto"/>
        </w:rPr>
        <w:t>”) shall deliver to the Borrower and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187" w:lineRule="exact"/>
        <w:rPr>
          <w:rFonts w:ascii="Arial" w:cs="Arial" w:eastAsia="Arial" w:hAnsi="Arial"/>
          <w:sz w:val="18"/>
          <w:szCs w:val="18"/>
          <w:color w:val="auto"/>
        </w:rPr>
      </w:pPr>
    </w:p>
    <w:p>
      <w:pPr>
        <w:ind w:left="640" w:right="80" w:firstLine="644"/>
        <w:spacing w:after="0" w:line="286" w:lineRule="auto"/>
        <w:tabs>
          <w:tab w:leader="none" w:pos="1708" w:val="left"/>
        </w:tabs>
        <w:numPr>
          <w:ilvl w:val="2"/>
          <w:numId w:val="117"/>
        </w:numPr>
        <w:rPr>
          <w:rFonts w:ascii="Arial" w:cs="Arial" w:eastAsia="Arial" w:hAnsi="Arial"/>
          <w:sz w:val="17"/>
          <w:szCs w:val="17"/>
          <w:color w:val="auto"/>
        </w:rPr>
      </w:pPr>
      <w:r>
        <w:rPr>
          <w:rFonts w:ascii="Arial" w:cs="Arial" w:eastAsia="Arial" w:hAnsi="Arial"/>
          <w:sz w:val="17"/>
          <w:szCs w:val="17"/>
          <w:color w:val="auto"/>
        </w:rPr>
        <w:t>each Non-U.S. Lender that is entitled under the Code or any applicable treaty to an exemption from or reduction of U.S. federal withholding tax with respect to any payments hereunder or under any other Credit Document shall deliver to the Borrower and the Administrative Agent (in such number of copies as shall be requested by the recipient) whichever of the following is applicable:</w:t>
      </w:r>
    </w:p>
    <w:p>
      <w:pPr>
        <w:spacing w:after="0" w:line="165" w:lineRule="exact"/>
        <w:rPr>
          <w:rFonts w:ascii="Arial" w:cs="Arial" w:eastAsia="Arial" w:hAnsi="Arial"/>
          <w:sz w:val="17"/>
          <w:szCs w:val="17"/>
          <w:color w:val="auto"/>
        </w:rPr>
      </w:pPr>
    </w:p>
    <w:p>
      <w:pPr>
        <w:ind w:left="1280" w:right="540" w:firstLine="652"/>
        <w:spacing w:after="0" w:line="277" w:lineRule="auto"/>
        <w:tabs>
          <w:tab w:leader="none" w:pos="2318" w:val="left"/>
        </w:tabs>
        <w:numPr>
          <w:ilvl w:val="3"/>
          <w:numId w:val="117"/>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W-8BEN or W-8BEN-E, as applicable, (or any successor form thereto) claiming eligibility for benefits of an income tax treaty to which the United States is a party;</w:t>
      </w:r>
    </w:p>
    <w:p>
      <w:pPr>
        <w:spacing w:after="0" w:line="170" w:lineRule="exact"/>
        <w:rPr>
          <w:rFonts w:ascii="Arial" w:cs="Arial" w:eastAsia="Arial" w:hAnsi="Arial"/>
          <w:sz w:val="18"/>
          <w:szCs w:val="18"/>
          <w:color w:val="010000"/>
        </w:rPr>
      </w:pPr>
    </w:p>
    <w:p>
      <w:pPr>
        <w:ind w:left="2320" w:hanging="388"/>
        <w:spacing w:after="0"/>
        <w:tabs>
          <w:tab w:leader="none" w:pos="2320" w:val="left"/>
        </w:tabs>
        <w:numPr>
          <w:ilvl w:val="3"/>
          <w:numId w:val="117"/>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W-8ECI (or any successor form thereto);</w:t>
      </w:r>
    </w:p>
    <w:p>
      <w:pPr>
        <w:spacing w:after="0" w:line="225" w:lineRule="exact"/>
        <w:rPr>
          <w:rFonts w:ascii="Arial" w:cs="Arial" w:eastAsia="Arial" w:hAnsi="Arial"/>
          <w:sz w:val="18"/>
          <w:szCs w:val="18"/>
          <w:color w:val="010000"/>
        </w:rPr>
      </w:pPr>
    </w:p>
    <w:p>
      <w:pPr>
        <w:ind w:left="1280" w:firstLine="652"/>
        <w:spacing w:after="0" w:line="254" w:lineRule="auto"/>
        <w:tabs>
          <w:tab w:leader="none" w:pos="2318" w:val="left"/>
        </w:tabs>
        <w:numPr>
          <w:ilvl w:val="3"/>
          <w:numId w:val="117"/>
        </w:numPr>
        <w:rPr>
          <w:rFonts w:ascii="Arial" w:cs="Arial" w:eastAsia="Arial" w:hAnsi="Arial"/>
          <w:sz w:val="18"/>
          <w:szCs w:val="18"/>
          <w:color w:val="010000"/>
        </w:rPr>
      </w:pPr>
      <w:r>
        <w:rPr>
          <w:rFonts w:ascii="Arial" w:cs="Arial" w:eastAsia="Arial" w:hAnsi="Arial"/>
          <w:sz w:val="18"/>
          <w:szCs w:val="18"/>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w:t>
      </w:r>
      <w:r>
        <w:rPr>
          <w:rFonts w:ascii="Arial" w:cs="Arial" w:eastAsia="Arial" w:hAnsi="Arial"/>
          <w:sz w:val="18"/>
          <w:szCs w:val="18"/>
          <w:u w:val="single" w:color="auto"/>
          <w:color w:val="auto"/>
        </w:rPr>
        <w:t>J-2</w:t>
      </w:r>
      <w:r>
        <w:rPr>
          <w:rFonts w:ascii="Arial" w:cs="Arial" w:eastAsia="Arial" w:hAnsi="Arial"/>
          <w:sz w:val="18"/>
          <w:szCs w:val="18"/>
          <w:color w:val="auto"/>
        </w:rPr>
        <w:t xml:space="preserve">, </w:t>
      </w:r>
      <w:r>
        <w:rPr>
          <w:rFonts w:ascii="Arial" w:cs="Arial" w:eastAsia="Arial" w:hAnsi="Arial"/>
          <w:sz w:val="18"/>
          <w:szCs w:val="18"/>
          <w:u w:val="single" w:color="auto"/>
          <w:color w:val="auto"/>
        </w:rPr>
        <w:t>J-3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J-4</w:t>
      </w:r>
      <w:r>
        <w:rPr>
          <w:rFonts w:ascii="Arial" w:cs="Arial" w:eastAsia="Arial" w:hAnsi="Arial"/>
          <w:sz w:val="18"/>
          <w:szCs w:val="18"/>
          <w:color w:val="auto"/>
        </w:rPr>
        <w:t>, as applicable, (a “</w:t>
      </w:r>
      <w:r>
        <w:rPr>
          <w:rFonts w:ascii="Arial" w:cs="Arial" w:eastAsia="Arial" w:hAnsi="Arial"/>
          <w:sz w:val="18"/>
          <w:szCs w:val="18"/>
          <w:b w:val="1"/>
          <w:bCs w:val="1"/>
          <w:color w:val="auto"/>
        </w:rPr>
        <w:t>Non-Bank Tax Certificate</w:t>
      </w:r>
      <w:r>
        <w:rPr>
          <w:rFonts w:ascii="Arial" w:cs="Arial" w:eastAsia="Arial" w:hAnsi="Arial"/>
          <w:sz w:val="18"/>
          <w:szCs w:val="18"/>
          <w:color w:val="auto"/>
        </w:rPr>
        <w:t>”), to the effect that such Non-U.S. Lender is not (A) a “bank” within the meaning of Section 881(c)(3)(A) of the Code, (B) a “10 percent shareholder” of the Borrower within the meaning of Section 881(c)(3)(B) of the Code, or (C) a “controlled foreign corporation” described in Section 881(c)(3)(C) of the Code and that no payments under any Credit Document are effectively connected with such Non-U.S. Lender’s conduct of a United States trade or business and (y) executed originals of Internal Revenue Service Form W-8BEN or W-8BEN-E, as applicable (or any successor thereto);</w:t>
      </w:r>
    </w:p>
    <w:p>
      <w:pPr>
        <w:spacing w:after="0" w:line="194" w:lineRule="exact"/>
        <w:rPr>
          <w:rFonts w:ascii="Arial" w:cs="Arial" w:eastAsia="Arial" w:hAnsi="Arial"/>
          <w:sz w:val="18"/>
          <w:szCs w:val="18"/>
          <w:color w:val="010000"/>
        </w:rPr>
      </w:pPr>
    </w:p>
    <w:p>
      <w:pPr>
        <w:ind w:left="1280" w:right="100" w:firstLine="652"/>
        <w:spacing w:after="0" w:line="277" w:lineRule="auto"/>
        <w:tabs>
          <w:tab w:leader="none" w:pos="2318" w:val="left"/>
        </w:tabs>
        <w:numPr>
          <w:ilvl w:val="3"/>
          <w:numId w:val="117"/>
        </w:numPr>
        <w:rPr>
          <w:rFonts w:ascii="Arial" w:cs="Arial" w:eastAsia="Arial" w:hAnsi="Arial"/>
          <w:sz w:val="18"/>
          <w:szCs w:val="18"/>
          <w:color w:val="010000"/>
        </w:rPr>
      </w:pPr>
      <w:r>
        <w:rPr>
          <w:rFonts w:ascii="Arial" w:cs="Arial" w:eastAsia="Arial" w:hAnsi="Arial"/>
          <w:sz w:val="18"/>
          <w:szCs w:val="18"/>
          <w:color w:val="auto"/>
        </w:rPr>
        <w:t>where such Lender is a partnership (for U.S. federal income tax purposes) or otherwise not a beneficial owner (e.g., where such Lender has sold a participation), IRS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40" w:top="1440" w:right="339" w:bottom="1440" w:gutter="0" w:footer="0" w:header="0"/>
        </w:sectPr>
      </w:pPr>
    </w:p>
    <w:bookmarkStart w:id="132" w:name="page133"/>
    <w:bookmarkEnd w:id="132"/>
    <w:p>
      <w:pPr>
        <w:spacing w:after="0" w:line="200" w:lineRule="exact"/>
        <w:rPr>
          <w:sz w:val="20"/>
          <w:szCs w:val="20"/>
          <w:color w:val="auto"/>
        </w:rPr>
      </w:pPr>
    </w:p>
    <w:p>
      <w:pPr>
        <w:spacing w:after="0" w:line="322" w:lineRule="exact"/>
        <w:rPr>
          <w:sz w:val="20"/>
          <w:szCs w:val="20"/>
          <w:color w:val="auto"/>
        </w:rPr>
      </w:pPr>
    </w:p>
    <w:p>
      <w:pPr>
        <w:ind w:left="1280"/>
        <w:spacing w:after="0" w:line="259" w:lineRule="auto"/>
        <w:rPr>
          <w:sz w:val="20"/>
          <w:szCs w:val="20"/>
          <w:color w:val="auto"/>
        </w:rPr>
      </w:pPr>
      <w:r>
        <w:rPr>
          <w:rFonts w:ascii="Arial" w:cs="Arial" w:eastAsia="Arial" w:hAnsi="Arial"/>
          <w:sz w:val="18"/>
          <w:szCs w:val="18"/>
          <w:color w:val="auto"/>
        </w:rPr>
        <w:t>W-8IMY (or any successor thereto) and all required supporting documentation (including, where one or more of the underlying beneficial owner(s) is claiming the benefits of the portfolio interest exemption, a Non-Bank Tax Certificate of such beneficial owner(s))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Non-U.S. Lender is a partnership and not a participating Lender, the Non-Bank Tax Certificate(s) may be provided by the Non-U.S. Lender on behalf of the direct or indirect partner(s)); or</w:t>
      </w:r>
    </w:p>
    <w:p>
      <w:pPr>
        <w:spacing w:after="0" w:line="187" w:lineRule="exact"/>
        <w:rPr>
          <w:sz w:val="20"/>
          <w:szCs w:val="20"/>
          <w:color w:val="auto"/>
        </w:rPr>
      </w:pPr>
    </w:p>
    <w:p>
      <w:pPr>
        <w:jc w:val="both"/>
        <w:ind w:left="1280" w:right="20" w:firstLine="652"/>
        <w:spacing w:after="0" w:line="286" w:lineRule="auto"/>
        <w:tabs>
          <w:tab w:leader="none" w:pos="2318" w:val="left"/>
        </w:tabs>
        <w:numPr>
          <w:ilvl w:val="3"/>
          <w:numId w:val="118"/>
        </w:numPr>
        <w:rPr>
          <w:rFonts w:ascii="Arial" w:cs="Arial" w:eastAsia="Arial" w:hAnsi="Arial"/>
          <w:sz w:val="17"/>
          <w:szCs w:val="17"/>
          <w:color w:val="010000"/>
        </w:rPr>
      </w:pPr>
      <w:r>
        <w:rPr>
          <w:rFonts w:ascii="Arial" w:cs="Arial" w:eastAsia="Arial" w:hAnsi="Arial"/>
          <w:sz w:val="17"/>
          <w:szCs w:val="17"/>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65" w:lineRule="exact"/>
        <w:rPr>
          <w:rFonts w:ascii="Arial" w:cs="Arial" w:eastAsia="Arial" w:hAnsi="Arial"/>
          <w:sz w:val="17"/>
          <w:szCs w:val="17"/>
          <w:color w:val="010000"/>
        </w:rPr>
      </w:pPr>
    </w:p>
    <w:p>
      <w:pPr>
        <w:ind w:left="640" w:right="20" w:firstLine="644"/>
        <w:spacing w:after="0" w:line="253" w:lineRule="auto"/>
        <w:tabs>
          <w:tab w:leader="none" w:pos="1708" w:val="left"/>
        </w:tabs>
        <w:numPr>
          <w:ilvl w:val="2"/>
          <w:numId w:val="119"/>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8"/>
          <w:szCs w:val="18"/>
          <w:u w:val="single" w:color="auto"/>
          <w:color w:val="auto"/>
        </w:rPr>
        <w:t>clause (C)</w:t>
      </w:r>
      <w:r>
        <w:rPr>
          <w:rFonts w:ascii="Arial" w:cs="Arial" w:eastAsia="Arial" w:hAnsi="Arial"/>
          <w:sz w:val="18"/>
          <w:szCs w:val="18"/>
          <w:color w:val="auto"/>
        </w:rPr>
        <w:t>, “FATCA” shall include any amendments made to FATCA after the date of this Agreement; and</w:t>
      </w:r>
    </w:p>
    <w:p>
      <w:pPr>
        <w:spacing w:after="0" w:line="196" w:lineRule="exact"/>
        <w:rPr>
          <w:rFonts w:ascii="Arial" w:cs="Arial" w:eastAsia="Arial" w:hAnsi="Arial"/>
          <w:sz w:val="18"/>
          <w:szCs w:val="18"/>
          <w:color w:val="auto"/>
        </w:rPr>
      </w:pPr>
    </w:p>
    <w:p>
      <w:pPr>
        <w:ind w:left="640" w:right="360" w:firstLine="644"/>
        <w:spacing w:after="0" w:line="259" w:lineRule="auto"/>
        <w:tabs>
          <w:tab w:leader="none" w:pos="1718" w:val="left"/>
        </w:tabs>
        <w:numPr>
          <w:ilvl w:val="2"/>
          <w:numId w:val="119"/>
        </w:numPr>
        <w:rPr>
          <w:rFonts w:ascii="Arial" w:cs="Arial" w:eastAsia="Arial" w:hAnsi="Arial"/>
          <w:sz w:val="18"/>
          <w:szCs w:val="18"/>
          <w:color w:val="auto"/>
        </w:rPr>
      </w:pPr>
      <w:r>
        <w:rPr>
          <w:rFonts w:ascii="Arial" w:cs="Arial" w:eastAsia="Arial" w:hAnsi="Arial"/>
          <w:sz w:val="18"/>
          <w:szCs w:val="18"/>
          <w:color w:val="auto"/>
        </w:rPr>
        <w:t>If the Administrative Agent is a “United States person” (as defined in Section 7701(a)(30) of the Code), it shall provide the Borrower with two duly completed original copies of Internal Revenue Service Form W-9. If the Administrative Agent is not a “United States person” (as defined in Section 7701(a)(3) of the Code), it shall provide applicable Form W-8 (together with required accompanying documentation) with respect to payments to be received by it on behalf of the Lenders.</w:t>
      </w:r>
    </w:p>
    <w:p>
      <w:pPr>
        <w:spacing w:after="0" w:line="186" w:lineRule="exact"/>
        <w:rPr>
          <w:rFonts w:ascii="Arial" w:cs="Arial" w:eastAsia="Arial" w:hAnsi="Arial"/>
          <w:sz w:val="18"/>
          <w:szCs w:val="18"/>
          <w:color w:val="auto"/>
        </w:rPr>
      </w:pPr>
    </w:p>
    <w:p>
      <w:pPr>
        <w:ind w:left="-20" w:right="400" w:firstLine="915"/>
        <w:spacing w:after="0" w:line="277" w:lineRule="auto"/>
        <w:tabs>
          <w:tab w:leader="none" w:pos="133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5.4</w:t>
      </w:r>
      <w:r>
        <w:rPr>
          <w:rFonts w:ascii="Arial" w:cs="Arial" w:eastAsia="Arial" w:hAnsi="Arial"/>
          <w:sz w:val="18"/>
          <w:szCs w:val="18"/>
          <w:color w:val="auto"/>
        </w:rPr>
        <w:t>, no Lender or the Administrative Agent shall be required to deliver any documentation that it is not legally eligible to deliver.</w:t>
      </w:r>
    </w:p>
    <w:p>
      <w:pPr>
        <w:spacing w:after="0" w:line="170" w:lineRule="exact"/>
        <w:rPr>
          <w:rFonts w:ascii="Arial" w:cs="Arial" w:eastAsia="Arial" w:hAnsi="Arial"/>
          <w:sz w:val="18"/>
          <w:szCs w:val="18"/>
          <w:color w:val="auto"/>
        </w:rPr>
      </w:pPr>
    </w:p>
    <w:p>
      <w:pPr>
        <w:ind w:left="-20" w:firstLine="656"/>
        <w:spacing w:after="0" w:line="286" w:lineRule="auto"/>
        <w:tabs>
          <w:tab w:leader="none" w:pos="98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Lender may delete any information therein that it deems confidential). Notwithstanding anything to the contrary in this paragraph (f), in no event will the Administrative Agent or any Lender be required to pay any amount to an indemnifying party pursuant to this paragraph (f) the payment of which would place the Administrative Agent or any Lender in a less favorable net after-Tax position than the Administrative Agent or any Lender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40" w:top="1440" w:right="339" w:bottom="1440" w:gutter="0" w:footer="0" w:header="0"/>
        </w:sectPr>
      </w:pPr>
    </w:p>
    <w:bookmarkStart w:id="133" w:name="page134"/>
    <w:bookmarkEnd w:id="133"/>
    <w:p>
      <w:pPr>
        <w:spacing w:after="0" w:line="200" w:lineRule="exact"/>
        <w:rPr>
          <w:sz w:val="20"/>
          <w:szCs w:val="20"/>
          <w:color w:val="auto"/>
        </w:rPr>
      </w:pPr>
    </w:p>
    <w:p>
      <w:pPr>
        <w:spacing w:after="0" w:line="3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or any Lender to make available its Tax returns (or any other information relating to its Taxes that it deems confidential) to any Credit Party or any other Person.</w:t>
      </w:r>
    </w:p>
    <w:p>
      <w:pPr>
        <w:spacing w:after="0" w:line="187" w:lineRule="exact"/>
        <w:rPr>
          <w:sz w:val="20"/>
          <w:szCs w:val="20"/>
          <w:color w:val="auto"/>
        </w:rPr>
      </w:pPr>
    </w:p>
    <w:p>
      <w:pPr>
        <w:ind w:right="540" w:firstLine="656"/>
        <w:spacing w:after="0" w:line="277" w:lineRule="auto"/>
        <w:tabs>
          <w:tab w:leader="none" w:pos="10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term “Lender” includes any Letter of Credit Issuer and any Swingline Lender and the term “applicable law” includes FATCA.</w:t>
      </w:r>
    </w:p>
    <w:p>
      <w:pPr>
        <w:spacing w:after="0" w:line="170" w:lineRule="exact"/>
        <w:rPr>
          <w:rFonts w:ascii="Arial" w:cs="Arial" w:eastAsia="Arial" w:hAnsi="Arial"/>
          <w:sz w:val="18"/>
          <w:szCs w:val="18"/>
          <w:color w:val="auto"/>
        </w:rPr>
      </w:pPr>
    </w:p>
    <w:p>
      <w:pPr>
        <w:ind w:right="40" w:firstLine="656"/>
        <w:spacing w:after="0" w:line="263" w:lineRule="auto"/>
        <w:tabs>
          <w:tab w:leader="none" w:pos="10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Computations of Interest and Fees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342" w:lineRule="auto"/>
        <w:tabs>
          <w:tab w:leader="none" w:pos="102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Except as provided in the next succeeding sentence, interest on LIBOR Loans shall be calculated on the basis of a 360-day year for the actual days elapsed. Interest on ABR Loans shall be calculated on the basis of a 365- (or 366-, as the case may be) day year for the actual days elapsed.</w:t>
      </w:r>
    </w:p>
    <w:p>
      <w:pPr>
        <w:spacing w:after="0" w:line="123" w:lineRule="exact"/>
        <w:rPr>
          <w:rFonts w:ascii="Arial" w:cs="Arial" w:eastAsia="Arial" w:hAnsi="Arial"/>
          <w:sz w:val="16"/>
          <w:szCs w:val="16"/>
          <w:color w:val="auto"/>
        </w:rPr>
      </w:pPr>
    </w:p>
    <w:p>
      <w:pPr>
        <w:ind w:left="660" w:right="160" w:hanging="4"/>
        <w:spacing w:after="0" w:line="500" w:lineRule="auto"/>
        <w:tabs>
          <w:tab w:leader="none" w:pos="105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Fees and the average daily Stated Amount of Letters of Credit shall be calculated on the basis of a 360-day year for the actual days elapsed. 5.6 </w:t>
      </w:r>
      <w:r>
        <w:rPr>
          <w:rFonts w:ascii="Arial" w:cs="Arial" w:eastAsia="Arial" w:hAnsi="Arial"/>
          <w:sz w:val="18"/>
          <w:szCs w:val="18"/>
          <w:u w:val="single" w:color="auto"/>
          <w:color w:val="auto"/>
        </w:rPr>
        <w:t>Limit on Rate of Interest</w:t>
      </w:r>
      <w:r>
        <w:rPr>
          <w:rFonts w:ascii="Arial" w:cs="Arial" w:eastAsia="Arial" w:hAnsi="Arial"/>
          <w:sz w:val="18"/>
          <w:szCs w:val="18"/>
          <w:color w:val="auto"/>
        </w:rPr>
        <w:t>.</w:t>
      </w:r>
    </w:p>
    <w:p>
      <w:pPr>
        <w:spacing w:after="0" w:line="2" w:lineRule="exact"/>
        <w:rPr>
          <w:sz w:val="20"/>
          <w:szCs w:val="20"/>
          <w:color w:val="auto"/>
        </w:rPr>
      </w:pPr>
    </w:p>
    <w:p>
      <w:pPr>
        <w:ind w:right="240" w:firstLine="656"/>
        <w:spacing w:after="0" w:line="263" w:lineRule="auto"/>
        <w:tabs>
          <w:tab w:leader="none" w:pos="102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 Payment Shall Exceed Lawful Rate</w:t>
      </w:r>
      <w:r>
        <w:rPr>
          <w:rFonts w:ascii="Arial" w:cs="Arial" w:eastAsia="Arial" w:hAnsi="Arial"/>
          <w:sz w:val="18"/>
          <w:szCs w:val="18"/>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183" w:lineRule="exact"/>
        <w:rPr>
          <w:rFonts w:ascii="Arial" w:cs="Arial" w:eastAsia="Arial" w:hAnsi="Arial"/>
          <w:sz w:val="18"/>
          <w:szCs w:val="18"/>
          <w:color w:val="auto"/>
        </w:rPr>
      </w:pPr>
    </w:p>
    <w:p>
      <w:pPr>
        <w:ind w:right="20" w:firstLine="656"/>
        <w:spacing w:after="0" w:line="342" w:lineRule="auto"/>
        <w:tabs>
          <w:tab w:leader="none" w:pos="1038"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Payment at Highest Lawful Rate</w:t>
      </w:r>
      <w:r>
        <w:rPr>
          <w:rFonts w:ascii="Arial" w:cs="Arial" w:eastAsia="Arial" w:hAnsi="Arial"/>
          <w:sz w:val="16"/>
          <w:szCs w:val="16"/>
          <w:color w:val="auto"/>
        </w:rPr>
        <w:t xml:space="preserve">. If the Borrower is not obliged to make a payment that it would otherwise be required to make, as a result of </w:t>
      </w:r>
      <w:r>
        <w:rPr>
          <w:rFonts w:ascii="Arial" w:cs="Arial" w:eastAsia="Arial" w:hAnsi="Arial"/>
          <w:sz w:val="16"/>
          <w:szCs w:val="16"/>
          <w:u w:val="single" w:color="auto"/>
          <w:color w:val="auto"/>
        </w:rPr>
        <w:t>Section 5.6(a)</w:t>
      </w:r>
      <w:r>
        <w:rPr>
          <w:rFonts w:ascii="Arial" w:cs="Arial" w:eastAsia="Arial" w:hAnsi="Arial"/>
          <w:sz w:val="16"/>
          <w:szCs w:val="16"/>
          <w:color w:val="auto"/>
        </w:rPr>
        <w:t>, the Borrower shall make such payment to the maximum extent permitted by or consistent with applicable laws, rules, and regulations.</w:t>
      </w:r>
    </w:p>
    <w:p>
      <w:pPr>
        <w:spacing w:after="0" w:line="123" w:lineRule="exact"/>
        <w:rPr>
          <w:rFonts w:ascii="Arial" w:cs="Arial" w:eastAsia="Arial" w:hAnsi="Arial"/>
          <w:sz w:val="16"/>
          <w:szCs w:val="16"/>
          <w:color w:val="auto"/>
        </w:rPr>
      </w:pPr>
    </w:p>
    <w:p>
      <w:pPr>
        <w:ind w:right="20" w:firstLine="656"/>
        <w:spacing w:after="0" w:line="290" w:lineRule="auto"/>
        <w:tabs>
          <w:tab w:leader="none" w:pos="1027"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Adjustment if Any Payment Exceeds Lawful Rate</w:t>
      </w:r>
      <w:r>
        <w:rPr>
          <w:rFonts w:ascii="Arial" w:cs="Arial" w:eastAsia="Arial" w:hAnsi="Arial"/>
          <w:sz w:val="16"/>
          <w:szCs w:val="16"/>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p>
    <w:p>
      <w:pPr>
        <w:spacing w:after="0" w:line="32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Conditions Precedent to Initial Borrowing</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obligation of any Lender to make any Loan hereunder on the Restatement Effective Date is subject to the satisfaction of the following conditions precedent, except as otherwise agreed between the Borrower and the Administrative Agent.</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Credit Documents</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The Administrative Agent (or its counsel) shall have received the Restatement Agreement, executed and delivered by the Former Agent, each Lender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each Letter of Credit Issuer, Holdings, the Borrower and each Guarantor.</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Collateral</w:t>
      </w:r>
      <w:r>
        <w:rPr>
          <w:rFonts w:ascii="Arial" w:cs="Arial" w:eastAsia="Arial" w:hAnsi="Arial"/>
          <w:sz w:val="16"/>
          <w:szCs w:val="16"/>
          <w:color w:val="auto"/>
        </w:rPr>
        <w:t>. Except for any items referred to on</w:t>
      </w:r>
      <w:r>
        <w:rPr>
          <w:rFonts w:ascii="Arial" w:cs="Arial" w:eastAsia="Arial" w:hAnsi="Arial"/>
          <w:sz w:val="16"/>
          <w:szCs w:val="16"/>
          <w:u w:val="single" w:color="auto"/>
          <w:color w:val="auto"/>
        </w:rPr>
        <w:t xml:space="preserve"> Schedule 9.14</w:t>
      </w:r>
      <w:r>
        <w:rPr>
          <w:rFonts w:ascii="Arial" w:cs="Arial" w:eastAsia="Arial" w:hAnsi="Arial"/>
          <w:sz w:val="16"/>
          <w:szCs w:val="16"/>
          <w:color w:val="auto"/>
        </w:rPr>
        <w:t>:</w:t>
      </w:r>
    </w:p>
    <w:p>
      <w:pPr>
        <w:spacing w:after="0" w:line="225" w:lineRule="exact"/>
        <w:rPr>
          <w:sz w:val="20"/>
          <w:szCs w:val="20"/>
          <w:color w:val="auto"/>
        </w:rPr>
      </w:pPr>
    </w:p>
    <w:p>
      <w:pPr>
        <w:ind w:left="1680" w:hanging="376"/>
        <w:spacing w:after="0"/>
        <w:tabs>
          <w:tab w:leader="none" w:pos="1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Collateral Agent shall have received updated schedules to the Security Agreement;</w:t>
      </w:r>
    </w:p>
    <w:p>
      <w:pPr>
        <w:spacing w:after="0" w:line="225" w:lineRule="exact"/>
        <w:rPr>
          <w:rFonts w:ascii="Arial" w:cs="Arial" w:eastAsia="Arial" w:hAnsi="Arial"/>
          <w:sz w:val="18"/>
          <w:szCs w:val="18"/>
          <w:color w:val="auto"/>
        </w:rPr>
      </w:pPr>
    </w:p>
    <w:p>
      <w:pPr>
        <w:ind w:left="660" w:right="300" w:firstLine="644"/>
        <w:spacing w:after="0" w:line="342" w:lineRule="auto"/>
        <w:tabs>
          <w:tab w:leader="none" w:pos="168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outstanding equity interests in whatever form of the Borrower and each Restricted Subsidiary that is directly owned by or on behalf of any Credit Party and required to be pledged pursuant to the Security Documents shall have been pledged pursuant thereto;</w:t>
      </w:r>
    </w:p>
    <w:p>
      <w:pPr>
        <w:spacing w:after="0" w:line="123" w:lineRule="exact"/>
        <w:rPr>
          <w:rFonts w:ascii="Arial" w:cs="Arial" w:eastAsia="Arial" w:hAnsi="Arial"/>
          <w:sz w:val="16"/>
          <w:szCs w:val="16"/>
          <w:color w:val="auto"/>
        </w:rPr>
      </w:pPr>
    </w:p>
    <w:p>
      <w:pPr>
        <w:ind w:left="660" w:right="20" w:firstLine="644"/>
        <w:spacing w:after="0" w:line="259" w:lineRule="auto"/>
        <w:tabs>
          <w:tab w:leader="none" w:pos="16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Collateral Agent shall have received the certificates representing securities of the Borrower and of each Credit Party’s Wholly-Owned Restricted Subsidiaries that are Domestic Subsidiaries to the extent required to be delivered under the Security Documents and pledged under the Security Documents to the extent certificated, accompanied by instruments of transfer and undated stock powers or allonges endorsed in blank; and</w:t>
      </w:r>
    </w:p>
    <w:p>
      <w:pPr>
        <w:spacing w:after="0" w:line="186" w:lineRule="exact"/>
        <w:rPr>
          <w:rFonts w:ascii="Arial" w:cs="Arial" w:eastAsia="Arial" w:hAnsi="Arial"/>
          <w:sz w:val="18"/>
          <w:szCs w:val="18"/>
          <w:color w:val="auto"/>
        </w:rPr>
      </w:pPr>
    </w:p>
    <w:p>
      <w:pPr>
        <w:ind w:left="660" w:right="80" w:firstLine="644"/>
        <w:spacing w:after="0" w:line="286" w:lineRule="auto"/>
        <w:tabs>
          <w:tab w:leader="none" w:pos="168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 Uniform Commercial Code financing statements (and amendments thereto)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w:t>
      </w:r>
    </w:p>
    <w:p>
      <w:pPr>
        <w:spacing w:after="0" w:line="16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(or its counsel) shall have received the executed legal opinion, in customary form, of (i) Simpson Thacher &amp; Bartlett LLP, special New York counsel to the Credit Parties and (ii) Kilpatrick Townsend &amp; Stockton LLP, special Georgia counsel to the Credit Parties. Holdings and the Borrower hereby instruct and agree to instruct the other Credit Parties to have such counsel deliver such legal opinions.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xml:space="preserve">. The Administrative Agent (or its counsel) shall have received a certificate of (x) each of Holdings and the Borrower, dated the Restatement Effective Date,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with appropriate insertions, executed by any Authorized Officer (or in the case of Holdings any Director or authorized agent of Holdings) and the Secretary or any Assistant Secretary of Holdings or the Borrower (or in the case of Holdings any Director or authorized agent of Holdings), as applicable, and attaching the documents referred to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(y) an Authorized Officer certifying compliance with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6.10</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Authorization of Proceedings of the Credit Parties; Corporate Documents</w:t>
      </w:r>
      <w:r>
        <w:rPr>
          <w:rFonts w:ascii="Arial" w:cs="Arial" w:eastAsia="Arial" w:hAnsi="Arial"/>
          <w:sz w:val="17"/>
          <w:szCs w:val="17"/>
          <w:color w:val="auto"/>
        </w:rPr>
        <w:t>. The Administrative Agent shall have received (i) a copy of the resolutions of the board of directors or other managers of each Credit Party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each Credit Party, and (iii) signature and incumbency certificates (or other comparable documents evidencing the same) of the Authorized Officers of each Credit Party executing the Credit Documents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200" w:lineRule="exact"/>
        <w:rPr>
          <w:sz w:val="20"/>
          <w:szCs w:val="20"/>
          <w:color w:val="auto"/>
        </w:rPr>
      </w:pPr>
    </w:p>
    <w:p>
      <w:pPr>
        <w:spacing w:after="0" w:line="32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Fees</w:t>
      </w:r>
      <w:r>
        <w:rPr>
          <w:rFonts w:ascii="Arial" w:cs="Arial" w:eastAsia="Arial" w:hAnsi="Arial"/>
          <w:sz w:val="18"/>
          <w:szCs w:val="18"/>
          <w:color w:val="auto"/>
        </w:rPr>
        <w:t>. The Agents and Lenders shall have received, substantially simultaneously with the funding of the Term A Loans,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Term A Loans).</w:t>
      </w:r>
    </w:p>
    <w:p>
      <w:pPr>
        <w:spacing w:after="0" w:line="1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Representations and Warranties; No Default</w:t>
      </w:r>
      <w:r>
        <w:rPr>
          <w:rFonts w:ascii="Arial" w:cs="Arial" w:eastAsia="Arial" w:hAnsi="Arial"/>
          <w:sz w:val="16"/>
          <w:szCs w:val="16"/>
          <w:color w:val="auto"/>
        </w:rPr>
        <w:t>. On the Restatement Effective Date, the condition set forth in Section 7.1 shall be satisfied.</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On the Restatement Effective Date, the Administrative Agent shall have received a certificate from the Chief Executive Officer, President, the Chief Financial Officer, the Treasurer, the Vice President-Finance, a Director, a Manager, or any other senior financial officer of Holdings to the effect that after giving effect to the consummation of the Transactions, Holdings on a consolidated basis with the Restricted Subsidiaries is Solvent.</w:t>
      </w:r>
    </w:p>
    <w:p>
      <w:pPr>
        <w:spacing w:after="0" w:line="1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u w:val="single" w:color="auto"/>
          <w:color w:val="auto"/>
        </w:rPr>
        <w:t>KYC Information</w:t>
      </w:r>
      <w:r>
        <w:rPr>
          <w:rFonts w:ascii="Arial" w:cs="Arial" w:eastAsia="Arial" w:hAnsi="Arial"/>
          <w:sz w:val="17"/>
          <w:szCs w:val="17"/>
          <w:color w:val="auto"/>
        </w:rPr>
        <w:t>.</w:t>
      </w:r>
    </w:p>
    <w:p>
      <w:pPr>
        <w:spacing w:after="0" w:line="225" w:lineRule="exact"/>
        <w:rPr>
          <w:sz w:val="20"/>
          <w:szCs w:val="20"/>
          <w:color w:val="auto"/>
        </w:rPr>
      </w:pPr>
    </w:p>
    <w:p>
      <w:pPr>
        <w:ind w:right="120" w:firstLine="656"/>
        <w:spacing w:after="0" w:line="286" w:lineRule="auto"/>
        <w:tabs>
          <w:tab w:leader="none" w:pos="102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Upon the reasonable request of any Lender made at least ten days prior to the Restatement Effective Date, the Borrower shall have provided to such Lender the documentation and other information so requested in connection with applicable “know your customer” and anti-money-laundering rules and regulations, including the PATRIOT Act, in each case at least three days prior to the Restatement Effective Date.</w:t>
      </w:r>
    </w:p>
    <w:p>
      <w:pPr>
        <w:spacing w:after="0" w:line="165" w:lineRule="exact"/>
        <w:rPr>
          <w:rFonts w:ascii="Arial" w:cs="Arial" w:eastAsia="Arial" w:hAnsi="Arial"/>
          <w:sz w:val="17"/>
          <w:szCs w:val="17"/>
          <w:color w:val="auto"/>
        </w:rPr>
      </w:pPr>
    </w:p>
    <w:p>
      <w:pPr>
        <w:ind w:right="600" w:firstLine="656"/>
        <w:spacing w:after="0" w:line="277" w:lineRule="auto"/>
        <w:tabs>
          <w:tab w:leader="none" w:pos="10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three days prior to the Restatement Effective Date, if the Borrower qualifies as a “legal entity customer” under the Beneficial Ownership Regulation, the Borrower shall deliver a Beneficial Ownership Certification in relation to the Borrower.</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Refinancing</w:t>
      </w:r>
      <w:r>
        <w:rPr>
          <w:rFonts w:ascii="Arial" w:cs="Arial" w:eastAsia="Arial" w:hAnsi="Arial"/>
          <w:sz w:val="16"/>
          <w:szCs w:val="16"/>
          <w:color w:val="auto"/>
        </w:rPr>
        <w:t>. Substantially simultaneously with the funding of the Term A Loans, the Restatement Date Refinancing shall be consummated.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Notice of Term Loan Borrowing</w:t>
      </w:r>
      <w:r>
        <w:rPr>
          <w:rFonts w:ascii="Arial" w:cs="Arial" w:eastAsia="Arial" w:hAnsi="Arial"/>
          <w:sz w:val="18"/>
          <w:szCs w:val="18"/>
          <w:color w:val="auto"/>
        </w:rPr>
        <w:t xml:space="preserve">. The Administrative Agent (or its counsel) shall have received a Notice of Borrowing with respect to the Term A Loan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For purposes of determining compliance with the conditions specified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on the Restatement Effective Date, each Lender that has signed the Restatement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Conditions Precedent to All Credit Events on and after the Restatement Effective Date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the agreement of each Lender to make any Loan requested to be made by it on any date (excluding (i) Mandatory Borrowings and Revolving Credit Loans required to be made by the Revolving Credit Lenders in respect of Unpaid Drawings pursuant to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(ii) borrowings under </w:t>
      </w:r>
      <w:r>
        <w:rPr>
          <w:rFonts w:ascii="Arial" w:cs="Arial" w:eastAsia="Arial" w:hAnsi="Arial"/>
          <w:sz w:val="18"/>
          <w:szCs w:val="18"/>
          <w:u w:val="single" w:color="auto"/>
          <w:color w:val="auto"/>
        </w:rPr>
        <w:t>Sections 2.14</w:t>
      </w:r>
      <w:r>
        <w:rPr>
          <w:rFonts w:ascii="Arial" w:cs="Arial" w:eastAsia="Arial" w:hAnsi="Arial"/>
          <w:sz w:val="18"/>
          <w:szCs w:val="18"/>
          <w:color w:val="auto"/>
        </w:rPr>
        <w:t>) and the obligation of the Letter of Credit Issuer to issue Letters of Credit on any date on or after the Restatement Effective Date is subject to the satisfaction (or waiver) of the following conditions precedent:</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Default; Representations and Warranties</w:t>
      </w:r>
      <w:r>
        <w:rPr>
          <w:rFonts w:ascii="Arial" w:cs="Arial" w:eastAsia="Arial" w:hAnsi="Arial"/>
          <w:sz w:val="18"/>
          <w:szCs w:val="18"/>
          <w:color w:val="auto"/>
        </w:rPr>
        <w:t xml:space="preserve">. At the time of each Credit Event and also after giving effect thereto (other than any Credit Event pursuant to any Loan made pursuant to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(which shall be subject to the terms of </w:t>
      </w:r>
      <w:r>
        <w:rPr>
          <w:rFonts w:ascii="Arial" w:cs="Arial" w:eastAsia="Arial" w:hAnsi="Arial"/>
          <w:sz w:val="18"/>
          <w:szCs w:val="18"/>
          <w:u w:val="single" w:color="auto"/>
          <w:color w:val="auto"/>
        </w:rPr>
        <w:t>Section 2.14(a)</w:t>
      </w:r>
      <w:r>
        <w:rPr>
          <w:rFonts w:ascii="Arial" w:cs="Arial" w:eastAsia="Arial" w:hAnsi="Arial"/>
          <w:sz w:val="18"/>
          <w:szCs w:val="18"/>
          <w:color w:val="auto"/>
        </w:rPr>
        <w:t>) (a) no Default or Event of Default shall have occurred and be continuing and</w:t>
      </w:r>
      <w:r>
        <w:rPr>
          <w:rFonts w:ascii="Arial" w:cs="Arial" w:eastAsia="Arial" w:hAnsi="Arial"/>
          <w:sz w:val="18"/>
          <w:szCs w:val="18"/>
          <w:color w:val="FF0000"/>
          <w:strike w:val="1"/>
        </w:rPr>
        <w:t>, in the case of any borrowing of Revolving Loans or Swingline Loans, the aggregate unrestricted cash and Cash</w:t>
      </w:r>
      <w:r>
        <w:rPr>
          <w:rFonts w:ascii="Arial" w:cs="Arial" w:eastAsia="Arial" w:hAnsi="Arial"/>
          <w:sz w:val="18"/>
          <w:szCs w:val="18"/>
          <w:color w:val="auto"/>
        </w:rPr>
        <w:t xml:space="preserve"> </w:t>
      </w:r>
      <w:r>
        <w:rPr>
          <w:rFonts w:ascii="Arial" w:cs="Arial" w:eastAsia="Arial" w:hAnsi="Arial"/>
          <w:sz w:val="18"/>
          <w:szCs w:val="18"/>
          <w:color w:val="FF0000"/>
          <w:strike w:val="1"/>
        </w:rPr>
        <w:t>Equivalents of Holdings and its Restricted Subsidiaries would not exceed $50,000,000</w:t>
      </w:r>
      <w:r>
        <w:rPr>
          <w:rFonts w:ascii="Arial" w:cs="Arial" w:eastAsia="Arial" w:hAnsi="Arial"/>
          <w:sz w:val="18"/>
          <w:szCs w:val="18"/>
          <w:color w:val="FF0000"/>
        </w:rPr>
        <w:t xml:space="preserve"> </w:t>
      </w:r>
      <w:r>
        <w:rPr>
          <w:rFonts w:ascii="Arial" w:cs="Arial" w:eastAsia="Arial" w:hAnsi="Arial"/>
          <w:sz w:val="18"/>
          <w:szCs w:val="18"/>
          <w:color w:val="008000"/>
          <w:strike w:val="1"/>
        </w:rPr>
        <w:t>on a Pro Forma Basis</w:t>
      </w:r>
      <w:r>
        <w:rPr>
          <w:rFonts w:ascii="Arial" w:cs="Arial" w:eastAsia="Arial" w:hAnsi="Arial"/>
          <w:sz w:val="18"/>
          <w:szCs w:val="18"/>
          <w:color w:val="FF0000"/>
        </w:rPr>
        <w:t xml:space="preserve"> </w:t>
      </w:r>
      <w:r>
        <w:rPr>
          <w:rFonts w:ascii="Arial" w:cs="Arial" w:eastAsia="Arial" w:hAnsi="Arial"/>
          <w:sz w:val="18"/>
          <w:szCs w:val="18"/>
          <w:color w:val="FF0000"/>
          <w:strike w:val="1"/>
        </w:rPr>
        <w:t>and</w:t>
      </w:r>
      <w:r>
        <w:rPr>
          <w:rFonts w:ascii="Arial" w:cs="Arial" w:eastAsia="Arial" w:hAnsi="Arial"/>
          <w:sz w:val="18"/>
          <w:szCs w:val="18"/>
          <w:color w:val="FF0000"/>
        </w:rPr>
        <w:t xml:space="preserve"> </w:t>
      </w:r>
      <w:r>
        <w:rPr>
          <w:rFonts w:ascii="Arial" w:cs="Arial" w:eastAsia="Arial" w:hAnsi="Arial"/>
          <w:sz w:val="18"/>
          <w:szCs w:val="18"/>
          <w:color w:val="000000"/>
        </w:rPr>
        <w:t>(b) all representations and warranties</w:t>
      </w:r>
      <w:r>
        <w:rPr>
          <w:rFonts w:ascii="Arial" w:cs="Arial" w:eastAsia="Arial" w:hAnsi="Arial"/>
          <w:sz w:val="18"/>
          <w:szCs w:val="18"/>
          <w:color w:val="FF0000"/>
        </w:rPr>
        <w:t xml:space="preserve"> </w:t>
      </w:r>
      <w:r>
        <w:rPr>
          <w:rFonts w:ascii="Arial" w:cs="Arial" w:eastAsia="Arial" w:hAnsi="Arial"/>
          <w:sz w:val="18"/>
          <w:szCs w:val="18"/>
          <w:color w:val="000000"/>
        </w:rPr>
        <w:t>made by any Credit Party contained herein or in the other Credit Documents shall be true and correct in all material respects (provided that any such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32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solely with respect to any Credit event pursuant to any Incremental Term Loan made pursuant to Section 2.14(a), in connection with a Permitted Acquisition or other Investment permitted hereunder, all representations and warranties shall be subject to customary Sungard and “funds certain” provisions as reasonably agreed by the Borrower and the Administrative Agent.</w:t>
      </w:r>
    </w:p>
    <w:p>
      <w:pPr>
        <w:spacing w:after="0" w:line="17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Notice of Borrowing; Letter of Credit Request</w:t>
      </w:r>
      <w:r>
        <w:rPr>
          <w:rFonts w:ascii="Arial" w:cs="Arial" w:eastAsia="Arial" w:hAnsi="Arial"/>
          <w:sz w:val="16"/>
          <w:szCs w:val="16"/>
          <w:color w:val="auto"/>
        </w:rPr>
        <w:t>.</w:t>
      </w:r>
    </w:p>
    <w:p>
      <w:pPr>
        <w:spacing w:after="0" w:line="225" w:lineRule="exact"/>
        <w:rPr>
          <w:sz w:val="20"/>
          <w:szCs w:val="20"/>
          <w:color w:val="auto"/>
        </w:rPr>
      </w:pPr>
    </w:p>
    <w:p>
      <w:pPr>
        <w:ind w:right="560" w:firstLine="656"/>
        <w:spacing w:after="0" w:line="277" w:lineRule="auto"/>
        <w:tabs>
          <w:tab w:leader="none" w:pos="10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Prior to the making of each Term Loan after the Restatement Effective Date, the Administrative Agent shall have received a Notice of Borrowing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20" w:firstLine="656"/>
        <w:spacing w:after="0" w:line="308" w:lineRule="auto"/>
        <w:tabs>
          <w:tab w:leader="none" w:pos="103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Prior to the making of each Revolving Credit Loan (other than any Revolving Credit Loan made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each Swingline Loan, the Administrative Agent shall have received a Notice of Borrowing meeting the requirements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60" w:firstLine="656"/>
        <w:spacing w:after="0" w:line="277" w:lineRule="auto"/>
        <w:tabs>
          <w:tab w:leader="none" w:pos="10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have been satisfied as of that time.</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color w:val="auto"/>
        </w:rPr>
        <w:t>Representations and Warranties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order to induce the Lenders to enter into this Agreement, to make the Loans and issue or participate in Letters of Credit as provided for herein, Holdings and the Borrower make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Corporate Status</w:t>
      </w:r>
      <w:r>
        <w:rPr>
          <w:rFonts w:ascii="Arial" w:cs="Arial" w:eastAsia="Arial" w:hAnsi="Arial"/>
          <w:sz w:val="18"/>
          <w:szCs w:val="18"/>
          <w:color w:val="auto"/>
        </w:rPr>
        <w:t>.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Corporate Power and Authority</w:t>
      </w:r>
      <w:r>
        <w:rPr>
          <w:rFonts w:ascii="Arial" w:cs="Arial" w:eastAsia="Arial" w:hAnsi="Arial"/>
          <w:sz w:val="17"/>
          <w:szCs w:val="17"/>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thereof may be limited by bankruptcy, insolvency or similar laws affecting creditors’ rights generally and subject to general principles of equity.</w:t>
      </w:r>
    </w:p>
    <w:p>
      <w:pPr>
        <w:spacing w:after="0" w:line="2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Violation</w:t>
      </w:r>
      <w:r>
        <w:rPr>
          <w:rFonts w:ascii="Arial" w:cs="Arial" w:eastAsia="Arial" w:hAnsi="Arial"/>
          <w:sz w:val="17"/>
          <w:szCs w:val="17"/>
          <w:color w:val="auto"/>
        </w:rPr>
        <w:t>. Neither the execution, delivery or performance by any Credit Party of the Credit Documents to which it is a party nor compliance with the terms and provisions thereof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Arial" w:cs="Arial" w:eastAsia="Arial" w:hAnsi="Arial"/>
          <w:sz w:val="17"/>
          <w:szCs w:val="17"/>
          <w:b w:val="1"/>
          <w:bCs w:val="1"/>
          <w:color w:val="auto"/>
        </w:rPr>
        <w:t>Contractual Requirement</w:t>
      </w:r>
      <w:r>
        <w:rPr>
          <w:rFonts w:ascii="Arial" w:cs="Arial" w:eastAsia="Arial" w:hAnsi="Arial"/>
          <w:sz w:val="17"/>
          <w:szCs w:val="17"/>
          <w:color w:val="auto"/>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the knowledge of Holdings or the Borrower, threatened in writing against Holdings, the Borrower or any of the Restricted Subsidiaries that would reasonably be expected to result in a Material Adverse Effect.</w:t>
      </w:r>
    </w:p>
    <w:p>
      <w:pPr>
        <w:spacing w:after="0" w:line="1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Neither the making of any Loan hereunder nor the use of the proceeds thereof will violate the provisions of Regulation T, U or X of the Board.</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Holdings, the Borrower, or any other Restricted Subsidiary is an “investment company” within the meaning of the Investment Company Act of 1940, as amended.</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69" w:lineRule="auto"/>
        <w:tabs>
          <w:tab w:leader="none" w:pos="102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None of the written factual information and written data (taken as a whole) heretofore or contemporaneously furnished by or on behalf of Holdings, the Borrower, any of the other Restricted Subsidiaries or any of their respective authorized representatives to the Administrative Agent, any Documentation Agent, Syndication Agent, any Joint Lead Arranger and Bookrunner,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Arial" w:cs="Arial" w:eastAsia="Arial" w:hAnsi="Arial"/>
          <w:sz w:val="17"/>
          <w:szCs w:val="17"/>
          <w:u w:val="single" w:color="auto"/>
          <w:color w:val="auto"/>
        </w:rPr>
        <w:t>Section 8.8(a)</w:t>
      </w:r>
      <w:r>
        <w:rPr>
          <w:rFonts w:ascii="Arial" w:cs="Arial" w:eastAsia="Arial" w:hAnsi="Arial"/>
          <w:sz w:val="17"/>
          <w:szCs w:val="17"/>
          <w:color w:val="auto"/>
        </w:rPr>
        <w:t xml:space="preserve">, such factual information and data shall not include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financial information, projections, estimates (including financial estimates, forecasts, and other forward-looking information) or other forward looking information and information of a general economic or general industry nature.</w:t>
      </w:r>
    </w:p>
    <w:p>
      <w:pPr>
        <w:spacing w:after="0" w:line="185" w:lineRule="exact"/>
        <w:rPr>
          <w:rFonts w:ascii="Arial" w:cs="Arial" w:eastAsia="Arial" w:hAnsi="Arial"/>
          <w:sz w:val="17"/>
          <w:szCs w:val="17"/>
          <w:color w:val="auto"/>
        </w:rPr>
      </w:pPr>
    </w:p>
    <w:p>
      <w:pPr>
        <w:ind w:right="460" w:firstLine="656"/>
        <w:spacing w:after="0" w:line="277" w:lineRule="auto"/>
        <w:tabs>
          <w:tab w:leader="none" w:pos="103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projections (including financial estimates, forecasts, and other forward-looking information) contained in the information and data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were based on good faith estimates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200" w:lineRule="exact"/>
        <w:rPr>
          <w:sz w:val="20"/>
          <w:szCs w:val="20"/>
          <w:color w:val="auto"/>
        </w:rPr>
      </w:pPr>
    </w:p>
    <w:p>
      <w:pPr>
        <w:spacing w:after="0" w:line="3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84"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As of the Restatement Effective Date, the information included in the Beneficial Ownership Certification is true and correct in all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respects.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Financial Condition; Financial Statements</w:t>
      </w:r>
      <w:r>
        <w:rPr>
          <w:rFonts w:ascii="Arial" w:cs="Arial" w:eastAsia="Arial" w:hAnsi="Arial"/>
          <w:sz w:val="16"/>
          <w:szCs w:val="16"/>
          <w:color w:val="auto"/>
        </w:rPr>
        <w:t>.</w:t>
      </w:r>
    </w:p>
    <w:p>
      <w:pPr>
        <w:spacing w:after="0" w:line="225" w:lineRule="exact"/>
        <w:rPr>
          <w:sz w:val="20"/>
          <w:szCs w:val="20"/>
          <w:color w:val="auto"/>
        </w:rPr>
      </w:pPr>
    </w:p>
    <w:p>
      <w:pPr>
        <w:ind w:right="380" w:firstLine="656"/>
        <w:spacing w:after="0" w:line="301" w:lineRule="auto"/>
        <w:tabs>
          <w:tab w:leader="none" w:pos="102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 The unaudited historical consolidated financial information of Holdings set forth in the Lender Presentation, and (ii) the Historical Financial Statements, in each case present fairly in all material respects the combined financial position of Holdings at the respective dates of said information, statements and results of operations for the respective periods covered thereby. The financial statements referred to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have been prepared in accordance with GAAP consistently applied except to the extent provided in the notes to said financial statements.</w:t>
      </w:r>
    </w:p>
    <w:p>
      <w:pPr>
        <w:spacing w:after="0" w:line="157" w:lineRule="exact"/>
        <w:rPr>
          <w:rFonts w:ascii="Arial" w:cs="Arial" w:eastAsia="Arial" w:hAnsi="Arial"/>
          <w:sz w:val="16"/>
          <w:szCs w:val="16"/>
          <w:color w:val="auto"/>
        </w:rPr>
      </w:pPr>
    </w:p>
    <w:p>
      <w:pPr>
        <w:ind w:right="260" w:firstLine="656"/>
        <w:spacing w:after="0" w:line="301" w:lineRule="auto"/>
        <w:tabs>
          <w:tab w:leader="none" w:pos="103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There has been no Material Adverse Effect since the Restatement Effective Date</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auto"/>
        </w:rPr>
        <w:t xml:space="preserve"> </w:t>
      </w:r>
      <w:r>
        <w:rPr>
          <w:rFonts w:ascii="Arial" w:cs="Arial" w:eastAsia="Arial" w:hAnsi="Arial"/>
          <w:sz w:val="16"/>
          <w:szCs w:val="16"/>
          <w:color w:val="FF0000"/>
          <w:strike w:val="1"/>
        </w:rPr>
        <w:t>that, until the last day of Holdings fourth fiscal</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quarter of its 2021 fiscal year, the facts, circumstances and conditions relating to Holdings and its Subsidiaries that (i) exist on the Amendment No. 1 Effective Date, (ii) have been disclosed to the Lenders </w:t>
      </w:r>
      <w:r>
        <w:rPr>
          <w:rFonts w:ascii="Arial" w:cs="Arial" w:eastAsia="Arial" w:hAnsi="Arial"/>
          <w:sz w:val="16"/>
          <w:szCs w:val="16"/>
          <w:color w:val="008000"/>
          <w:strike w:val="1"/>
        </w:rPr>
        <w:t>prior to the Amendment No.</w:t>
      </w:r>
      <w:r>
        <w:rPr>
          <w:rFonts w:ascii="Arial" w:cs="Arial" w:eastAsia="Arial" w:hAnsi="Arial"/>
          <w:sz w:val="16"/>
          <w:szCs w:val="16"/>
          <w:color w:val="FF0000"/>
          <w:strike w:val="1"/>
        </w:rPr>
        <w:t xml:space="preserve"> 1 Effective Date and (iii) have resulted solely and directly from the outbreak of Covid-19 shall, for purposes of this representation and warranty, be deemed to have existed on the Restatement Effective Date.</w:t>
      </w:r>
      <w:r>
        <w:rPr>
          <w:rFonts w:ascii="Arial" w:cs="Arial" w:eastAsia="Arial" w:hAnsi="Arial"/>
          <w:sz w:val="16"/>
          <w:szCs w:val="16"/>
          <w:u w:val="single" w:color="auto"/>
          <w:color w:val="0000FF"/>
          <w:strike w:val="1"/>
        </w:rPr>
        <w:t>.</w:t>
      </w:r>
    </w:p>
    <w:p>
      <w:pPr>
        <w:spacing w:after="0" w:line="1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Each Lender and the Administrative Agent hereby acknowledges and agrees that Holdings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Compliance with Laws; No Default</w:t>
      </w:r>
      <w:r>
        <w:rPr>
          <w:rFonts w:ascii="Arial" w:cs="Arial" w:eastAsia="Arial" w:hAnsi="Arial"/>
          <w:sz w:val="16"/>
          <w:szCs w:val="16"/>
          <w:color w:val="auto"/>
        </w:rPr>
        <w:t>. Each Credit Party is in compliance with all Requirements of Law applicable to it or its property, except where the failure to be in compliance would not reasonably be expected to result in a Material Adverse Effect. No Default has occurred and is continuing.</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Anti-Corruption, Sanctions and Anti-Money Laundering Compliance</w:t>
      </w:r>
      <w:r>
        <w:rPr>
          <w:rFonts w:ascii="Arial" w:cs="Arial" w:eastAsia="Arial" w:hAnsi="Arial"/>
          <w:sz w:val="17"/>
          <w:szCs w:val="17"/>
          <w:color w:val="auto"/>
        </w:rPr>
        <w:t>. The Credit Parties have instituted and maintained policies and procedures reasonably designed to promote and achieve compliance with Anti-Corruption Laws and Sanctions and each Credit Party, their respective Subsidiaries, and to the knowledge of each Credit Party, their respective Related Parties, are in compliance, in all material respects, with Anti-Corruption Laws, Sanctions, the Trading with the Enemy Act, as amended and Anti-Money Laundering Laws. None of the Credit Parties, their respective Subsidiaries, and to the knowledge of the Credit Parties, their respective Related Parties, is (a) the subject or target of Sanctions, (b) included on List of Specially Designated Nationals by the United States Treasury Department’s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or any similar list enforced by any other relevant sanctions authority or (c) is located, organized or resident in a Designated Jurisdiction. No Borrowing or Letter of Credit, use of proceeds or other transaction contemplated by this Agreement will violate any Anti-Corruption Law or applicable Sanctions.</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Tax Matters</w:t>
      </w:r>
      <w:r>
        <w:rPr>
          <w:rFonts w:ascii="Arial" w:cs="Arial" w:eastAsia="Arial" w:hAnsi="Arial"/>
          <w:sz w:val="16"/>
          <w:szCs w:val="16"/>
          <w:color w:val="auto"/>
        </w:rPr>
        <w:t>. Except as would not reasonably be expected to have a Material Adverse Effect, (a) each of Holdings, the Borrower and each of the other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Holdings, the Borrower or such Restricted Subsidiary, as applicable) with respect thereto in accordance with GAAP and (b) each of Holdings, the Borrower and each of the Restricted Subsidiaries has paid, or has provided adequate reserves (in the good faith judgment of management of Holdings, the Borrower or such Restricted Subsidiary, as applicable) in accordance with GAAP for the payment of all Taxes not yet due and payable. There is no current or proposed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3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assessment, deficiency or other claim against Holdings, the Borrower or any Restricted Subsidiary that would reasonably be expected to result in a Material Adverse Effect.</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Compliance with ERISA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Except as would not reasonably be expected to have a Material Adverse Effect, no ERISA Event has occurred or is reasonably expected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1040" w:hanging="384"/>
        <w:spacing w:after="0"/>
        <w:tabs>
          <w:tab w:leader="none" w:pos="10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no Foreign Plan Event has occurred or is reasonably expected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occur.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8.14</w:t>
      </w:r>
      <w:r>
        <w:rPr>
          <w:rFonts w:ascii="Arial" w:cs="Arial" w:eastAsia="Arial" w:hAnsi="Arial"/>
          <w:sz w:val="18"/>
          <w:szCs w:val="18"/>
          <w:color w:val="auto"/>
        </w:rPr>
        <w:t xml:space="preserve"> lists each Subsidiary of Holdings and the Borrower (and the direct and indirect ownership interest of Holdings and the Borrower therein), in each case existing on the Restatement Effective Date.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Holdings, the Borrower and the other Restricted Subsidiaries owns or has the right to use all Intellectual Property that is used in or otherwise necessary for the operation of their respective businesses as currently conducted, except where the failure of the foregoing would not reasonably be expected to have a Material Adverse Effect. The operation of their respective businesses by each of Holdings, the Borrower, and the other Restricted Subsidiaries does not infringe upon, misappropriate, violate or otherwise conflict with the Intellectual Property of any third party, except as would not reasonably be expected to have a Material Adverse Effect.</w:t>
      </w:r>
    </w:p>
    <w:p>
      <w:pPr>
        <w:spacing w:after="0" w:line="17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91" w:lineRule="auto"/>
        <w:tabs>
          <w:tab w:leader="none" w:pos="102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8.16</w:t>
      </w:r>
      <w:r>
        <w:rPr>
          <w:rFonts w:ascii="Arial" w:cs="Arial" w:eastAsia="Arial" w:hAnsi="Arial"/>
          <w:sz w:val="16"/>
          <w:szCs w:val="16"/>
          <w:color w:val="auto"/>
        </w:rPr>
        <w:t>, or as would not reasonably be expected to have a Material Adverse Effect: (i) each of Holdings, the Borrower, and the other Restricted Subsidiaries and their respective operations and properties are in compliance with all applicable Environmental Laws;</w:t>
      </w:r>
    </w:p>
    <w:p>
      <w:pPr>
        <w:ind w:right="60" w:firstLine="8"/>
        <w:spacing w:after="0" w:line="253" w:lineRule="auto"/>
        <w:tabs>
          <w:tab w:leader="none" w:pos="26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none of Holdings, the Borrower, or any other Restricted Subsidiary has received written notice of any Environmental Claim; (iii) none of Holdings,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Holdings, the Borrower or any of the Restricted Subsidiaries.</w:t>
      </w:r>
    </w:p>
    <w:p>
      <w:pPr>
        <w:spacing w:after="0" w:line="190" w:lineRule="exact"/>
        <w:rPr>
          <w:rFonts w:ascii="Arial" w:cs="Arial" w:eastAsia="Arial" w:hAnsi="Arial"/>
          <w:sz w:val="18"/>
          <w:szCs w:val="18"/>
          <w:color w:val="auto"/>
        </w:rPr>
      </w:pPr>
    </w:p>
    <w:p>
      <w:pPr>
        <w:jc w:val="both"/>
        <w:ind w:right="240" w:firstLine="656"/>
        <w:spacing w:after="0" w:line="279" w:lineRule="auto"/>
        <w:tabs>
          <w:tab w:leader="none" w:pos="1038"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8.16</w:t>
      </w:r>
      <w:r>
        <w:rPr>
          <w:rFonts w:ascii="Arial" w:cs="Arial" w:eastAsia="Arial" w:hAnsi="Arial"/>
          <w:sz w:val="17"/>
          <w:szCs w:val="17"/>
          <w:color w:val="auto"/>
        </w:rPr>
        <w:t>, none of Holdings,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5"/>
          <w:szCs w:val="15"/>
          <w:u w:val="single" w:color="auto"/>
          <w:color w:val="auto"/>
        </w:rPr>
        <w:t>Properties</w:t>
      </w:r>
      <w:r>
        <w:rPr>
          <w:rFonts w:ascii="Arial" w:cs="Arial" w:eastAsia="Arial" w:hAnsi="Arial"/>
          <w:sz w:val="15"/>
          <w:szCs w:val="15"/>
          <w:color w:val="auto"/>
        </w:rPr>
        <w:t>.</w:t>
      </w:r>
    </w:p>
    <w:p>
      <w:pPr>
        <w:spacing w:after="0" w:line="225" w:lineRule="exact"/>
        <w:rPr>
          <w:sz w:val="20"/>
          <w:szCs w:val="20"/>
          <w:color w:val="auto"/>
        </w:rPr>
      </w:pPr>
    </w:p>
    <w:p>
      <w:pPr>
        <w:ind w:right="60" w:firstLine="656"/>
        <w:spacing w:after="0" w:line="293" w:lineRule="auto"/>
        <w:tabs>
          <w:tab w:leader="none" w:pos="102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Each of Holdings, the Borrower, and the other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(b) no Mortgage encumbers improved Real Estate that is located in an area that has been identified by the Secretary of Housing and Urban Development as an area having special flood hazards within the meaning of the National Flood Insurance Act of 1968, as amended, unless flood insurance available under such act has been obtained in accordance with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p>
    <w:p>
      <w:pPr>
        <w:spacing w:after="0" w:line="322" w:lineRule="exact"/>
        <w:rPr>
          <w:sz w:val="20"/>
          <w:szCs w:val="20"/>
          <w:color w:val="auto"/>
        </w:rPr>
      </w:pPr>
    </w:p>
    <w:p>
      <w:pPr>
        <w:ind w:right="440" w:firstLine="656"/>
        <w:spacing w:after="0" w:line="277" w:lineRule="auto"/>
        <w:tabs>
          <w:tab w:leader="none" w:pos="103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is a list of each real property owned by any Credit Party as of the Restatement Effective Date having a Fair Market Value in excess of $20,000,000.</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Solvency</w:t>
      </w:r>
      <w:r>
        <w:rPr>
          <w:rFonts w:ascii="Arial" w:cs="Arial" w:eastAsia="Arial" w:hAnsi="Arial"/>
          <w:sz w:val="17"/>
          <w:szCs w:val="17"/>
          <w:color w:val="auto"/>
        </w:rPr>
        <w:t>. On the Restatement Effective Date (after giving effect to the Transactions) immediately following the making of the Loans and after giving effect to the application of the proceeds of such Loans, Holdings on a consolidated basis with its Subsidiaries will be Solvent.</w:t>
      </w:r>
    </w:p>
    <w:p>
      <w:pPr>
        <w:spacing w:after="0" w:line="14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8.19</w:t>
      </w:r>
      <w:r>
        <w:rPr>
          <w:sz w:val="20"/>
          <w:szCs w:val="20"/>
          <w:color w:val="auto"/>
        </w:rPr>
        <w:tab/>
      </w:r>
      <w:r>
        <w:rPr>
          <w:rFonts w:ascii="Arial" w:cs="Arial" w:eastAsia="Arial" w:hAnsi="Arial"/>
          <w:sz w:val="16"/>
          <w:szCs w:val="16"/>
          <w:u w:val="single" w:color="auto"/>
          <w:color w:val="auto"/>
        </w:rPr>
        <w:t>Patriot Act</w:t>
      </w:r>
      <w:r>
        <w:rPr>
          <w:rFonts w:ascii="Arial" w:cs="Arial" w:eastAsia="Arial" w:hAnsi="Arial"/>
          <w:sz w:val="16"/>
          <w:szCs w:val="16"/>
          <w:color w:val="auto"/>
        </w:rPr>
        <w:t>. On the Restatement Effective Date, the use of proceeds of the Loans will not violate the PATRIOT Act in any material respect.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8.20</w:t>
      </w:r>
      <w:r>
        <w:rPr>
          <w:sz w:val="20"/>
          <w:szCs w:val="20"/>
          <w:color w:val="auto"/>
        </w:rPr>
        <w:tab/>
      </w:r>
      <w:r>
        <w:rPr>
          <w:rFonts w:ascii="Arial" w:cs="Arial" w:eastAsia="Arial" w:hAnsi="Arial"/>
          <w:sz w:val="16"/>
          <w:szCs w:val="16"/>
          <w:u w:val="single" w:color="auto"/>
          <w:color w:val="auto"/>
        </w:rPr>
        <w:t>EEA Financial Institutions</w:t>
      </w:r>
      <w:r>
        <w:rPr>
          <w:rFonts w:ascii="Arial" w:cs="Arial" w:eastAsia="Arial" w:hAnsi="Arial"/>
          <w:sz w:val="16"/>
          <w:szCs w:val="16"/>
          <w:color w:val="auto"/>
        </w:rPr>
        <w:t>. No Credit Party is an Affected Financial Institution.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color w:val="auto"/>
        </w:rPr>
        <w:t>Affirmative Covenants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Each of Holdings and the Borrower hereby covenants and agrees that on the Restatement Effective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Information Covenants</w:t>
      </w:r>
      <w:r>
        <w:rPr>
          <w:rFonts w:ascii="Arial" w:cs="Arial" w:eastAsia="Arial" w:hAnsi="Arial"/>
          <w:sz w:val="18"/>
          <w:szCs w:val="18"/>
          <w:color w:val="auto"/>
        </w:rPr>
        <w:t>. The Borrower will furnish to the Administrative Agent (which shall promptly make such information available to the Lenders in accordance with its customary practice):</w:t>
      </w:r>
    </w:p>
    <w:p>
      <w:pPr>
        <w:spacing w:after="0" w:line="170" w:lineRule="exact"/>
        <w:rPr>
          <w:sz w:val="20"/>
          <w:szCs w:val="20"/>
          <w:color w:val="auto"/>
        </w:rPr>
      </w:pPr>
    </w:p>
    <w:p>
      <w:pPr>
        <w:ind w:left="660" w:right="120" w:firstLine="644"/>
        <w:spacing w:after="0" w:line="269" w:lineRule="auto"/>
        <w:tabs>
          <w:tab w:leader="none" w:pos="1687"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(commencing with the fiscal year ending December 28, 2019), the consolidated balance sheets of Holdings and the Restricted Subsidiaries as at the end of each fiscal year, and the related consolidated statements of operations and cash flows for such fiscal year, setting forth comparative consolidated and/or combined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Holdings or any of the Material Subsidiaries (or group of Subsidiaries that together would constitute a Material Subsidiary) as a going concern (other than any exception, explanatory paragraph or qualification, that is expressly solely with respect to, or expressly resulting solely from, (i) an upcoming maturity date under any Indebtedness occurring within one year from the time such opinion is delivered or (ii) any potential inability to satisfy a financial maintenance covenant on a future date or in a future period).</w:t>
      </w:r>
    </w:p>
    <w:p>
      <w:pPr>
        <w:spacing w:after="0" w:line="181" w:lineRule="exact"/>
        <w:rPr>
          <w:rFonts w:ascii="Arial" w:cs="Arial" w:eastAsia="Arial" w:hAnsi="Arial"/>
          <w:sz w:val="17"/>
          <w:szCs w:val="17"/>
          <w:color w:val="auto"/>
        </w:rPr>
      </w:pPr>
    </w:p>
    <w:p>
      <w:pPr>
        <w:ind w:left="660" w:right="60" w:firstLine="644"/>
        <w:spacing w:after="0" w:line="269" w:lineRule="auto"/>
        <w:tabs>
          <w:tab w:leader="none" w:pos="1698"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Holdings (or, if such financial statements are not required to be filed with the SEC, on or before the date that is 45 days after the end of each such quarterly accounting period), the consolidated balance sheets of Holdings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September 30, 2019 setting forth comparative consolidated and/or combined figures for the related periods in the prior fiscal year or, in the case of such consolidated balance sheet, for the last day of the related period in the prior fiscal year, all of which shall be certified by an Authorized Officer of Holdings as fairly presenting in all material respects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3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condition, results of operations and cash flows of Holdings and its Restricted Subsidiaries in accordance with GAAP (except as noted therein), subject to changes resulting from normal year-end adjustments and the absence of footnotes, and, with respect to fiscal 2014 reporting periods, subject to finalization of the purchase price allocation to the fair value of assets acquired and liabilities assumed in the Transactions, as required by GAAP.</w:t>
      </w:r>
    </w:p>
    <w:p>
      <w:pPr>
        <w:spacing w:after="0" w:line="187" w:lineRule="exact"/>
        <w:rPr>
          <w:sz w:val="20"/>
          <w:szCs w:val="20"/>
          <w:color w:val="auto"/>
        </w:rPr>
      </w:pPr>
    </w:p>
    <w:p>
      <w:pPr>
        <w:ind w:firstLine="644"/>
        <w:spacing w:after="0" w:line="269" w:lineRule="auto"/>
        <w:tabs>
          <w:tab w:leader="none" w:pos="1027"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Budgets</w:t>
      </w:r>
      <w:r>
        <w:rPr>
          <w:rFonts w:ascii="Arial" w:cs="Arial" w:eastAsia="Arial" w:hAnsi="Arial"/>
          <w:sz w:val="17"/>
          <w:szCs w:val="17"/>
          <w:color w:val="auto"/>
        </w:rPr>
        <w:t xml:space="preserve">. In the event that Holdings (or any Parent Entity) ceases to provide public guidance or provides public guidance that is substantially less in scope than the most recent annual guidance provided by National Vision Holdings, Inc. prior to the Restatement Effective Date, within 90 days after the commencement of each fiscal year of Holdings, a budget of Holdings in reasonable detail on an annual basis for such fiscal year as customarily prepared by management of Holdings for its internal use consistent in scope with the financial statements provided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setting forth the principal assumptions upon which such budget is based (collectively, the “</w:t>
      </w:r>
      <w:r>
        <w:rPr>
          <w:rFonts w:ascii="Arial" w:cs="Arial" w:eastAsia="Arial" w:hAnsi="Arial"/>
          <w:sz w:val="17"/>
          <w:szCs w:val="17"/>
          <w:b w:val="1"/>
          <w:bCs w:val="1"/>
          <w:color w:val="auto"/>
        </w:rPr>
        <w:t>Projections</w:t>
      </w:r>
      <w:r>
        <w:rPr>
          <w:rFonts w:ascii="Arial" w:cs="Arial" w:eastAsia="Arial" w:hAnsi="Arial"/>
          <w:sz w:val="17"/>
          <w:szCs w:val="17"/>
          <w:color w:val="auto"/>
        </w:rPr>
        <w:t>”), which Projections shall in each case be accompanied by a certificate of an Authorized Officer of Holdings or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and that actual results during the period or periods covered by any such Projections may differ from the projected results and such differences may be material.</w:t>
      </w:r>
    </w:p>
    <w:p>
      <w:pPr>
        <w:spacing w:after="0" w:line="185" w:lineRule="exact"/>
        <w:rPr>
          <w:rFonts w:ascii="Arial" w:cs="Arial" w:eastAsia="Arial" w:hAnsi="Arial"/>
          <w:sz w:val="17"/>
          <w:szCs w:val="17"/>
          <w:color w:val="auto"/>
        </w:rPr>
      </w:pPr>
    </w:p>
    <w:p>
      <w:pPr>
        <w:ind w:right="40" w:firstLine="644"/>
        <w:spacing w:after="0" w:line="287" w:lineRule="auto"/>
        <w:tabs>
          <w:tab w:leader="none" w:pos="1038"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Officer’s Certificates</w:t>
      </w:r>
      <w:r>
        <w:rPr>
          <w:rFonts w:ascii="Arial" w:cs="Arial" w:eastAsia="Arial" w:hAnsi="Arial"/>
          <w:sz w:val="16"/>
          <w:szCs w:val="16"/>
          <w:color w:val="auto"/>
        </w:rPr>
        <w:t xml:space="preserve">. Not later than five days after the delivery of the financial statements provided for in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 certificate of an Authorized Officer of Holdings or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(ii) the reasonably detailed calculation of the then applicable financial maintenance covenants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At the time of the delivery of the financial statements provided for in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 certificate of an Authorized Officer of Holdings or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as the case may be.</w:t>
      </w:r>
    </w:p>
    <w:p>
      <w:pPr>
        <w:spacing w:after="0" w:line="171" w:lineRule="exact"/>
        <w:rPr>
          <w:rFonts w:ascii="Arial" w:cs="Arial" w:eastAsia="Arial" w:hAnsi="Arial"/>
          <w:sz w:val="16"/>
          <w:szCs w:val="16"/>
          <w:color w:val="auto"/>
        </w:rPr>
      </w:pPr>
    </w:p>
    <w:p>
      <w:pPr>
        <w:ind w:right="260" w:firstLine="644"/>
        <w:spacing w:after="0" w:line="257" w:lineRule="auto"/>
        <w:tabs>
          <w:tab w:leader="none" w:pos="1027"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Notice of Default or Litigation</w:t>
      </w:r>
      <w:r>
        <w:rPr>
          <w:rFonts w:ascii="Arial" w:cs="Arial" w:eastAsia="Arial" w:hAnsi="Arial"/>
          <w:sz w:val="18"/>
          <w:szCs w:val="18"/>
          <w:color w:val="auto"/>
        </w:rPr>
        <w:t>. Promptly after an Authorized Officer of Holdings or any of the Restricted Subsidiaries obtains knowledge thereof, notice of (i) the occurrence of any event that constitutes a Default or Event of Default, which notice shall specify the nature thereof, the period of existence thereof and what action Holdings proposes to take with respect thereto and (ii) any litigation or governmental proceeding pending against Holdings or any of the Subsidiaries that would reasonably be expected to be determined adversely and, if so determined, to result in a Material Adverse Effect.</w:t>
      </w:r>
    </w:p>
    <w:p>
      <w:pPr>
        <w:spacing w:after="0" w:line="187" w:lineRule="exact"/>
        <w:rPr>
          <w:rFonts w:ascii="Arial" w:cs="Arial" w:eastAsia="Arial" w:hAnsi="Arial"/>
          <w:sz w:val="18"/>
          <w:szCs w:val="18"/>
          <w:color w:val="auto"/>
        </w:rPr>
      </w:pPr>
    </w:p>
    <w:p>
      <w:pPr>
        <w:ind w:right="200" w:firstLine="644"/>
        <w:spacing w:after="0" w:line="263" w:lineRule="auto"/>
        <w:tabs>
          <w:tab w:leader="none" w:pos="100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Promptly after an Authorized Officer of Holdings or any of the Restricted Subsidiaries obtains knowledge of any one or more of the following environmental matters, unless such environmental matters would not reasonably be expected to result in a Material Adverse Effect, notice of:</w:t>
      </w:r>
    </w:p>
    <w:p>
      <w:pPr>
        <w:spacing w:after="0" w:line="183" w:lineRule="exact"/>
        <w:rPr>
          <w:rFonts w:ascii="Arial" w:cs="Arial" w:eastAsia="Arial" w:hAnsi="Arial"/>
          <w:sz w:val="18"/>
          <w:szCs w:val="18"/>
          <w:color w:val="auto"/>
        </w:rPr>
      </w:pPr>
    </w:p>
    <w:p>
      <w:pPr>
        <w:ind w:left="1900" w:hanging="349"/>
        <w:spacing w:after="0"/>
        <w:tabs>
          <w:tab w:leader="none" w:pos="19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pending or threatened Environmental Claim against any Credit Party or any Real Estate;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580"/>
          </w:cols>
          <w:pgMar w:left="980" w:top="1440" w:right="339" w:bottom="1440" w:gutter="0" w:footer="0" w:header="0"/>
        </w:sectPr>
      </w:pPr>
    </w:p>
    <w:bookmarkStart w:id="142" w:name="page143"/>
    <w:bookmarkEnd w:id="142"/>
    <w:p>
      <w:pPr>
        <w:spacing w:after="0" w:line="200" w:lineRule="exact"/>
        <w:rPr>
          <w:sz w:val="20"/>
          <w:szCs w:val="20"/>
          <w:color w:val="auto"/>
        </w:rPr>
      </w:pPr>
    </w:p>
    <w:p>
      <w:pPr>
        <w:spacing w:after="0" w:line="322" w:lineRule="exact"/>
        <w:rPr>
          <w:sz w:val="20"/>
          <w:szCs w:val="20"/>
          <w:color w:val="auto"/>
        </w:rPr>
      </w:pPr>
    </w:p>
    <w:p>
      <w:pPr>
        <w:ind w:left="1300" w:right="20" w:firstLine="911"/>
        <w:spacing w:after="0" w:line="277" w:lineRule="auto"/>
        <w:tabs>
          <w:tab w:leader="none" w:pos="260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17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All such notices shall describe in reasonable detail the nature of the claim, investigation or removal, remedial or other corrective action in response thereto. The term “</w:t>
      </w:r>
      <w:r>
        <w:rPr>
          <w:rFonts w:ascii="Arial" w:cs="Arial" w:eastAsia="Arial" w:hAnsi="Arial"/>
          <w:sz w:val="17"/>
          <w:szCs w:val="17"/>
          <w:b w:val="1"/>
          <w:bCs w:val="1"/>
          <w:color w:val="auto"/>
        </w:rPr>
        <w:t>Real Estate</w:t>
      </w:r>
      <w:r>
        <w:rPr>
          <w:rFonts w:ascii="Arial" w:cs="Arial" w:eastAsia="Arial" w:hAnsi="Arial"/>
          <w:sz w:val="17"/>
          <w:szCs w:val="17"/>
          <w:color w:val="auto"/>
        </w:rPr>
        <w:t>” shall mean land, buildings, facilities and improvements owned or leased by any Credit Party.</w:t>
      </w:r>
    </w:p>
    <w:p>
      <w:pPr>
        <w:spacing w:after="0" w:line="146" w:lineRule="exact"/>
        <w:rPr>
          <w:sz w:val="20"/>
          <w:szCs w:val="20"/>
          <w:color w:val="auto"/>
        </w:rPr>
      </w:pPr>
    </w:p>
    <w:p>
      <w:pPr>
        <w:ind w:left="660" w:firstLine="644"/>
        <w:spacing w:after="0" w:line="286" w:lineRule="auto"/>
        <w:tabs>
          <w:tab w:leader="none" w:pos="1698"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xml:space="preserve">.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Holdings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Holdings or any of the Restricted Subsidiaries shall send to the holders of any publicly issued debt of Holdings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(including, without limitation, information and documentation reasonably requested by the Administrative Agent or any Lender for purposes of compliance with applicable “know your customer” requirements under the PATRIOT Act or other applicable anti-money laundering laws); </w:t>
      </w:r>
      <w:r>
        <w:rPr>
          <w:rFonts w:ascii="Arial" w:cs="Arial" w:eastAsia="Arial" w:hAnsi="Arial"/>
          <w:sz w:val="16"/>
          <w:szCs w:val="16"/>
          <w:u w:val="single" w:color="auto"/>
          <w:color w:val="auto"/>
        </w:rPr>
        <w:t>provided</w:t>
      </w:r>
      <w:r>
        <w:rPr>
          <w:rFonts w:ascii="Arial" w:cs="Arial" w:eastAsia="Arial" w:hAnsi="Arial"/>
          <w:sz w:val="16"/>
          <w:szCs w:val="16"/>
          <w:color w:val="auto"/>
        </w:rPr>
        <w:t>, that none of Holdings, the Borrower nor any other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or (iii) that is subject to attorney client or similar privilege or constitutes attorney work product.</w:t>
      </w:r>
    </w:p>
    <w:p>
      <w:pPr>
        <w:spacing w:after="0" w:line="167" w:lineRule="exact"/>
        <w:rPr>
          <w:rFonts w:ascii="Arial" w:cs="Arial" w:eastAsia="Arial" w:hAnsi="Arial"/>
          <w:sz w:val="16"/>
          <w:szCs w:val="16"/>
          <w:color w:val="auto"/>
        </w:rPr>
      </w:pPr>
    </w:p>
    <w:p>
      <w:pPr>
        <w:ind w:left="660" w:right="140" w:firstLine="644"/>
        <w:spacing w:after="0" w:line="286" w:lineRule="auto"/>
        <w:tabs>
          <w:tab w:leader="none" w:pos="169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Patriot Act/Beneficial Ownership Regulation.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Notwithstanding the foregoing, the obligations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may be satisfied with respect to financial information of Holdings and the Restricted Subsidiaries by furnishing (A) the applicable financial statements of the Borrower or any direct or indirect parent of Holdings or (B) Holdings’ (or any direct or indirect parent thereof), as applicable, Form 10-K or 10-Q, as applicable, filed with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of </w:t>
      </w:r>
      <w:r>
        <w:rPr>
          <w:rFonts w:ascii="Arial" w:cs="Arial" w:eastAsia="Arial" w:hAnsi="Arial"/>
          <w:sz w:val="17"/>
          <w:szCs w:val="17"/>
          <w:u w:val="single" w:color="auto"/>
          <w:color w:val="auto"/>
        </w:rPr>
        <w:t>subclauses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paragraph, to the extent such information relates to a parent of Holdings, such information is accompanied by consolidating or other information that explains in reasonable detail the differences between the information relating to such parent, on the one hand, and the information relating to Holdings and the Restricted Subsidiaries on a standalone basis, on the other hand.</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earliest date on which (i) Holdings posts such documents, or provides a link thereto on Holdings’ website on the Internet; (ii) such documents are posted on Holdings’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Borrower shall, at the request of the Administrative Agent, continue to deliver copies (which delivery may be by electronic transmission ) of such documents to the Administrative Agent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0" w:lineRule="exact"/>
        <w:rPr>
          <w:sz w:val="20"/>
          <w:szCs w:val="20"/>
          <w:color w:val="auto"/>
        </w:rPr>
      </w:pPr>
    </w:p>
    <w:p>
      <w:pPr>
        <w:spacing w:after="0" w:line="322"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16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Each Credit Party hereby acknowledges and agrees that, unless the Borrower notifies the Administrative Agent in advance, all financial statements and certificates furnished pursuant to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16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 xml:space="preserve">. Holdings will, and will cause each Restricted Subsidiary to, permit officers and designated representatives of the Administrative Agent or the Required Lenders to visit and inspect any of the properties or assets of Holdings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Holdings and any such Subsidiary and discuss the affairs, finances and accounts of Holdings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Default,</w:t>
      </w:r>
    </w:p>
    <w:p>
      <w:pPr>
        <w:spacing w:after="0" w:line="1" w:lineRule="exact"/>
        <w:rPr>
          <w:sz w:val="20"/>
          <w:szCs w:val="20"/>
          <w:color w:val="auto"/>
        </w:rPr>
      </w:pPr>
    </w:p>
    <w:p>
      <w:pPr>
        <w:ind w:right="60" w:firstLine="8"/>
        <w:spacing w:after="0" w:line="281" w:lineRule="auto"/>
        <w:tabs>
          <w:tab w:leader="none" w:pos="24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only the Administrative Agent on behalf of the Required Lenders may exercise rights of the Administrative Agent and the Lenders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(b) the Administrative Agent shall not exercise such rights more than one time in any calendar year, which such visit will be at Holdings’ expense, and</w:t>
      </w:r>
    </w:p>
    <w:p>
      <w:pPr>
        <w:spacing w:after="0" w:line="1" w:lineRule="exact"/>
        <w:rPr>
          <w:rFonts w:ascii="Arial" w:cs="Arial" w:eastAsia="Arial" w:hAnsi="Arial"/>
          <w:sz w:val="16"/>
          <w:szCs w:val="16"/>
          <w:color w:val="auto"/>
        </w:rPr>
      </w:pPr>
    </w:p>
    <w:p>
      <w:pPr>
        <w:ind w:firstLine="8"/>
        <w:spacing w:after="0" w:line="268" w:lineRule="auto"/>
        <w:tabs>
          <w:tab w:leader="none" w:pos="24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none of Holdings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when an Event of Default exists, the Administrative Agent (or any of its respective representatives or independent contractors) or any representative of the Required Lenders may do any of the foregoing at the expense of Holdings at any time during normal business hours and upon reasonable advance notice. The Administrative Agent and the Required Lenders shall give Holdings the opportunity to participate in any discussions with Holdings’ independent public accountants.</w:t>
      </w:r>
    </w:p>
    <w:p>
      <w:pPr>
        <w:spacing w:after="0" w:line="1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(a) Holdings will, and will cause each Material Subsidiary to, at all times maintain in full force and effect, pursuant to self-insurance arrangements or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the availability of insurance on a cost-effective basis) and against at least such risks (and with such risk retentions) as Holdings believes (in the good faith judgment of management of Holdings)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Holdings will obtain flood insurance in such total amount as may reasonably be required by the Collateral Agent but in any event in the minimum amount as required by law, if at any time the area in which any improvements located on any Mortgaged Property is designated a “special flood hazard area” in any Flood Insurance Rate Map published by the Federal Emergency Management Agency (or any successor agency), and otherwise comply with the National Flood Insurance Program as set forth in the Flood Disaster Protection Act of 1973, as amended from time to time. Each such policy of insurance shall (i) name the Collateral Agent, on behalf of the Secured Parties as an additional insured thereunder as its interests may appear and (ii)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case of each casualty insurance policy, contain a loss payable clause or endorsement that names the Collateral Agent, on behalf of the Secured Parties as the loss payee thereunder.</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Holdings will pay and discharge, and will cause each of the Restricted Subsidiaries to pay and discharge, all material Taxes imposed upon it (including in its capacity as a withholding agent)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any properties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Holdings nor any of the Restricted Subsidiaries shall be required to pay any such Tax that is being contested in good faith and by proper proceedings if it has maintained adequate reserves (in the good faith judgment of management of Holdings) with respect thereto in accordance with GAAP and the failure to pay would not reasonably be expected to result in a Material Adverse Effect.</w:t>
      </w:r>
    </w:p>
    <w:p>
      <w:pPr>
        <w:spacing w:after="0" w:line="17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Preservation of Existence; Consolidated Corporate Franchises</w:t>
      </w:r>
      <w:r>
        <w:rPr>
          <w:rFonts w:ascii="Arial" w:cs="Arial" w:eastAsia="Arial" w:hAnsi="Arial"/>
          <w:sz w:val="17"/>
          <w:szCs w:val="17"/>
          <w:color w:val="auto"/>
        </w:rPr>
        <w:t xml:space="preserve">. Holdings and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Holdings and its Subsidiaries may consummate any transaction permitted under Permitted Investments and </w:t>
      </w:r>
      <w:r>
        <w:rPr>
          <w:rFonts w:ascii="Arial" w:cs="Arial" w:eastAsia="Arial" w:hAnsi="Arial"/>
          <w:sz w:val="17"/>
          <w:szCs w:val="17"/>
          <w:u w:val="single" w:color="auto"/>
          <w:color w:val="auto"/>
        </w:rPr>
        <w:t>Sections 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10.5</w:t>
      </w:r>
      <w:r>
        <w:rPr>
          <w:rFonts w:ascii="Arial" w:cs="Arial" w:eastAsia="Arial" w:hAnsi="Arial"/>
          <w:sz w:val="17"/>
          <w:szCs w:val="17"/>
          <w:color w:val="auto"/>
        </w:rPr>
        <w:t>.</w:t>
      </w:r>
    </w:p>
    <w:p>
      <w:pPr>
        <w:spacing w:after="0" w:line="17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Compliance with Statutes, Regulations, Etc.</w:t>
      </w:r>
      <w:r>
        <w:rPr>
          <w:rFonts w:ascii="Arial" w:cs="Arial" w:eastAsia="Arial" w:hAnsi="Arial"/>
          <w:sz w:val="16"/>
          <w:szCs w:val="16"/>
          <w:color w:val="auto"/>
        </w:rPr>
        <w:t xml:space="preserve"> Holdings will, and will cause each Restricted Subsidiary to, (a) comply with all applicable laws, rules, regulations, and orders applicable to it or its property, including, without limitation, applicable Sanctions and Anti-Corruption Laws,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9.6</w:t>
      </w:r>
      <w:r>
        <w:rPr>
          <w:rFonts w:ascii="Arial" w:cs="Arial" w:eastAsia="Arial" w:hAnsi="Arial"/>
          <w:sz w:val="16"/>
          <w:szCs w:val="16"/>
          <w:color w:val="auto"/>
        </w:rPr>
        <w:t>, where the failure to do so would not reasonably be expected to result in a Material Adverse Effect.</w:t>
      </w:r>
    </w:p>
    <w:p>
      <w:pPr>
        <w:spacing w:after="0" w:line="16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ERISA</w:t>
      </w:r>
      <w:r>
        <w:rPr>
          <w:rFonts w:ascii="Arial" w:cs="Arial" w:eastAsia="Arial" w:hAnsi="Arial"/>
          <w:sz w:val="16"/>
          <w:szCs w:val="16"/>
          <w:color w:val="auto"/>
        </w:rPr>
        <w:t xml:space="preserve">. (a) Holdings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and further provided, that the rights granted to the Administrative Agent in this Section shall be exercised not more than once during a 12-month period, and (b) Holdings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Holdings will, and will cause each of the Restricted Subsidiaries to, keep and maintain all property material to the conduct of its business in good working order and condition,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3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wear and tear, casualty, and condemnation excepted, except to the extent that the failure to do so would not reasonably be expected to have a Material Adverse Effect.</w:t>
      </w:r>
    </w:p>
    <w:p>
      <w:pPr>
        <w:spacing w:after="0" w:line="17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Holdings will conduct, and cause each of the Restricted Subsidiaries to conduct, all transactions with any of its Affiliates (other than Holdings and the Restricted Subsidiaries) involving aggregate payments or consideration in excess of $2,500,000 for any individual transaction or series of related transactions on terms that are at least substantially as favorable to Holdings or such Restricted Subsidiary as it would obtain in a comparable arm’s-length transaction with a Person that is not an Affiliate, as determined by the board of directors of Holdings or such Restricted Subsidiary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restrictions shall not apply to (a) the payment of fees for management, consulting, and financial services rendered to Holdings and the Restricted Subsidiaries and customary investment banking fees for services rendered to Holdings and the Subsidiaries in connection with divestitures, acquisitions, financings and other transactions which payments are approved by a majority of the board of directors of Holdings in good faith, (b) transactions permitted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(c) consummation of the Transactions and the payment of the Transaction Expenses, (d) the issuance of Capital Stock or Stock Equivalents of Holdings (or any direct or indirect parent thereof) or any of its Subsidiaries not otherwise prohibited by the Credit Documents, (e) loans, advances and other transactions between or among Holdings, any Restricted Subsidiary or any joint venture (regardless of the form of legal entity) in which Holdings or any Subsidiary has invested (and which Subsidiary or joint venture would not be an Affiliate of Holdings but for Holdings’ or a Subsidiary’s ownership of Capital Stock or Stock Equivalents in such joint venture or Subsidiary) to the extent permitted under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(f) employment and severance arrangements between Holdings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Holdings (and any direct or indirect parent thereof) and the Subsidiaries pursuant to the tax sharing agreements among Holdings (and any such parent) and the Subsidiaries that are permitted under </w:t>
      </w:r>
      <w:r>
        <w:rPr>
          <w:rFonts w:ascii="Arial" w:cs="Arial" w:eastAsia="Arial" w:hAnsi="Arial"/>
          <w:sz w:val="16"/>
          <w:szCs w:val="16"/>
          <w:u w:val="single" w:color="auto"/>
          <w:color w:val="auto"/>
        </w:rPr>
        <w:t>Section 10.5(b)(15)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in any fiscal year does not exceed the amount that Holdings, the Restricted Subsidiaries and the Unrestricted Subsidiaries (to the extent of the amount received from Unrestricted Subsidiaries) would have been required to pay in respect of such foreign, federal, state and/or local taxes for such fiscal year had Holdings, the Restricted Subsidiaries and the Unrestricted Subsidiaries (to the extent described above) paid such taxes separately from any such direct or indirect parent company of Holdings, (h) the payment of customary fees and reasonable out of pocket costs to, and indemnities provided on behalf of, directors, managers, consultants, officers, employees of Holdings (or any direct or indirect parent thereof) and the Subsidiaries in the ordinary course of business to the extent attributable to the ownership or operation of Holdings and the Subsidiaries, (i) transactions undertaken pursuant to membership in a purchasing consortium, (j) 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 Effective Date as determined by the Borrower in good faith), (k) customary payments by Holdings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provided that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spacing w:after="0" w:line="40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End of Fiscal Years</w:t>
      </w:r>
      <w:r>
        <w:rPr>
          <w:rFonts w:ascii="Arial" w:cs="Arial" w:eastAsia="Arial" w:hAnsi="Arial"/>
          <w:sz w:val="18"/>
          <w:szCs w:val="18"/>
          <w:color w:val="auto"/>
        </w:rPr>
        <w:t xml:space="preserve">. Holdings will, for financial reporting purposes, cause each of its, and each of the Restricted Subsidiaries’, fiscal years to end on dates consistent with past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Holdings may, upon written notice to the Administrative Agent change the financial reporting convention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3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above to (x) align the dates of such fiscal year and for any Restricted Subsidiary whose fiscal years end on dates different from those of Holdings or (y) any other financial reporting convention (including a change of fiscal year) reasonably acceptable (such consent not to be unreasonably withheld or delayed) to the Administrative Agent, in which case Holdings and the Administrative Agent will, and are hereby authorized by the Lenders to, make any adjustments to this Agreement that are necessary in order to reflect such change in financial reporting.</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Additional Guarantors and Grantors</w:t>
      </w:r>
      <w:r>
        <w:rPr>
          <w:rFonts w:ascii="Arial" w:cs="Arial" w:eastAsia="Arial" w:hAnsi="Arial"/>
          <w:sz w:val="16"/>
          <w:szCs w:val="16"/>
          <w:color w:val="auto"/>
        </w:rPr>
        <w:t xml:space="preserve">. Subject to any applicable limitations set forth in the Security Documents, Holdings will cause each direct or indirect Subsidiary (other than any Excluded Subsidiary) formed or otherwise purchased or acquired after the Restatement Effective Date (including pursuant to a Permitted Acquisition), and each other Subsidiary that ceases to constitute an Excluded Subsidiary, within 60 days from the date of such formation, acquisition or cessation, as applicable (or such longer period as the Administrative Agent may agree in its reasonable discretion), and Holdings may at its option cause any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Credit Parties on the Restatement Effective Date and pursuant to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in the case of such Credit Parties.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spacing w:after="0" w:line="16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Pledge of Additional Stock and Evidence of Indebtedness</w:t>
      </w:r>
      <w:r>
        <w:rPr>
          <w:rFonts w:ascii="Arial" w:cs="Arial" w:eastAsia="Arial" w:hAnsi="Arial"/>
          <w:sz w:val="17"/>
          <w:szCs w:val="17"/>
          <w:color w:val="auto"/>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$10,000,000 received by Holdings or any of the Guarantors in connection with any disposition of assets pursuant to </w:t>
      </w:r>
      <w:r>
        <w:rPr>
          <w:rFonts w:ascii="Arial" w:cs="Arial" w:eastAsia="Arial" w:hAnsi="Arial"/>
          <w:sz w:val="17"/>
          <w:szCs w:val="17"/>
          <w:u w:val="single" w:color="auto"/>
          <w:color w:val="auto"/>
        </w:rPr>
        <w:t>Section 10.4(b)</w:t>
      </w:r>
      <w:r>
        <w:rPr>
          <w:rFonts w:ascii="Arial" w:cs="Arial" w:eastAsia="Arial" w:hAnsi="Arial"/>
          <w:sz w:val="17"/>
          <w:szCs w:val="17"/>
          <w:color w:val="auto"/>
        </w:rPr>
        <w:t>, and (iii) any promissory notes executed after the Restatement Effective Date evidencing Indebtedness in excess of $10,000,000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Holdings and/or its Subsidiaries need not be delivered to the Collateral Agent so long as (i) a global intercompany note superseding such promissory note has been delivered to the Collateral Agent, (ii) such promissory note is not delivered to any other party other than Holdings or any other Credit Party, in each case, owed money thereunder, and (iii) such promissory note indicates on its face that it is subject to the security interest of the Collateral Agent.</w:t>
      </w:r>
    </w:p>
    <w:p>
      <w:pPr>
        <w:spacing w:after="0" w:line="18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ind w:right="740" w:firstLine="656"/>
        <w:spacing w:after="0" w:line="277" w:lineRule="auto"/>
        <w:tabs>
          <w:tab w:leader="none" w:pos="102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Borrower will use Letters of Credit, Revolving Loans and Swingline Loans for working capital and general corporate purposes (including any transaction not prohibited by the Credit Documents).</w:t>
      </w:r>
    </w:p>
    <w:p>
      <w:pPr>
        <w:spacing w:after="0" w:line="170" w:lineRule="exact"/>
        <w:rPr>
          <w:rFonts w:ascii="Arial" w:cs="Arial" w:eastAsia="Arial" w:hAnsi="Arial"/>
          <w:sz w:val="18"/>
          <w:szCs w:val="18"/>
          <w:color w:val="auto"/>
        </w:rPr>
      </w:pPr>
    </w:p>
    <w:p>
      <w:pPr>
        <w:ind w:right="200" w:firstLine="656"/>
        <w:spacing w:after="0" w:line="263" w:lineRule="auto"/>
        <w:tabs>
          <w:tab w:leader="none" w:pos="10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the Restatement Effective Date, the Borrower will use the proceeds of the Term A Loans and cash on hand to effect the transactions contemplated by the Restatement Agreement, including the prepayment of all amounts outstanding (other than contingent obligations) under the Original Credit Agreement immediately prior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322" w:lineRule="exact"/>
        <w:rPr>
          <w:sz w:val="20"/>
          <w:szCs w:val="20"/>
          <w:color w:val="auto"/>
        </w:rPr>
      </w:pPr>
    </w:p>
    <w:p>
      <w:pPr>
        <w:ind w:left="-20" w:right="400" w:firstLine="656"/>
        <w:spacing w:after="0" w:line="277" w:lineRule="auto"/>
        <w:tabs>
          <w:tab w:leader="none" w:pos="10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Borrower shall not use the proceeds of any Loan in any manner that would make the representations described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untrue.</w:t>
      </w:r>
    </w:p>
    <w:p>
      <w:pPr>
        <w:spacing w:after="0" w:line="17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left="-20" w:right="40" w:firstLine="656"/>
        <w:spacing w:after="0" w:line="296" w:lineRule="auto"/>
        <w:tabs>
          <w:tab w:leader="none" w:pos="100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Subject to the terms of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Holdings and the Restricted Subsidiaries.</w:t>
      </w:r>
    </w:p>
    <w:p>
      <w:pPr>
        <w:spacing w:after="0" w:line="161" w:lineRule="exact"/>
        <w:rPr>
          <w:rFonts w:ascii="Arial" w:cs="Arial" w:eastAsia="Arial" w:hAnsi="Arial"/>
          <w:sz w:val="16"/>
          <w:szCs w:val="16"/>
          <w:color w:val="auto"/>
        </w:rPr>
      </w:pPr>
    </w:p>
    <w:p>
      <w:pPr>
        <w:ind w:left="-20" w:right="60" w:firstLine="656"/>
        <w:spacing w:after="0" w:line="268" w:lineRule="auto"/>
        <w:tabs>
          <w:tab w:leader="none" w:pos="101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if any assets (other than Excluded Property) (including any real estate or improvements thereto or any interest therein but excluding Capital Stock and Stock Equivalents of any Subsidiary and excluding any real estate which the Borrower or applicable Credit Party intends to dispose of pursuant to a Permitted Sale Leaseback so long as actually disposed of within 270 days of acquisition (or such longer period as the Administrative Agent may reasonably agree)) with a book value in excess of $20,000,000 (at the time of acquisition) are acquired by Holdings or any other Credit Party after the Restatement Effective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Holdings will notify the Collateral Agent, and, if requested by the Collateral Agent, Holdings will cause such assets to be subjected to a Lien securing the Obligations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9.14</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20" w:firstLine="656"/>
        <w:spacing w:after="0" w:line="286" w:lineRule="auto"/>
        <w:tabs>
          <w:tab w:leader="none" w:pos="99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Any Mortgage delivered to the Administrative Agent in accordance with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if requested by the Collateral Agent, be received as soon as commercially reasonable but in no event later than 90 days (except as set forth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as otherwise permitted by the Administrative Agent and otherwise in form and substance reasonably acceptable to the Administrative Agent and the Borrower, together with such endorsements, coinsurance and reinsurance as the Administrative Agent may reasonably request but only to the extent such endorsements are (i) available in the relevant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certificates of insurance evidencing the insurance required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40" w:top="1440" w:right="359" w:bottom="1440" w:gutter="0" w:footer="0" w:header="0"/>
        </w:sectPr>
      </w:pPr>
    </w:p>
    <w:bookmarkStart w:id="148" w:name="page149"/>
    <w:bookmarkEnd w:id="148"/>
    <w:p>
      <w:pPr>
        <w:spacing w:after="0" w:line="200" w:lineRule="exact"/>
        <w:rPr>
          <w:sz w:val="20"/>
          <w:szCs w:val="20"/>
          <w:color w:val="auto"/>
        </w:rPr>
      </w:pPr>
    </w:p>
    <w:p>
      <w:pPr>
        <w:spacing w:after="0" w:line="3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Mortgaged Property and issue the endorsements required in (x)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Mortgage shall be executed and delivered until each Lender has received the documents stipulated in </w:t>
      </w:r>
      <w:r>
        <w:rPr>
          <w:rFonts w:ascii="Arial" w:cs="Arial" w:eastAsia="Arial" w:hAnsi="Arial"/>
          <w:sz w:val="18"/>
          <w:szCs w:val="18"/>
          <w:u w:val="single" w:color="auto"/>
          <w:color w:val="auto"/>
        </w:rPr>
        <w:t>clause (z)</w:t>
      </w:r>
      <w:r>
        <w:rPr>
          <w:rFonts w:ascii="Arial" w:cs="Arial" w:eastAsia="Arial" w:hAnsi="Arial"/>
          <w:sz w:val="18"/>
          <w:szCs w:val="18"/>
          <w:color w:val="auto"/>
        </w:rPr>
        <w:t xml:space="preserve"> above.</w:t>
      </w:r>
    </w:p>
    <w:p>
      <w:pPr>
        <w:spacing w:after="0" w:line="170" w:lineRule="exact"/>
        <w:rPr>
          <w:sz w:val="20"/>
          <w:szCs w:val="20"/>
          <w:color w:val="auto"/>
        </w:rPr>
      </w:pPr>
    </w:p>
    <w:p>
      <w:pPr>
        <w:ind w:right="180" w:firstLine="656"/>
        <w:spacing w:after="0" w:line="263" w:lineRule="auto"/>
        <w:tabs>
          <w:tab w:leader="none" w:pos="103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Holdings agrees that it will, or will cause its relevant Subsidiaries to, complete each of the actions described on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as soon as commercially reasonable and by no later than the date set forth in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with respect to such action or such later date as the Administrative Agent may reasonably agree.</w:t>
      </w:r>
    </w:p>
    <w:p>
      <w:pPr>
        <w:spacing w:after="0" w:line="184"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Lines of Business</w:t>
      </w:r>
      <w:r>
        <w:rPr>
          <w:rFonts w:ascii="Arial" w:cs="Arial" w:eastAsia="Arial" w:hAnsi="Arial"/>
          <w:sz w:val="17"/>
          <w:szCs w:val="17"/>
          <w:color w:val="auto"/>
        </w:rPr>
        <w:t>. Holdings and the Restricted Subsidiaries, taken as a whole, will not fundamentally and substantively alter the character of their business, taken as a whole, from the business conducted by Holdings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5"/>
          <w:szCs w:val="15"/>
          <w:color w:val="auto"/>
        </w:rPr>
        <w:t>Negative Covenants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of Holdings and the Borrower hereby covenants and agrees that on the Restatement Effective Date (immediately after consummation of the Acquisition)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Limitation on Indebtedness</w:t>
      </w:r>
      <w:r>
        <w:rPr>
          <w:rFonts w:ascii="Arial" w:cs="Arial" w:eastAsia="Arial" w:hAnsi="Arial"/>
          <w:sz w:val="16"/>
          <w:szCs w:val="16"/>
          <w:color w:val="auto"/>
        </w:rPr>
        <w:t>. Holdings will not, and will not permit any Restricted Subsidiary to create, incur, issue, assume, guarantee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otherwise become liable, contingently or otherwise (collectively, “</w:t>
      </w:r>
      <w:r>
        <w:rPr>
          <w:rFonts w:ascii="Arial" w:cs="Arial" w:eastAsia="Arial" w:hAnsi="Arial"/>
          <w:sz w:val="17"/>
          <w:szCs w:val="17"/>
          <w:b w:val="1"/>
          <w:bCs w:val="1"/>
          <w:color w:val="auto"/>
        </w:rPr>
        <w:t>incur</w:t>
      </w:r>
      <w:r>
        <w:rPr>
          <w:rFonts w:ascii="Arial" w:cs="Arial" w:eastAsia="Arial" w:hAnsi="Arial"/>
          <w:sz w:val="17"/>
          <w:szCs w:val="17"/>
          <w:color w:val="auto"/>
        </w:rPr>
        <w:t>” and collectively, an “</w:t>
      </w:r>
      <w:r>
        <w:rPr>
          <w:rFonts w:ascii="Arial" w:cs="Arial" w:eastAsia="Arial" w:hAnsi="Arial"/>
          <w:sz w:val="17"/>
          <w:szCs w:val="17"/>
          <w:b w:val="1"/>
          <w:bCs w:val="1"/>
          <w:color w:val="auto"/>
        </w:rPr>
        <w:t>incurrence</w:t>
      </w:r>
      <w:r>
        <w:rPr>
          <w:rFonts w:ascii="Arial" w:cs="Arial" w:eastAsia="Arial" w:hAnsi="Arial"/>
          <w:sz w:val="17"/>
          <w:szCs w:val="17"/>
          <w:color w:val="auto"/>
        </w:rPr>
        <w:t>”) with respect to any Indebtedness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Acquired Indebtedness) and Holdings will not issue any shares of Disqualified Stock and will not permit any Restricted Subsidiary to issue any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Disqualified Stock or, in the case of Restricted Subsidiaries that are not Guarantors,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color w:val="FF0000"/>
          <w:strike w:val="1"/>
        </w:rPr>
        <w:t>following the Additional Restrictions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Period,</w:t>
      </w:r>
      <w:r>
        <w:rPr>
          <w:rFonts w:ascii="Arial" w:cs="Arial" w:eastAsia="Arial" w:hAnsi="Arial"/>
          <w:sz w:val="18"/>
          <w:szCs w:val="18"/>
          <w:color w:val="FF0000"/>
        </w:rPr>
        <w:t xml:space="preserve"> </w:t>
      </w:r>
      <w:r>
        <w:rPr>
          <w:rFonts w:ascii="Arial" w:cs="Arial" w:eastAsia="Arial" w:hAnsi="Arial"/>
          <w:sz w:val="18"/>
          <w:szCs w:val="18"/>
          <w:color w:val="000000"/>
        </w:rPr>
        <w:t>Holdings may incur Indebtedness (including Acquired Indebtedness) or issue shares of Disqualified Stock, and</w:t>
      </w:r>
      <w:r>
        <w:rPr>
          <w:rFonts w:ascii="Arial" w:cs="Arial" w:eastAsia="Arial" w:hAnsi="Arial"/>
          <w:sz w:val="18"/>
          <w:szCs w:val="18"/>
          <w:color w:val="FF0000"/>
        </w:rPr>
        <w:t xml:space="preserve"> </w:t>
      </w:r>
      <w:r>
        <w:rPr>
          <w:rFonts w:ascii="Arial" w:cs="Arial" w:eastAsia="Arial" w:hAnsi="Arial"/>
          <w:sz w:val="18"/>
          <w:szCs w:val="18"/>
          <w:color w:val="FF0000"/>
          <w:strike w:val="1"/>
        </w:rPr>
        <w:t>the Borrower or</w:t>
      </w:r>
      <w:r>
        <w:rPr>
          <w:rFonts w:ascii="Arial" w:cs="Arial" w:eastAsia="Arial" w:hAnsi="Arial"/>
          <w:sz w:val="18"/>
          <w:szCs w:val="18"/>
          <w:color w:val="FF0000"/>
        </w:rPr>
        <w:t xml:space="preserve"> </w:t>
      </w:r>
      <w:r>
        <w:rPr>
          <w:rFonts w:ascii="Arial" w:cs="Arial" w:eastAsia="Arial" w:hAnsi="Arial"/>
          <w:sz w:val="18"/>
          <w:szCs w:val="18"/>
          <w:color w:val="000000"/>
        </w:rPr>
        <w:t>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Guarantor</w:t>
      </w:r>
      <w:r>
        <w:rPr>
          <w:rFonts w:ascii="Arial" w:cs="Arial" w:eastAsia="Arial" w:hAnsi="Arial"/>
          <w:sz w:val="16"/>
          <w:szCs w:val="16"/>
          <w:u w:val="single" w:color="auto"/>
          <w:color w:val="0000FF"/>
        </w:rPr>
        <w:t>Restricted Subsidiary</w:t>
      </w:r>
      <w:r>
        <w:rPr>
          <w:rFonts w:ascii="Arial" w:cs="Arial" w:eastAsia="Arial" w:hAnsi="Arial"/>
          <w:sz w:val="16"/>
          <w:szCs w:val="16"/>
          <w:color w:val="FF0000"/>
        </w:rPr>
        <w:t xml:space="preserve"> </w:t>
      </w:r>
      <w:r>
        <w:rPr>
          <w:rFonts w:ascii="Arial" w:cs="Arial" w:eastAsia="Arial" w:hAnsi="Arial"/>
          <w:sz w:val="16"/>
          <w:szCs w:val="16"/>
          <w:color w:val="000000"/>
        </w:rPr>
        <w:t>may incur Indebtedness (including Acquired Indebtedness), issue shares of Disqualified Stock and issue shares of 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stock, if, after giving effect thereto, the Consolidated Total Debt to Consolidated EBITDA Ratio is equal to or less than </w:t>
      </w:r>
      <w:r>
        <w:rPr>
          <w:rFonts w:ascii="Arial" w:cs="Arial" w:eastAsia="Arial" w:hAnsi="Arial"/>
          <w:sz w:val="17"/>
          <w:szCs w:val="17"/>
          <w:color w:val="FF0000"/>
          <w:strike w:val="1"/>
        </w:rPr>
        <w:t>3.7</w:t>
      </w:r>
      <w:r>
        <w:rPr>
          <w:rFonts w:ascii="Arial" w:cs="Arial" w:eastAsia="Arial" w:hAnsi="Arial"/>
          <w:sz w:val="17"/>
          <w:szCs w:val="17"/>
          <w:u w:val="single" w:color="auto"/>
          <w:color w:val="0000FF"/>
        </w:rPr>
        <w:t>0.2</w:t>
      </w:r>
      <w:r>
        <w:rPr>
          <w:rFonts w:ascii="Arial" w:cs="Arial" w:eastAsia="Arial" w:hAnsi="Arial"/>
          <w:sz w:val="17"/>
          <w:szCs w:val="17"/>
          <w:color w:val="auto"/>
        </w:rPr>
        <w:t>5:1.00</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inside the then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applicable financial covenant level set forth in Section 10.7(a); provided further that the amount of Indebtedness (other than Acquired Indebtedness),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Disqualified Stock and preferred stock that may be incurred pursuant to the foregoing together with any amounts incurred under Section 10.1(n)(x)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Restricted Subsidiaries that are not Guarantors shall not exceed the greater of (x) $35,000,000 and (y) 30.0% of Consolidated EBITDA for the most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recently ended Test Period (calculated on a Pro Forma Basis) at any one time outstanding.</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limitations will not apply to:</w:t>
      </w:r>
    </w:p>
    <w:p>
      <w:pPr>
        <w:spacing w:after="0" w:line="225" w:lineRule="exact"/>
        <w:rPr>
          <w:sz w:val="20"/>
          <w:szCs w:val="20"/>
          <w:color w:val="auto"/>
        </w:rPr>
      </w:pPr>
    </w:p>
    <w:p>
      <w:pPr>
        <w:ind w:left="1680" w:hanging="376"/>
        <w:spacing w:after="0"/>
        <w:tabs>
          <w:tab w:leader="none" w:pos="16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Indebtedness arising under the Credit Documents;</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6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(ii) intercompany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(other than intercompany Indebtedness owed by a Credit Party to another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322" w:lineRule="exact"/>
        <w:rPr>
          <w:sz w:val="20"/>
          <w:szCs w:val="20"/>
          <w:color w:val="auto"/>
        </w:rPr>
      </w:pPr>
    </w:p>
    <w:p>
      <w:pPr>
        <w:ind w:left="-460" w:firstLine="644"/>
        <w:spacing w:after="0" w:line="268" w:lineRule="auto"/>
        <w:tabs>
          <w:tab w:leader="none" w:pos="57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Indebtedness (including Capitalized Lease Obligations), Disqualified Stock and preferred stock incurred by Holdings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Holdings or any Restricted Subsidiary under or pursuant to any “synthetic lease” transactions to on-balance sheet Indebtedness of Holdings or such Restricted Subsidiary, in an aggregate principal amount which, when aggregated with the principal amount of all other Indebtedness, Disqualified Stock and preferred stock then outstanding and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and all Refinancing Indebtedness incurred to refinance any other Indebtedness, Disqualified Stock and preferred stock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does not exceed the greater of (x) $35,000,000 and (y) 35.0% of Consolidated EBITDA for the most recently ended Test Period (calculated on a Pro Forma Basis) at the time of incurrence;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Capitalized Lease Obligations incurred by Holdings or any Restricted Subsidiary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in connection with a Permitted Sale Leaseback shall not be subject to the foregoing limitation so long as the proceeds of such Permitted Sale Leaseback are used by Holdings or such Restricted Subsidiary to permanently repay outstanding Term Loans or other Indebtedness secured by a Lien on the assets subject to such Permitted Sale Leaseback (excluding any Lien ranking junior to the Lien securing the Obligations);</w:t>
      </w:r>
    </w:p>
    <w:p>
      <w:pPr>
        <w:spacing w:after="0" w:line="186" w:lineRule="exact"/>
        <w:rPr>
          <w:rFonts w:ascii="Arial" w:cs="Arial" w:eastAsia="Arial" w:hAnsi="Arial"/>
          <w:sz w:val="17"/>
          <w:szCs w:val="17"/>
          <w:color w:val="auto"/>
        </w:rPr>
      </w:pPr>
    </w:p>
    <w:p>
      <w:pPr>
        <w:ind w:left="-460" w:right="40" w:firstLine="644"/>
        <w:spacing w:after="0" w:line="296" w:lineRule="auto"/>
        <w:tabs>
          <w:tab w:leader="none" w:pos="56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Indebtedness incurred by Holdings or any Restricted Subsidiary (including letter of credit obligations consistent with past practice constituting reimbursement obligations with respect to letters of credit issued in the ordinary course of business), in respect of workers’ compensation claims,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spacing w:after="0" w:line="161" w:lineRule="exact"/>
        <w:rPr>
          <w:rFonts w:ascii="Arial" w:cs="Arial" w:eastAsia="Arial" w:hAnsi="Arial"/>
          <w:sz w:val="16"/>
          <w:szCs w:val="16"/>
          <w:color w:val="auto"/>
        </w:rPr>
      </w:pPr>
    </w:p>
    <w:p>
      <w:pPr>
        <w:ind w:left="-460" w:firstLine="644"/>
        <w:spacing w:after="0" w:line="293" w:lineRule="auto"/>
        <w:tabs>
          <w:tab w:leader="none" w:pos="54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Indebtedness arising from agreements of Holdings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not reflected on the balance sheet of Holdings or any Restricted Subsidiary (contingent obligations referred to in a footnote to financial statements and not otherwise reflected on the balance sheet will not be deemed to be reflected as Indebtedness on such balance sheet for purposes of this </w:t>
      </w:r>
      <w:r>
        <w:rPr>
          <w:rFonts w:ascii="Arial" w:cs="Arial" w:eastAsia="Arial" w:hAnsi="Arial"/>
          <w:sz w:val="16"/>
          <w:szCs w:val="16"/>
          <w:u w:val="single" w:color="auto"/>
          <w:color w:val="auto"/>
        </w:rPr>
        <w:t>clause (f)</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460" w:right="40" w:firstLine="644"/>
        <w:spacing w:after="0" w:line="257" w:lineRule="auto"/>
        <w:tabs>
          <w:tab w:leader="none" w:pos="5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Indebtedness of Holdings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the Borrower or a Guarantor is subordinated in right of payment to Holdings’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issuance or transfer of any Capital Stock or any other event which results in any such Restricted Subsidiary ceasing to be a Restricted Subsidiary or any other subsequent transfer of any such Indebtedness (except to another Borrower or another Restricted Subsidiary) shall be deemed, in each case to be an incurrence of such Indebtedness not permitted by this clause;</w:t>
      </w:r>
    </w:p>
    <w:p>
      <w:pPr>
        <w:spacing w:after="0" w:line="187" w:lineRule="exact"/>
        <w:rPr>
          <w:rFonts w:ascii="Arial" w:cs="Arial" w:eastAsia="Arial" w:hAnsi="Arial"/>
          <w:sz w:val="18"/>
          <w:szCs w:val="18"/>
          <w:color w:val="auto"/>
        </w:rPr>
      </w:pPr>
    </w:p>
    <w:p>
      <w:pPr>
        <w:ind w:left="-460" w:right="40" w:firstLine="644"/>
        <w:spacing w:after="0" w:line="257" w:lineRule="auto"/>
        <w:tabs>
          <w:tab w:leader="none" w:pos="57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owing to Holdings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or a Guarantor incurs such Indebtedness owing to a Restricted Subsidiary that is not the Borrower or a Guarantor, such Indebtedness is subordinated in right of payment to the Guarantee of such Guarantor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transfer of any such Indebtedness (except to Holdings or another Restricted Subsidiary) shall be deemed, in each case to be an incurrence of such Indebtedness not permitted by this clause;</w:t>
      </w:r>
    </w:p>
    <w:p>
      <w:pPr>
        <w:spacing w:after="0" w:line="187" w:lineRule="exact"/>
        <w:rPr>
          <w:rFonts w:ascii="Arial" w:cs="Arial" w:eastAsia="Arial" w:hAnsi="Arial"/>
          <w:sz w:val="18"/>
          <w:szCs w:val="18"/>
          <w:color w:val="auto"/>
        </w:rPr>
      </w:pPr>
    </w:p>
    <w:p>
      <w:pPr>
        <w:ind w:left="-460" w:right="140" w:firstLine="644"/>
        <w:spacing w:after="0" w:line="263" w:lineRule="auto"/>
        <w:tabs>
          <w:tab w:leader="none" w:pos="53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shares of preferred stock of a Restricted Subsidiary issued to Holdings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subsequent issuance or transfer of any Capital Stock or any other event which results in any such Restricted Subsidiary ceasing to be a Restricted Subsidiary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120"/>
          </w:cols>
          <w:pgMar w:left="1440" w:top="1440" w:right="339" w:bottom="1440" w:gutter="0" w:footer="0" w:header="0"/>
        </w:sectPr>
      </w:pPr>
    </w:p>
    <w:bookmarkStart w:id="150" w:name="page151"/>
    <w:bookmarkEnd w:id="150"/>
    <w:p>
      <w:pPr>
        <w:spacing w:after="0" w:line="200" w:lineRule="exact"/>
        <w:rPr>
          <w:sz w:val="20"/>
          <w:szCs w:val="20"/>
          <w:color w:val="auto"/>
        </w:rPr>
      </w:pPr>
    </w:p>
    <w:p>
      <w:pPr>
        <w:spacing w:after="0" w:line="3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subsequent transfer of any such shares of preferred stock (except to Holdings or another Restricted Subsidiary) shall be deemed in each case to be an issuance of such shares of preferred stock not permitted by this clause;</w:t>
      </w:r>
    </w:p>
    <w:p>
      <w:pPr>
        <w:spacing w:after="0" w:line="170" w:lineRule="exact"/>
        <w:rPr>
          <w:sz w:val="20"/>
          <w:szCs w:val="20"/>
          <w:color w:val="auto"/>
        </w:rPr>
      </w:pPr>
    </w:p>
    <w:p>
      <w:pPr>
        <w:ind w:left="1000" w:hanging="356"/>
        <w:spacing w:after="0"/>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Hedging Obligations (excluding Hedging Obligations entered into for speculative purposes);</w:t>
      </w:r>
    </w:p>
    <w:p>
      <w:pPr>
        <w:spacing w:after="0" w:line="225" w:lineRule="exact"/>
        <w:rPr>
          <w:rFonts w:ascii="Arial" w:cs="Arial" w:eastAsia="Arial" w:hAnsi="Arial"/>
          <w:sz w:val="18"/>
          <w:szCs w:val="18"/>
          <w:color w:val="auto"/>
        </w:rPr>
      </w:pPr>
    </w:p>
    <w:p>
      <w:pPr>
        <w:ind w:right="60" w:firstLine="644"/>
        <w:spacing w:after="0" w:line="263" w:lineRule="auto"/>
        <w:tabs>
          <w:tab w:leader="none" w:pos="103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obligations in respect of self-insurance, performance, bid, appeal, and surety bonds and completion guarantees and similar obligations provided by Holdings or any Restricted Subsidiary or obligations in respect of letters of credit, bank guarantees or similar instruments related thereto, in each case, in the ordinary course of business or consistent with past practice;</w:t>
      </w:r>
    </w:p>
    <w:p>
      <w:pPr>
        <w:spacing w:after="0" w:line="183" w:lineRule="exact"/>
        <w:rPr>
          <w:rFonts w:ascii="Arial" w:cs="Arial" w:eastAsia="Arial" w:hAnsi="Arial"/>
          <w:sz w:val="18"/>
          <w:szCs w:val="18"/>
          <w:color w:val="auto"/>
        </w:rPr>
      </w:pPr>
    </w:p>
    <w:p>
      <w:pPr>
        <w:ind w:left="1000" w:hanging="356"/>
        <w:spacing w:after="0"/>
        <w:tabs>
          <w:tab w:leader="none" w:pos="1000" w:val="left"/>
        </w:tabs>
        <w:numPr>
          <w:ilvl w:val="0"/>
          <w:numId w:val="147"/>
        </w:numPr>
        <w:rPr>
          <w:rFonts w:ascii="Arial" w:cs="Arial" w:eastAsia="Arial" w:hAnsi="Arial"/>
          <w:sz w:val="17"/>
          <w:szCs w:val="17"/>
          <w:color w:val="FF0000"/>
          <w:strike w:val="1"/>
        </w:rPr>
      </w:pPr>
      <w:r>
        <w:rPr>
          <w:rFonts w:ascii="Arial" w:cs="Arial" w:eastAsia="Arial" w:hAnsi="Arial"/>
          <w:sz w:val="17"/>
          <w:szCs w:val="17"/>
          <w:color w:val="FF0000"/>
          <w:strike w:val="1"/>
        </w:rPr>
        <w:t>Permitted Other Indebtedness and/or Permitted Convertible Indebtedness in an aggregate principal amount not to exceed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$750,000,000;</w:t>
      </w:r>
    </w:p>
    <w:p>
      <w:pPr>
        <w:spacing w:after="0" w:line="211" w:lineRule="exact"/>
        <w:rPr>
          <w:sz w:val="20"/>
          <w:szCs w:val="20"/>
          <w:color w:val="auto"/>
        </w:rPr>
      </w:pPr>
    </w:p>
    <w:p>
      <w:pPr>
        <w:ind w:right="60" w:firstLine="644"/>
        <w:spacing w:after="0" w:line="270" w:lineRule="auto"/>
        <w:tabs>
          <w:tab w:leader="none" w:pos="998" w:val="left"/>
        </w:tabs>
        <w:numPr>
          <w:ilvl w:val="0"/>
          <w:numId w:val="14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 Permitted Convertible Indebtedness and (ii) Indebtedness, Disqualified Stock or preferred stock of Holdings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clause (l)(ii), does not at any one time outstanding exceed the greater of (x) $45,000,000 and (y) 40.0% of Consolidated EBITDA for the most recently ended Test Period (calculated on a Pro Forma Basis) at the time of incurrence (it being understood that any Indebtedness, Disqualified Stock or preferred stock incurred pursuant to this clause (l)(ii) shall cease to be deemed incurred or outstanding for purposes of this clause (l)(ii) but shall be deemed incurred for the purposes of the first paragraph of this Section 10.1 from and after the first date on which Holdings or such Restricted Subsidiary could have incurred such Indebtedness, Disqualified Stock or preferred stock under the first paragraph of this Section 10.1 without reliance on this clause (l)(ii));</w:t>
      </w:r>
    </w:p>
    <w:p>
      <w:pPr>
        <w:spacing w:after="0" w:line="180" w:lineRule="exact"/>
        <w:rPr>
          <w:rFonts w:ascii="Arial" w:cs="Arial" w:eastAsia="Arial" w:hAnsi="Arial"/>
          <w:sz w:val="17"/>
          <w:szCs w:val="17"/>
          <w:u w:val="single" w:color="auto"/>
          <w:color w:val="0000FF"/>
        </w:rPr>
      </w:pPr>
    </w:p>
    <w:p>
      <w:pPr>
        <w:ind w:firstLine="644"/>
        <w:spacing w:after="0" w:line="286" w:lineRule="auto"/>
        <w:tabs>
          <w:tab w:leader="none" w:pos="108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the incurrence or issuance by Holdings or any Restricted Subsidiary of Indebtedness, Disqualified Stock or preferred stock which serves to refinance any Indebtedness, Disqualified Stock or preferred stock incurred as permitted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below or any Indebtedness, Disqualified Stock or preferred stock issued to so refinance, replace, refund, extend, renew, defease, restructure, amend, restate or otherwise modify (collectively, “</w:t>
      </w:r>
      <w:r>
        <w:rPr>
          <w:rFonts w:ascii="Arial" w:cs="Arial" w:eastAsia="Arial" w:hAnsi="Arial"/>
          <w:sz w:val="16"/>
          <w:szCs w:val="16"/>
          <w:b w:val="1"/>
          <w:bCs w:val="1"/>
          <w:color w:val="auto"/>
        </w:rPr>
        <w:t>refinance</w:t>
      </w:r>
      <w:r>
        <w:rPr>
          <w:rFonts w:ascii="Arial" w:cs="Arial" w:eastAsia="Arial" w:hAnsi="Arial"/>
          <w:sz w:val="16"/>
          <w:szCs w:val="16"/>
          <w:color w:val="auto"/>
        </w:rPr>
        <w:t>”) such Indebtedness, Disqualified Stock or preferred stock (the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prior to its respective maturity;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Holdings that is not the Borrower or a Guarantor that refinances Indebtedness, Disqualified Stock or preferred stock of the Borrower or a Guarantor;</w:t>
      </w:r>
    </w:p>
    <w:p>
      <w:pPr>
        <w:spacing w:after="0" w:line="173" w:lineRule="exact"/>
        <w:rPr>
          <w:rFonts w:ascii="Arial" w:cs="Arial" w:eastAsia="Arial" w:hAnsi="Arial"/>
          <w:sz w:val="16"/>
          <w:szCs w:val="16"/>
          <w:color w:val="auto"/>
        </w:rPr>
      </w:pPr>
    </w:p>
    <w:p>
      <w:pPr>
        <w:ind w:firstLine="644"/>
        <w:spacing w:after="0" w:line="257" w:lineRule="auto"/>
        <w:tabs>
          <w:tab w:leader="none" w:pos="1038" w:val="left"/>
        </w:tabs>
        <w:numPr>
          <w:ilvl w:val="0"/>
          <w:numId w:val="148"/>
        </w:numPr>
        <w:rPr>
          <w:rFonts w:ascii="Arial" w:cs="Arial" w:eastAsia="Arial" w:hAnsi="Arial"/>
          <w:sz w:val="18"/>
          <w:szCs w:val="18"/>
          <w:color w:val="auto"/>
        </w:rPr>
      </w:pPr>
      <w:r>
        <w:rPr>
          <w:rFonts w:ascii="Arial" w:cs="Arial" w:eastAsia="Arial" w:hAnsi="Arial"/>
          <w:sz w:val="18"/>
          <w:szCs w:val="18"/>
          <w:color w:val="FF0000"/>
          <w:strike w:val="1"/>
        </w:rPr>
        <w:t>following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Indebtedness, Disqualified Stock or preferred stock of (x) Holdings</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8000"/>
          <w:strike w:val="1"/>
        </w:rPr>
        <w:t>the Borrower or a</w:t>
      </w:r>
      <w:r>
        <w:rPr>
          <w:rFonts w:ascii="Arial" w:cs="Arial" w:eastAsia="Arial" w:hAnsi="Arial"/>
          <w:sz w:val="18"/>
          <w:szCs w:val="18"/>
          <w:color w:val="FF0000"/>
        </w:rPr>
        <w:t xml:space="preserve"> </w:t>
      </w:r>
      <w:r>
        <w:rPr>
          <w:rFonts w:ascii="Arial" w:cs="Arial" w:eastAsia="Arial" w:hAnsi="Arial"/>
          <w:sz w:val="18"/>
          <w:szCs w:val="18"/>
          <w:color w:val="008000"/>
          <w:strike w:val="1"/>
        </w:rPr>
        <w:t>Guarantor</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or a Restricted Subsidiary</w:t>
      </w:r>
      <w:r>
        <w:rPr>
          <w:rFonts w:ascii="Arial" w:cs="Arial" w:eastAsia="Arial" w:hAnsi="Arial"/>
          <w:sz w:val="18"/>
          <w:szCs w:val="18"/>
          <w:color w:val="008000"/>
        </w:rPr>
        <w:t xml:space="preserve"> </w:t>
      </w:r>
      <w:r>
        <w:rPr>
          <w:rFonts w:ascii="Arial" w:cs="Arial" w:eastAsia="Arial" w:hAnsi="Arial"/>
          <w:sz w:val="18"/>
          <w:szCs w:val="18"/>
          <w:color w:val="000000"/>
        </w:rPr>
        <w:t>incurred or issued to finance an acquisition, merger, or consolidation;</w:t>
      </w:r>
      <w:r>
        <w:rPr>
          <w:rFonts w:ascii="Arial" w:cs="Arial" w:eastAsia="Arial" w:hAnsi="Arial"/>
          <w:sz w:val="18"/>
          <w:szCs w:val="18"/>
          <w:color w:val="008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8000"/>
        </w:rPr>
        <w:t xml:space="preserve"> </w:t>
      </w:r>
      <w:r>
        <w:rPr>
          <w:rFonts w:ascii="Arial" w:cs="Arial" w:eastAsia="Arial" w:hAnsi="Arial"/>
          <w:sz w:val="18"/>
          <w:szCs w:val="18"/>
          <w:color w:val="000000"/>
        </w:rPr>
        <w:t>that</w:t>
      </w:r>
      <w:r>
        <w:rPr>
          <w:rFonts w:ascii="Arial" w:cs="Arial" w:eastAsia="Arial" w:hAnsi="Arial"/>
          <w:sz w:val="18"/>
          <w:szCs w:val="18"/>
          <w:u w:val="single" w:color="auto"/>
          <w:color w:val="0000FF"/>
        </w:rPr>
        <w:t>, the amount of</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Indebtedness (other than Acquired Indebtedness), Disqualified Stock and preferred stock that may be incurred pursuant to the foregoing, together with any amounts incurred under the first paragraph of this Section 10.1 by Restricted Subsidiaries that are not Guarantors shall not exceed the greater of (x) $30,000,000 and (y) 30.0%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540"/>
          </w:cols>
          <w:pgMar w:left="980" w:top="1440" w:right="379" w:bottom="1440" w:gutter="0" w:footer="0" w:header="0"/>
        </w:sectPr>
      </w:pPr>
    </w:p>
    <w:bookmarkStart w:id="151" w:name="page152"/>
    <w:bookmarkEnd w:id="151"/>
    <w:p>
      <w:pPr>
        <w:spacing w:after="0" w:line="200" w:lineRule="exact"/>
        <w:rPr>
          <w:sz w:val="20"/>
          <w:szCs w:val="20"/>
          <w:color w:val="auto"/>
        </w:rPr>
      </w:pPr>
    </w:p>
    <w:p>
      <w:pPr>
        <w:spacing w:after="0" w:line="322"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0000FF"/>
        </w:rPr>
        <w:t>Consolidated EBITDA for the most recently ended Test Period (calculated on a Pro Forma Basis) at any one time outstanding, or (y) Persons that are acquired by Holdings or any Restricted Subsidiary or merged into or consolidated with Holdings or a Restricted Subsidiary in accordance with the terms hereof (including designating an Unrestricted Subsidiary a Restricted Subsidiary); provided further that,</w:t>
      </w:r>
      <w:r>
        <w:rPr>
          <w:rFonts w:ascii="Arial" w:cs="Arial" w:eastAsia="Arial" w:hAnsi="Arial"/>
          <w:sz w:val="18"/>
          <w:szCs w:val="18"/>
          <w:color w:val="0000FF"/>
        </w:rPr>
        <w:t xml:space="preserve"> </w:t>
      </w:r>
      <w:r>
        <w:rPr>
          <w:rFonts w:ascii="Arial" w:cs="Arial" w:eastAsia="Arial" w:hAnsi="Arial"/>
          <w:sz w:val="18"/>
          <w:szCs w:val="18"/>
          <w:color w:val="000000"/>
        </w:rPr>
        <w:t>after giving effect to any such</w:t>
      </w:r>
      <w:r>
        <w:rPr>
          <w:rFonts w:ascii="Arial" w:cs="Arial" w:eastAsia="Arial" w:hAnsi="Arial"/>
          <w:sz w:val="18"/>
          <w:szCs w:val="18"/>
          <w:color w:val="0000FF"/>
        </w:rPr>
        <w:t xml:space="preserve"> </w:t>
      </w:r>
      <w:r>
        <w:rPr>
          <w:rFonts w:ascii="Arial" w:cs="Arial" w:eastAsia="Arial" w:hAnsi="Arial"/>
          <w:sz w:val="18"/>
          <w:szCs w:val="18"/>
          <w:color w:val="000000"/>
        </w:rPr>
        <w:t xml:space="preserve">acquisition, merger, consolidation or designation described in this </w:t>
      </w:r>
      <w:r>
        <w:rPr>
          <w:rFonts w:ascii="Arial" w:cs="Arial" w:eastAsia="Arial" w:hAnsi="Arial"/>
          <w:sz w:val="18"/>
          <w:szCs w:val="18"/>
          <w:u w:val="single" w:color="auto"/>
          <w:color w:val="000000"/>
        </w:rPr>
        <w:t>clause (n)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either: (1)</w:t>
      </w:r>
      <w:r>
        <w:rPr>
          <w:rFonts w:ascii="Arial" w:cs="Arial" w:eastAsia="Arial" w:hAnsi="Arial"/>
          <w:sz w:val="18"/>
          <w:szCs w:val="18"/>
          <w:color w:val="000000"/>
        </w:rPr>
        <w:t xml:space="preserve"> the Consolidated Total Debt to Consolidated EBITDA Ratio is equal to or less than </w:t>
      </w:r>
      <w:r>
        <w:rPr>
          <w:rFonts w:ascii="Arial" w:cs="Arial" w:eastAsia="Arial" w:hAnsi="Arial"/>
          <w:sz w:val="18"/>
          <w:szCs w:val="18"/>
          <w:color w:val="FF0000"/>
          <w:strike w:val="1"/>
        </w:rPr>
        <w:t>3.7</w:t>
      </w:r>
      <w:r>
        <w:rPr>
          <w:rFonts w:ascii="Arial" w:cs="Arial" w:eastAsia="Arial" w:hAnsi="Arial"/>
          <w:sz w:val="18"/>
          <w:szCs w:val="18"/>
          <w:u w:val="single" w:color="auto"/>
          <w:color w:val="0000FF"/>
        </w:rPr>
        <w:t>0.2</w:t>
      </w:r>
      <w:r>
        <w:rPr>
          <w:rFonts w:ascii="Arial" w:cs="Arial" w:eastAsia="Arial" w:hAnsi="Arial"/>
          <w:sz w:val="18"/>
          <w:szCs w:val="18"/>
          <w:color w:val="000000"/>
        </w:rPr>
        <w:t>5:1.00</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inside the then applicable financial covenant level set forth in Section 10.7(a) or (2) the Consolidated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 xml:space="preserve">Total </w:t>
      </w:r>
      <w:r>
        <w:rPr>
          <w:rFonts w:ascii="Arial" w:cs="Arial" w:eastAsia="Arial" w:hAnsi="Arial"/>
          <w:sz w:val="18"/>
          <w:szCs w:val="18"/>
          <w:u w:val="single" w:color="auto"/>
          <w:color w:val="008000"/>
        </w:rPr>
        <w:t>Debt to Consolidated EBITDA Ratio of Holdings and the Restricted Subsidiaries</w:t>
      </w:r>
      <w:r>
        <w:rPr>
          <w:rFonts w:ascii="Arial" w:cs="Arial" w:eastAsia="Arial" w:hAnsi="Arial"/>
          <w:sz w:val="18"/>
          <w:szCs w:val="18"/>
          <w:u w:val="single" w:color="auto"/>
          <w:color w:val="0000FF"/>
        </w:rPr>
        <w:t xml:space="preserve"> is equal to or greater than that immediately prior to such acquisition, merger, consolidation or designation;</w:t>
      </w:r>
    </w:p>
    <w:p>
      <w:pPr>
        <w:spacing w:after="0" w:line="195" w:lineRule="exact"/>
        <w:rPr>
          <w:sz w:val="20"/>
          <w:szCs w:val="20"/>
          <w:color w:val="auto"/>
        </w:rPr>
      </w:pPr>
    </w:p>
    <w:p>
      <w:pPr>
        <w:ind w:right="60" w:firstLine="644"/>
        <w:spacing w:after="0" w:line="277" w:lineRule="auto"/>
        <w:tabs>
          <w:tab w:leader="none" w:pos="103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w:t>
      </w:r>
    </w:p>
    <w:p>
      <w:pPr>
        <w:spacing w:after="0" w:line="170" w:lineRule="exact"/>
        <w:rPr>
          <w:rFonts w:ascii="Arial" w:cs="Arial" w:eastAsia="Arial" w:hAnsi="Arial"/>
          <w:sz w:val="18"/>
          <w:szCs w:val="18"/>
          <w:color w:val="auto"/>
        </w:rPr>
      </w:pPr>
    </w:p>
    <w:p>
      <w:pPr>
        <w:ind w:right="20" w:firstLine="644"/>
        <w:spacing w:after="0" w:line="257" w:lineRule="auto"/>
        <w:tabs>
          <w:tab w:leader="none" w:pos="103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 Indebtedness of Holdings or any Restricted Subsidiary supported by a letter of credit, in a principal amount not in excess of the stated amount of such letter of credit so long as such letter of credit is otherwise permitted to be incurred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(ii) obligations in respect of letters of support, guarantees or similar obligations issued, made or incurred for the benefit of any Subsidiary of Holdings to the extent required by law or in connection with any statutory filing or the delivery of audit opinions performed in jurisdictions other than within the United States;</w:t>
      </w:r>
    </w:p>
    <w:p>
      <w:pPr>
        <w:spacing w:after="0" w:line="187" w:lineRule="exact"/>
        <w:rPr>
          <w:rFonts w:ascii="Arial" w:cs="Arial" w:eastAsia="Arial" w:hAnsi="Arial"/>
          <w:sz w:val="18"/>
          <w:szCs w:val="18"/>
          <w:color w:val="auto"/>
        </w:rPr>
      </w:pPr>
    </w:p>
    <w:p>
      <w:pPr>
        <w:ind w:right="120" w:firstLine="644"/>
        <w:spacing w:after="0" w:line="311" w:lineRule="auto"/>
        <w:tabs>
          <w:tab w:leader="none" w:pos="103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(1) any guarantee by Holdings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Holdings;</w:t>
      </w:r>
    </w:p>
    <w:p>
      <w:pPr>
        <w:spacing w:after="0" w:line="148" w:lineRule="exact"/>
        <w:rPr>
          <w:rFonts w:ascii="Arial" w:cs="Arial" w:eastAsia="Arial" w:hAnsi="Arial"/>
          <w:sz w:val="16"/>
          <w:szCs w:val="16"/>
          <w:color w:val="auto"/>
        </w:rPr>
      </w:pPr>
    </w:p>
    <w:p>
      <w:pPr>
        <w:ind w:right="60" w:firstLine="644"/>
        <w:spacing w:after="0" w:line="255" w:lineRule="auto"/>
        <w:tabs>
          <w:tab w:leader="none" w:pos="1008" w:val="left"/>
        </w:tabs>
        <w:numPr>
          <w:ilvl w:val="0"/>
          <w:numId w:val="149"/>
        </w:numPr>
        <w:rPr>
          <w:rFonts w:ascii="Arial" w:cs="Arial" w:eastAsia="Arial" w:hAnsi="Arial"/>
          <w:sz w:val="18"/>
          <w:szCs w:val="18"/>
          <w:color w:val="auto"/>
        </w:rPr>
      </w:pPr>
      <w:r>
        <w:rPr>
          <w:rFonts w:ascii="Arial" w:cs="Arial" w:eastAsia="Arial" w:hAnsi="Arial"/>
          <w:sz w:val="18"/>
          <w:szCs w:val="18"/>
          <w:color w:val="FF0000"/>
          <w:strike w:val="1"/>
        </w:rPr>
        <w:t>[reserved];</w:t>
      </w:r>
      <w:r>
        <w:rPr>
          <w:rFonts w:ascii="Arial" w:cs="Arial" w:eastAsia="Arial" w:hAnsi="Arial"/>
          <w:sz w:val="18"/>
          <w:szCs w:val="18"/>
          <w:u w:val="single" w:color="auto"/>
          <w:color w:val="0000FF"/>
          <w:strike w:val="1"/>
        </w:rPr>
        <w:t>Indebtedness of</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Restricted Subsidiaries that are not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Guarantors in an amount not to exceed, in the aggregate at any one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 xml:space="preserve">time outstanding, the greater of (x) $15,000,000 and (y) 10.0% of </w:t>
      </w:r>
      <w:r>
        <w:rPr>
          <w:rFonts w:ascii="Arial" w:cs="Arial" w:eastAsia="Arial" w:hAnsi="Arial"/>
          <w:sz w:val="18"/>
          <w:szCs w:val="18"/>
          <w:u w:val="single" w:color="auto"/>
          <w:color w:val="008000"/>
          <w:strike w:val="1"/>
        </w:rPr>
        <w:t>Consolidated EBITDA for the most recently ended Test Period</w:t>
      </w:r>
      <w:r>
        <w:rPr>
          <w:rFonts w:ascii="Arial" w:cs="Arial" w:eastAsia="Arial" w:hAnsi="Arial"/>
          <w:sz w:val="18"/>
          <w:szCs w:val="18"/>
          <w:u w:val="single" w:color="auto"/>
          <w:color w:val="0000FF"/>
          <w:strike w:val="1"/>
        </w:rPr>
        <w:t xml:space="preserve"> (calculated </w:t>
      </w:r>
      <w:r>
        <w:rPr>
          <w:rFonts w:ascii="Arial" w:cs="Arial" w:eastAsia="Arial" w:hAnsi="Arial"/>
          <w:sz w:val="18"/>
          <w:szCs w:val="18"/>
          <w:u w:val="single" w:color="auto"/>
          <w:color w:val="008000"/>
          <w:strike w:val="1"/>
        </w:rPr>
        <w:t>on a</w:t>
      </w:r>
      <w:r>
        <w:rPr>
          <w:rFonts w:ascii="Arial" w:cs="Arial" w:eastAsia="Arial" w:hAnsi="Arial"/>
          <w:sz w:val="18"/>
          <w:szCs w:val="18"/>
          <w:u w:val="single" w:color="auto"/>
          <w:color w:val="0000FF"/>
          <w:strike w:val="1"/>
        </w:rPr>
        <w:t xml:space="preserve"> </w:t>
      </w:r>
      <w:r>
        <w:rPr>
          <w:rFonts w:ascii="Arial" w:cs="Arial" w:eastAsia="Arial" w:hAnsi="Arial"/>
          <w:sz w:val="18"/>
          <w:szCs w:val="18"/>
          <w:u w:val="single" w:color="auto"/>
          <w:color w:val="008000"/>
          <w:strike w:val="1"/>
        </w:rPr>
        <w:t>Pro Forma Basis</w:t>
      </w:r>
      <w:r>
        <w:rPr>
          <w:rFonts w:ascii="Arial" w:cs="Arial" w:eastAsia="Arial" w:hAnsi="Arial"/>
          <w:sz w:val="18"/>
          <w:szCs w:val="18"/>
          <w:u w:val="single" w:color="auto"/>
          <w:color w:val="0000FF"/>
          <w:strike w:val="1"/>
        </w:rPr>
        <w:t>) (it being understood that any Indebtedness incurred pursuant to this clause (r) shall cease to be deemed incurred or outstanding</w:t>
      </w:r>
      <w:r>
        <w:rPr>
          <w:rFonts w:ascii="Arial" w:cs="Arial" w:eastAsia="Arial" w:hAnsi="Arial"/>
          <w:sz w:val="18"/>
          <w:szCs w:val="18"/>
          <w:u w:val="single" w:color="auto"/>
          <w:color w:val="008000"/>
          <w:strike w:val="1"/>
        </w:rPr>
        <w:t xml:space="preserve"> </w:t>
      </w:r>
      <w:r>
        <w:rPr>
          <w:rFonts w:ascii="Arial" w:cs="Arial" w:eastAsia="Arial" w:hAnsi="Arial"/>
          <w:sz w:val="18"/>
          <w:szCs w:val="18"/>
          <w:u w:val="single" w:color="auto"/>
          <w:color w:val="0000FF"/>
          <w:strike w:val="1"/>
        </w:rPr>
        <w:t>for purposes of this clause (r) but shall be deemed incurred for the purposes of the first paragraph of this covenant from and after the first date on which such Restricted Subsidiary could have incurred such Indebtedness under the first paragraph of this covenant without reliance on this clause (r));</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right="160" w:firstLine="644"/>
        <w:spacing w:after="0" w:line="342" w:lineRule="auto"/>
        <w:tabs>
          <w:tab w:leader="none" w:pos="101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Indebtedness of Holdings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123" w:lineRule="exact"/>
        <w:rPr>
          <w:rFonts w:ascii="Arial" w:cs="Arial" w:eastAsia="Arial" w:hAnsi="Arial"/>
          <w:sz w:val="16"/>
          <w:szCs w:val="16"/>
          <w:color w:val="auto"/>
        </w:rPr>
      </w:pPr>
    </w:p>
    <w:p>
      <w:pPr>
        <w:ind w:right="40" w:firstLine="644"/>
        <w:spacing w:after="0" w:line="263" w:lineRule="auto"/>
        <w:tabs>
          <w:tab w:leader="none" w:pos="99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w:t>
      </w:r>
    </w:p>
    <w:p>
      <w:pPr>
        <w:spacing w:after="0" w:line="183" w:lineRule="exact"/>
        <w:rPr>
          <w:rFonts w:ascii="Arial" w:cs="Arial" w:eastAsia="Arial" w:hAnsi="Arial"/>
          <w:sz w:val="18"/>
          <w:szCs w:val="18"/>
          <w:color w:val="auto"/>
        </w:rPr>
      </w:pPr>
    </w:p>
    <w:p>
      <w:pPr>
        <w:ind w:right="220" w:firstLine="644"/>
        <w:spacing w:after="0" w:line="259" w:lineRule="auto"/>
        <w:tabs>
          <w:tab w:leader="none" w:pos="103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Indebtedness consisting of Indebtedness issued by Holdings or any of the Restricted Subsidiaries to future, current or former officers, directors, managers and employees thereof, their respective estates, spouses or former spouses, in each case to finance the purchase or redemption of Equity Interests of Holdings or any direct or indirect parent company of Holdings to the extent described in </w:t>
      </w:r>
      <w:r>
        <w:rPr>
          <w:rFonts w:ascii="Arial" w:cs="Arial" w:eastAsia="Arial" w:hAnsi="Arial"/>
          <w:sz w:val="18"/>
          <w:szCs w:val="18"/>
          <w:u w:val="single" w:color="auto"/>
          <w:color w:val="auto"/>
        </w:rPr>
        <w:t>clause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040" w:hanging="396"/>
        <w:spacing w:after="0"/>
        <w:tabs>
          <w:tab w:leader="none" w:pos="1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extent constituting Indebtedness, obligations pursuant to the Wal-Mart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540"/>
          </w:cols>
          <w:pgMar w:left="980" w:top="1440" w:right="379" w:bottom="1440" w:gutter="0" w:footer="0" w:header="0"/>
        </w:sectPr>
      </w:pPr>
    </w:p>
    <w:bookmarkStart w:id="152" w:name="page153"/>
    <w:bookmarkEnd w:id="152"/>
    <w:p>
      <w:pPr>
        <w:spacing w:after="0" w:line="200" w:lineRule="exact"/>
        <w:rPr>
          <w:sz w:val="20"/>
          <w:szCs w:val="20"/>
          <w:color w:val="auto"/>
        </w:rPr>
      </w:pPr>
    </w:p>
    <w:p>
      <w:pPr>
        <w:spacing w:after="0" w:line="322" w:lineRule="exact"/>
        <w:rPr>
          <w:sz w:val="20"/>
          <w:szCs w:val="20"/>
          <w:color w:val="auto"/>
        </w:rPr>
      </w:pPr>
    </w:p>
    <w:p>
      <w:pPr>
        <w:ind w:left="660" w:right="40" w:firstLine="644"/>
        <w:spacing w:after="0" w:line="273" w:lineRule="auto"/>
        <w:tabs>
          <w:tab w:leader="none" w:pos="173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Indebtedness in respect of (i) Permitted Other Indebtedness to the extent that the Net Cash Proceeds therefrom are applied to the prepayment of Term Loans in the manner set forth in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and (ii) any refinancing, refunding, renewal or extension of any Indebtedness specified in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w:t>
      </w:r>
    </w:p>
    <w:p>
      <w:pPr>
        <w:spacing w:after="0" w:line="177" w:lineRule="exact"/>
        <w:rPr>
          <w:rFonts w:ascii="Arial" w:cs="Arial" w:eastAsia="Arial" w:hAnsi="Arial"/>
          <w:sz w:val="17"/>
          <w:szCs w:val="17"/>
          <w:color w:val="auto"/>
        </w:rPr>
      </w:pPr>
    </w:p>
    <w:p>
      <w:pPr>
        <w:ind w:left="660" w:right="140" w:firstLine="644"/>
        <w:spacing w:after="0" w:line="254" w:lineRule="auto"/>
        <w:tabs>
          <w:tab w:leader="none" w:pos="1698" w:val="left"/>
        </w:tabs>
        <w:numPr>
          <w:ilvl w:val="0"/>
          <w:numId w:val="150"/>
        </w:numPr>
        <w:rPr>
          <w:rFonts w:ascii="Arial" w:cs="Arial" w:eastAsia="Arial" w:hAnsi="Arial"/>
          <w:sz w:val="18"/>
          <w:szCs w:val="18"/>
          <w:color w:val="auto"/>
        </w:rPr>
      </w:pPr>
      <w:r>
        <w:rPr>
          <w:rFonts w:ascii="Arial" w:cs="Arial" w:eastAsia="Arial" w:hAnsi="Arial"/>
          <w:sz w:val="18"/>
          <w:szCs w:val="18"/>
          <w:color w:val="FF0000"/>
          <w:strike w:val="1"/>
        </w:rPr>
        <w:t>following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Indebtedness in respect of (i) Permitted Other Indebtedness; provided that the</w:t>
      </w:r>
      <w:r>
        <w:rPr>
          <w:rFonts w:ascii="Arial" w:cs="Arial" w:eastAsia="Arial" w:hAnsi="Arial"/>
          <w:sz w:val="18"/>
          <w:szCs w:val="18"/>
          <w:color w:val="FF0000"/>
        </w:rPr>
        <w:t xml:space="preserve"> </w:t>
      </w:r>
      <w:r>
        <w:rPr>
          <w:rFonts w:ascii="Arial" w:cs="Arial" w:eastAsia="Arial" w:hAnsi="Arial"/>
          <w:sz w:val="18"/>
          <w:szCs w:val="18"/>
          <w:color w:val="000000"/>
        </w:rPr>
        <w:t>aggregate principal amount of all such Permitted Other Indebtedness issued or incurred pursuant to this clause (i), when aggregated with the amount of Incremental Term Loans and New Revolving Commitments established shall not exceed the Maximum Incremental Facilities Amount and (ii) any refinancing, refunding, renewal or extension of any Indebtedness specified in subclause (i) above; provided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w:t>
      </w:r>
      <w:r>
        <w:rPr>
          <w:rFonts w:ascii="Arial" w:cs="Arial" w:eastAsia="Arial" w:hAnsi="Arial"/>
          <w:sz w:val="16"/>
          <w:szCs w:val="16"/>
          <w:color w:val="auto"/>
        </w:rPr>
        <w:t xml:space="preserve">) above or is entitled to be incurred pursuant to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Holdings,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Holdings will be entitled to divide and classify an item of Indebtedness in more than one of the types of Indebtedness described in this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6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w:t>
      </w:r>
      <w:r>
        <w:rPr>
          <w:rFonts w:ascii="Arial" w:cs="Arial" w:eastAsia="Arial" w:hAnsi="Arial"/>
          <w:sz w:val="16"/>
          <w:szCs w:val="16"/>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16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32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xml:space="preserve">. Holdings will not, and will not permit any of the Restricted Subsidiaries to, create, incur, assume or suffer to exist any Lien upon any property or assets of any kind (real or personal, tangible or intangible) of Holdings or any Restricted Subsidiary, whether now owned or hereafter acquired </w:t>
      </w:r>
      <w:r>
        <w:rPr>
          <w:rFonts w:ascii="Arial" w:cs="Arial" w:eastAsia="Arial" w:hAnsi="Arial"/>
          <w:sz w:val="18"/>
          <w:szCs w:val="18"/>
          <w:color w:val="FF0000"/>
          <w:strike w:val="1"/>
        </w:rPr>
        <w:t>other than Permitted Liens.</w:t>
      </w:r>
      <w:r>
        <w:rPr>
          <w:rFonts w:ascii="Arial" w:cs="Arial" w:eastAsia="Arial" w:hAnsi="Arial"/>
          <w:sz w:val="18"/>
          <w:szCs w:val="18"/>
          <w:u w:val="single" w:color="auto"/>
          <w:color w:val="0000FF"/>
        </w:rPr>
        <w:t>(each, a “</w:t>
      </w:r>
      <w:r>
        <w:rPr>
          <w:rFonts w:ascii="Arial" w:cs="Arial" w:eastAsia="Arial" w:hAnsi="Arial"/>
          <w:sz w:val="18"/>
          <w:szCs w:val="18"/>
          <w:b w:val="1"/>
          <w:bCs w:val="1"/>
          <w:u w:val="single" w:color="auto"/>
          <w:color w:val="0000FF"/>
        </w:rPr>
        <w:t>Subject Lien</w:t>
      </w:r>
      <w:r>
        <w:rPr>
          <w:rFonts w:ascii="Arial" w:cs="Arial" w:eastAsia="Arial" w:hAnsi="Arial"/>
          <w:sz w:val="18"/>
          <w:szCs w:val="18"/>
          <w:u w:val="single" w:color="auto"/>
          <w:color w:val="0000FF"/>
        </w:rPr>
        <w:t>”) that secures obligations under any Indebtedness on any asset or property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Holdings or any Restricted Subsidiary, except:</w:t>
      </w:r>
    </w:p>
    <w:p>
      <w:pPr>
        <w:spacing w:after="0" w:line="187" w:lineRule="exact"/>
        <w:rPr>
          <w:sz w:val="20"/>
          <w:szCs w:val="20"/>
          <w:color w:val="auto"/>
        </w:rPr>
      </w:pPr>
    </w:p>
    <w:p>
      <w:pPr>
        <w:ind w:left="1920" w:hanging="357"/>
        <w:spacing w:after="0"/>
        <w:tabs>
          <w:tab w:leader="none" w:pos="1920" w:val="left"/>
        </w:tabs>
        <w:numPr>
          <w:ilvl w:val="1"/>
          <w:numId w:val="15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Subject Liens on any Collateral, if such Subject Lien is a Permitted Lien;</w:t>
      </w:r>
    </w:p>
    <w:p>
      <w:pPr>
        <w:spacing w:after="0" w:line="225" w:lineRule="exact"/>
        <w:rPr>
          <w:rFonts w:ascii="Arial" w:cs="Arial" w:eastAsia="Arial" w:hAnsi="Arial"/>
          <w:sz w:val="18"/>
          <w:szCs w:val="18"/>
          <w:u w:val="single" w:color="auto"/>
          <w:color w:val="0000FF"/>
        </w:rPr>
      </w:pPr>
    </w:p>
    <w:p>
      <w:pPr>
        <w:ind w:left="660" w:right="200" w:firstLine="903"/>
        <w:spacing w:after="0" w:line="263" w:lineRule="auto"/>
        <w:tabs>
          <w:tab w:leader="none" w:pos="1967" w:val="left"/>
        </w:tabs>
        <w:numPr>
          <w:ilvl w:val="1"/>
          <w:numId w:val="151"/>
        </w:numPr>
        <w:rPr>
          <w:rFonts w:ascii="Arial" w:cs="Arial" w:eastAsia="Arial" w:hAnsi="Arial"/>
          <w:sz w:val="18"/>
          <w:szCs w:val="18"/>
          <w:u w:val="single" w:color="auto"/>
          <w:color w:val="0000FF"/>
        </w:rPr>
      </w:pPr>
      <w:r>
        <w:rPr>
          <w:rFonts w:ascii="Arial" w:cs="Arial" w:eastAsia="Arial" w:hAnsi="Arial"/>
          <w:sz w:val="18"/>
          <w:szCs w:val="18"/>
          <w:u w:val="single" w:color="auto"/>
          <w:color w:val="008000"/>
        </w:rPr>
        <w:t xml:space="preserve">in the case of any </w:t>
      </w:r>
      <w:r>
        <w:rPr>
          <w:rFonts w:ascii="Arial" w:cs="Arial" w:eastAsia="Arial" w:hAnsi="Arial"/>
          <w:sz w:val="18"/>
          <w:szCs w:val="18"/>
          <w:u w:val="single" w:color="auto"/>
          <w:color w:val="0000FF"/>
        </w:rPr>
        <w:t>other asset or property, any Subject Lien if (i) the Obligations are equally and ratably secured with (or on a</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senior basis to, in the case such Subject Lien secures any Junior Debt) the obligations secured by such Subject Lien or (ii) such Subject Lien is a Permitted Lien; and</w:t>
      </w:r>
    </w:p>
    <w:p>
      <w:pPr>
        <w:spacing w:after="0" w:line="183" w:lineRule="exact"/>
        <w:rPr>
          <w:rFonts w:ascii="Arial" w:cs="Arial" w:eastAsia="Arial" w:hAnsi="Arial"/>
          <w:sz w:val="18"/>
          <w:szCs w:val="18"/>
          <w:u w:val="single" w:color="auto"/>
          <w:color w:val="0000FF"/>
        </w:rPr>
      </w:pPr>
    </w:p>
    <w:p>
      <w:pPr>
        <w:ind w:left="660" w:right="40" w:firstLine="903"/>
        <w:spacing w:after="0" w:line="283" w:lineRule="auto"/>
        <w:tabs>
          <w:tab w:leader="none" w:pos="2017" w:val="left"/>
        </w:tabs>
        <w:numPr>
          <w:ilvl w:val="1"/>
          <w:numId w:val="15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any other Subject Lien (without duplication of Liens permitted under clauses (i) and (ii) of this Section 10.2(a)) if (x) the obligations secured by such Subject Lien (“Junior Lien Indebtedness”) are junior to the Obligations and (y) the assets or property secured by such Subject Lien are on Collateral (or immediately upon incurring such Junior Lien Indebtedness such assets or property become Collateral); provided that (i) in the case of Junior Lien Indebtedness that constitutes debt for borrowed money, such Junior Lien Indebtedness complies with clauses (a), (b), and (c) of the definition of “Permitted Other Indebtedness” and (ii) in the case of Junior Lien Indebtedness that constitutes debt for borrowed money, the applicable holders of such Junior Lien Indebtedness (or a representative thereof on behalf of such holders) shall enter into security documents with terms and conditions not materially more restrictive to the Credit Parties, taken as a whole, than the terms and conditions of the Security Documents and shall (A) </w:t>
      </w:r>
      <w:r>
        <w:rPr>
          <w:rFonts w:ascii="Arial" w:cs="Arial" w:eastAsia="Arial" w:hAnsi="Arial"/>
          <w:sz w:val="16"/>
          <w:szCs w:val="16"/>
          <w:u w:val="single" w:color="auto"/>
          <w:color w:val="008000"/>
        </w:rPr>
        <w:t>in the case of the</w:t>
      </w:r>
      <w:r>
        <w:rPr>
          <w:rFonts w:ascii="Arial" w:cs="Arial" w:eastAsia="Arial" w:hAnsi="Arial"/>
          <w:sz w:val="16"/>
          <w:szCs w:val="16"/>
          <w:u w:val="single" w:color="auto"/>
          <w:color w:val="0000FF"/>
        </w:rPr>
        <w:t xml:space="preserve"> first such issuance of such Junior Lien Indebtedness, the Collateral Agent, the Administrative Agent and the representative of the holders of such Junior Lien Indebtedness shall have entered into the Second Lien Intercreditor Agreement and</w:t>
      </w:r>
    </w:p>
    <w:p>
      <w:pPr>
        <w:spacing w:after="0" w:line="5" w:lineRule="exact"/>
        <w:rPr>
          <w:rFonts w:ascii="Arial" w:cs="Arial" w:eastAsia="Arial" w:hAnsi="Arial"/>
          <w:sz w:val="16"/>
          <w:szCs w:val="16"/>
          <w:u w:val="single" w:color="auto"/>
          <w:color w:val="0000FF"/>
        </w:rPr>
      </w:pPr>
    </w:p>
    <w:p>
      <w:pPr>
        <w:ind w:left="660" w:right="60" w:hanging="4"/>
        <w:spacing w:after="0" w:line="253" w:lineRule="auto"/>
        <w:tabs>
          <w:tab w:leader="none" w:pos="945" w:val="left"/>
        </w:tabs>
        <w:numPr>
          <w:ilvl w:val="0"/>
          <w:numId w:val="15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subsequent issuances of such Junior Lien Indebtedness, the representative for the holders of such Junior Lien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contemplated by this clause (ii).</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u w:val="single" w:color="auto"/>
          <w:color w:val="0000FF"/>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Holdings will not, and will not permit any of the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spacing w:after="0" w:line="184" w:lineRule="exact"/>
        <w:rPr>
          <w:sz w:val="20"/>
          <w:szCs w:val="20"/>
          <w:color w:val="auto"/>
        </w:rPr>
      </w:pPr>
    </w:p>
    <w:p>
      <w:pPr>
        <w:ind w:left="660" w:right="120" w:firstLine="644"/>
        <w:spacing w:after="0" w:line="255" w:lineRule="auto"/>
        <w:tabs>
          <w:tab w:leader="none" w:pos="168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so long as no Event of Default has occurred and is continuing or would result therefrom, any Subsidiary of Holdings or any other Person may be merged, amalgamated or consolidated with or into Holdings or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Holdings or the Borrower shall be the continuing or surviving corporation or (B) if the Person formed by or surviving any such merger, amalgamation or consolidation is not Holdings or the Borrower (such other Person, the “</w:t>
      </w:r>
      <w:r>
        <w:rPr>
          <w:rFonts w:ascii="Arial" w:cs="Arial" w:eastAsia="Arial" w:hAnsi="Arial"/>
          <w:sz w:val="18"/>
          <w:szCs w:val="18"/>
          <w:b w:val="1"/>
          <w:bCs w:val="1"/>
          <w:color w:val="auto"/>
        </w:rPr>
        <w:t>Successor Borrower</w:t>
      </w:r>
      <w:r>
        <w:rPr>
          <w:rFonts w:ascii="Arial" w:cs="Arial" w:eastAsia="Arial" w:hAnsi="Arial"/>
          <w:sz w:val="18"/>
          <w:szCs w:val="18"/>
          <w:color w:val="auto"/>
        </w:rPr>
        <w:t>”), (1) the Successor Borrower shall be an entity organized or existing under the laws of the United States, any state thereof, or the District of Columbia, (2) the Successor Borrower shall expressly assume all the obligations of Holdings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322" w:lineRule="exact"/>
        <w:rPr>
          <w:sz w:val="20"/>
          <w:szCs w:val="20"/>
          <w:color w:val="auto"/>
        </w:rPr>
      </w:pPr>
    </w:p>
    <w:p>
      <w:pPr>
        <w:ind w:left="4" w:right="60"/>
        <w:spacing w:after="0" w:line="283" w:lineRule="auto"/>
        <w:rPr>
          <w:sz w:val="20"/>
          <w:szCs w:val="20"/>
          <w:color w:val="auto"/>
        </w:rPr>
      </w:pPr>
      <w:r>
        <w:rPr>
          <w:rFonts w:ascii="Arial" w:cs="Arial" w:eastAsia="Arial" w:hAnsi="Arial"/>
          <w:sz w:val="16"/>
          <w:szCs w:val="16"/>
          <w:color w:val="auto"/>
        </w:rPr>
        <w:t xml:space="preserve">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Arial" w:cs="Arial" w:eastAsia="Arial" w:hAnsi="Arial"/>
          <w:sz w:val="16"/>
          <w:szCs w:val="16"/>
          <w:u w:val="single" w:color="auto"/>
          <w:color w:val="auto"/>
        </w:rPr>
        <w:t>clauses (3)</w:t>
      </w:r>
      <w:r>
        <w:rPr>
          <w:rFonts w:ascii="Arial" w:cs="Arial" w:eastAsia="Arial" w:hAnsi="Arial"/>
          <w:sz w:val="16"/>
          <w:szCs w:val="16"/>
          <w:color w:val="auto"/>
        </w:rPr>
        <w:t xml:space="preserve"> through</w:t>
      </w:r>
    </w:p>
    <w:p>
      <w:pPr>
        <w:spacing w:after="0" w:line="4" w:lineRule="exact"/>
        <w:rPr>
          <w:sz w:val="20"/>
          <w:szCs w:val="20"/>
          <w:color w:val="auto"/>
        </w:rPr>
      </w:pPr>
    </w:p>
    <w:p>
      <w:pPr>
        <w:ind w:left="4" w:right="60" w:hanging="4"/>
        <w:spacing w:after="0" w:line="323" w:lineRule="auto"/>
        <w:tabs>
          <w:tab w:leader="none" w:pos="259" w:val="left"/>
        </w:tabs>
        <w:numPr>
          <w:ilvl w:val="0"/>
          <w:numId w:val="154"/>
        </w:numPr>
        <w:rPr>
          <w:rFonts w:ascii="Arial" w:cs="Arial" w:eastAsia="Arial" w:hAnsi="Arial"/>
          <w:sz w:val="16"/>
          <w:szCs w:val="16"/>
          <w:u w:val="single" w:color="auto"/>
          <w:color w:val="auto"/>
        </w:rPr>
      </w:pPr>
      <w:r>
        <w:rPr>
          <w:rFonts w:ascii="Arial" w:cs="Arial" w:eastAsia="Arial" w:hAnsi="Arial"/>
          <w:sz w:val="16"/>
          <w:szCs w:val="16"/>
          <w:color w:val="auto"/>
        </w:rPr>
        <w:t>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spacing w:after="0" w:line="138" w:lineRule="exact"/>
        <w:rPr>
          <w:rFonts w:ascii="Arial" w:cs="Arial" w:eastAsia="Arial" w:hAnsi="Arial"/>
          <w:sz w:val="16"/>
          <w:szCs w:val="16"/>
          <w:u w:val="single" w:color="auto"/>
          <w:color w:val="auto"/>
        </w:rPr>
      </w:pPr>
    </w:p>
    <w:p>
      <w:pPr>
        <w:ind w:left="4" w:firstLine="644"/>
        <w:spacing w:after="0" w:line="269" w:lineRule="auto"/>
        <w:tabs>
          <w:tab w:leader="none" w:pos="1042"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so long as no Event of Default has occurred and is continuing or would result therefrom, any Subsidiary of Holdings or any other Person (in each case, other than the Borrower) may be merged, amalgamated or consolidated with or into any one or more Subsidiaries of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case of any merger, amalgamation or consolidation involving one or more Restricted Subsidiaries, (A) a Restricted Subsidiary shall be the continuing or surviving Person or (B) Holdings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and if the surviving Person is not already a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Holdings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spacing w:after="0" w:line="178" w:lineRule="exact"/>
        <w:rPr>
          <w:rFonts w:ascii="Arial" w:cs="Arial" w:eastAsia="Arial" w:hAnsi="Arial"/>
          <w:sz w:val="17"/>
          <w:szCs w:val="17"/>
          <w:color w:val="auto"/>
        </w:rPr>
      </w:pPr>
    </w:p>
    <w:p>
      <w:pPr>
        <w:ind w:left="1024" w:hanging="376"/>
        <w:spacing w:after="0"/>
        <w:tabs>
          <w:tab w:leader="none" w:pos="102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Transactions may be consummated;</w:t>
      </w:r>
    </w:p>
    <w:p>
      <w:pPr>
        <w:spacing w:after="0" w:line="225" w:lineRule="exact"/>
        <w:rPr>
          <w:rFonts w:ascii="Arial" w:cs="Arial" w:eastAsia="Arial" w:hAnsi="Arial"/>
          <w:sz w:val="18"/>
          <w:szCs w:val="18"/>
          <w:color w:val="auto"/>
        </w:rPr>
      </w:pPr>
    </w:p>
    <w:p>
      <w:pPr>
        <w:ind w:left="4" w:right="160" w:firstLine="644"/>
        <w:spacing w:after="0" w:line="259" w:lineRule="auto"/>
        <w:tabs>
          <w:tab w:leader="none" w:pos="104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 any Restricted Subsidiary that is not a Credit Party may convey, sell, lease, assign, transfer or otherwise dispose of any or all of its assets (upon voluntary liquidation or dissolution or otherwise) to Holdings or any other Restricted Subsidiary or (ii) any Credit Party (other than the Borrower) may convey, sell, lease, assign, transfer or otherwise dispose of any or all of its assets (upon voluntary liquidation or dissolution or otherwise) to any other Credit Party;</w:t>
      </w:r>
    </w:p>
    <w:p>
      <w:pPr>
        <w:spacing w:after="0" w:line="186" w:lineRule="exact"/>
        <w:rPr>
          <w:rFonts w:ascii="Arial" w:cs="Arial" w:eastAsia="Arial" w:hAnsi="Arial"/>
          <w:sz w:val="18"/>
          <w:szCs w:val="18"/>
          <w:color w:val="auto"/>
        </w:rPr>
      </w:pPr>
    </w:p>
    <w:p>
      <w:pPr>
        <w:jc w:val="both"/>
        <w:ind w:left="4" w:right="60" w:firstLine="644"/>
        <w:spacing w:after="0" w:line="263" w:lineRule="auto"/>
        <w:tabs>
          <w:tab w:leader="none" w:pos="103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any Subsidiary may convey, sell, lease, assign, transfer or otherwise dispose of any or all of its assets (upon voluntary liquidation or dissolution or otherwise) to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consideration for any such disposition by any Person other than a Guarantor shall not exceed the fair value of such assets;</w:t>
      </w:r>
    </w:p>
    <w:p>
      <w:pPr>
        <w:spacing w:after="0" w:line="183" w:lineRule="exact"/>
        <w:rPr>
          <w:rFonts w:ascii="Arial" w:cs="Arial" w:eastAsia="Arial" w:hAnsi="Arial"/>
          <w:sz w:val="18"/>
          <w:szCs w:val="18"/>
          <w:color w:val="auto"/>
        </w:rPr>
      </w:pPr>
    </w:p>
    <w:p>
      <w:pPr>
        <w:ind w:left="4" w:right="640" w:firstLine="644"/>
        <w:spacing w:after="0" w:line="308" w:lineRule="auto"/>
        <w:tabs>
          <w:tab w:leader="none" w:pos="1012"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any Restricted Subsidiary (other than the Borrower) may liquidate or dissolve if Holdings determines in good faith that such liquidation or dissolution is in the best interests of Holdings and is not materially disadvantageous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584"/>
          </w:cols>
          <w:pgMar w:left="976" w:top="1440" w:right="339" w:bottom="1440" w:gutter="0" w:footer="0" w:header="0"/>
        </w:sectPr>
      </w:pPr>
    </w:p>
    <w:bookmarkStart w:id="155" w:name="page156"/>
    <w:bookmarkEnd w:id="155"/>
    <w:p>
      <w:pPr>
        <w:spacing w:after="0" w:line="200" w:lineRule="exact"/>
        <w:rPr>
          <w:sz w:val="20"/>
          <w:szCs w:val="20"/>
          <w:color w:val="auto"/>
        </w:rPr>
      </w:pPr>
    </w:p>
    <w:p>
      <w:pPr>
        <w:spacing w:after="0" w:line="322" w:lineRule="exact"/>
        <w:rPr>
          <w:sz w:val="20"/>
          <w:szCs w:val="20"/>
          <w:color w:val="auto"/>
        </w:rPr>
      </w:pPr>
    </w:p>
    <w:p>
      <w:pPr>
        <w:ind w:right="60" w:firstLine="644"/>
        <w:spacing w:after="0" w:line="279" w:lineRule="auto"/>
        <w:tabs>
          <w:tab w:leader="none" w:pos="103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Holdings and the Restricted Subsidiaries may consummate a merger, dissolution, liquidation, consolidation, investment or conveyance, sale, lease, assignment or disposition, the purpose of which is to effect an Asset Sale (which for purposes of this </w:t>
      </w:r>
      <w:r>
        <w:rPr>
          <w:rFonts w:ascii="Arial" w:cs="Arial" w:eastAsia="Arial" w:hAnsi="Arial"/>
          <w:sz w:val="17"/>
          <w:szCs w:val="17"/>
          <w:u w:val="single" w:color="auto"/>
          <w:color w:val="auto"/>
        </w:rPr>
        <w:t>Section 10.3(g)</w:t>
      </w:r>
      <w:r>
        <w:rPr>
          <w:rFonts w:ascii="Arial" w:cs="Arial" w:eastAsia="Arial" w:hAnsi="Arial"/>
          <w:sz w:val="17"/>
          <w:szCs w:val="17"/>
          <w:color w:val="auto"/>
        </w:rPr>
        <w:t xml:space="preserve">, will include any disposition below the dollar threshold set forth in clause (d) of the definition of “Asset Sale”) permitted by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 investment permitted pursuant to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or an investment that constitutes a Permitted Investment; and</w:t>
      </w:r>
    </w:p>
    <w:p>
      <w:pPr>
        <w:spacing w:after="0" w:line="171" w:lineRule="exact"/>
        <w:rPr>
          <w:rFonts w:ascii="Arial" w:cs="Arial" w:eastAsia="Arial" w:hAnsi="Arial"/>
          <w:sz w:val="17"/>
          <w:szCs w:val="17"/>
          <w:color w:val="auto"/>
        </w:rPr>
      </w:pPr>
    </w:p>
    <w:p>
      <w:pPr>
        <w:ind w:right="40" w:firstLine="644"/>
        <w:spacing w:after="0" w:line="277" w:lineRule="auto"/>
        <w:tabs>
          <w:tab w:leader="none" w:pos="103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Holdings or any Restricted Subsidiary may change its legal form.</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Limitation on Sale of Assets</w:t>
      </w:r>
      <w:r>
        <w:rPr>
          <w:rFonts w:ascii="Arial" w:cs="Arial" w:eastAsia="Arial" w:hAnsi="Arial"/>
          <w:sz w:val="16"/>
          <w:szCs w:val="16"/>
          <w:color w:val="auto"/>
        </w:rPr>
        <w:t>. Holdings will not, and will not permit any Restricted Subsidiary to, consummate an Asset Sale, unless:</w:t>
      </w:r>
    </w:p>
    <w:p>
      <w:pPr>
        <w:spacing w:after="0" w:line="225" w:lineRule="exact"/>
        <w:rPr>
          <w:sz w:val="20"/>
          <w:szCs w:val="20"/>
          <w:color w:val="auto"/>
        </w:rPr>
      </w:pPr>
    </w:p>
    <w:p>
      <w:pPr>
        <w:ind w:right="20" w:firstLine="644"/>
        <w:spacing w:after="0" w:line="342" w:lineRule="auto"/>
        <w:tabs>
          <w:tab w:leader="none" w:pos="102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Holdings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123" w:lineRule="exact"/>
        <w:rPr>
          <w:rFonts w:ascii="Arial" w:cs="Arial" w:eastAsia="Arial" w:hAnsi="Arial"/>
          <w:sz w:val="16"/>
          <w:szCs w:val="16"/>
          <w:color w:val="auto"/>
        </w:rPr>
      </w:pPr>
    </w:p>
    <w:p>
      <w:pPr>
        <w:ind w:right="260" w:firstLine="644"/>
        <w:spacing w:after="0" w:line="263" w:lineRule="auto"/>
        <w:tabs>
          <w:tab w:leader="none" w:pos="103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in the case of a Permitted Asset Swap, if the property or assets sold or otherwise disposed of have a Fair Market Value in excess of $</w:t>
      </w:r>
      <w:r>
        <w:rPr>
          <w:rFonts w:ascii="Arial" w:cs="Arial" w:eastAsia="Arial" w:hAnsi="Arial"/>
          <w:sz w:val="18"/>
          <w:szCs w:val="18"/>
          <w:color w:val="FF0000"/>
          <w:strike w:val="1"/>
        </w:rPr>
        <w:t>1,000,000</w:t>
      </w:r>
      <w:r>
        <w:rPr>
          <w:rFonts w:ascii="Arial" w:cs="Arial" w:eastAsia="Arial" w:hAnsi="Arial"/>
          <w:sz w:val="18"/>
          <w:szCs w:val="18"/>
          <w:u w:val="single" w:color="auto"/>
          <w:color w:val="0000FF"/>
        </w:rPr>
        <w:t>10,000,000</w:t>
      </w:r>
      <w:r>
        <w:rPr>
          <w:rFonts w:ascii="Arial" w:cs="Arial" w:eastAsia="Arial" w:hAnsi="Arial"/>
          <w:sz w:val="18"/>
          <w:szCs w:val="18"/>
          <w:color w:val="auto"/>
        </w:rPr>
        <w:t xml:space="preserve">, at least 75% of the consideration therefor received by Holdings or such Restricted Subsidiary, as the case may be, is in the form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w:t>
      </w:r>
    </w:p>
    <w:p>
      <w:pPr>
        <w:spacing w:after="0" w:line="183" w:lineRule="exact"/>
        <w:rPr>
          <w:rFonts w:ascii="Arial" w:cs="Arial" w:eastAsia="Arial" w:hAnsi="Arial"/>
          <w:sz w:val="18"/>
          <w:szCs w:val="18"/>
          <w:color w:val="auto"/>
        </w:rPr>
      </w:pPr>
    </w:p>
    <w:p>
      <w:pPr>
        <w:ind w:left="640" w:firstLine="911"/>
        <w:spacing w:after="0" w:line="293" w:lineRule="auto"/>
        <w:tabs>
          <w:tab w:leader="none" w:pos="189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such Restricted Subsidiaries have been validly released by all applicable creditors in writing;</w:t>
      </w:r>
    </w:p>
    <w:p>
      <w:pPr>
        <w:spacing w:after="0" w:line="164" w:lineRule="exact"/>
        <w:rPr>
          <w:rFonts w:ascii="Arial" w:cs="Arial" w:eastAsia="Arial" w:hAnsi="Arial"/>
          <w:sz w:val="16"/>
          <w:szCs w:val="16"/>
          <w:color w:val="auto"/>
        </w:rPr>
      </w:pPr>
    </w:p>
    <w:p>
      <w:pPr>
        <w:ind w:left="640" w:right="20" w:firstLine="911"/>
        <w:spacing w:after="0" w:line="259" w:lineRule="auto"/>
        <w:tabs>
          <w:tab w:leader="none" w:pos="194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Holdings or such Restricted Subsidiary from such transferee that are converted by Holdings or such Restricted Subsidiary into cash or Cash Equivalents, or by their terms are required to be satisfied for cash or Cash Equivalents (to the extent of the cash or Cash Equivalents received), in each case, within 180 days following the closing of such Asset Sale;</w:t>
      </w:r>
    </w:p>
    <w:p>
      <w:pPr>
        <w:spacing w:after="0" w:line="186" w:lineRule="exact"/>
        <w:rPr>
          <w:rFonts w:ascii="Arial" w:cs="Arial" w:eastAsia="Arial" w:hAnsi="Arial"/>
          <w:sz w:val="18"/>
          <w:szCs w:val="18"/>
          <w:color w:val="auto"/>
        </w:rPr>
      </w:pPr>
    </w:p>
    <w:p>
      <w:pPr>
        <w:ind w:left="640" w:right="300" w:firstLine="911"/>
        <w:spacing w:after="0" w:line="311" w:lineRule="auto"/>
        <w:tabs>
          <w:tab w:leader="none" w:pos="199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Indebtedness, other than liabilities that are by their terms subordinated to the Loans, that are of any Restricted Subsidiary that is no longer a Restricted Subsidiary as a result of such Asset Sale, to the extent that Holdings and all Restricted Subsidiaries have been validly released from any Guarantee of payment of such Indebtedness in connection with such Asset Sale; and</w:t>
      </w:r>
    </w:p>
    <w:p>
      <w:pPr>
        <w:spacing w:after="0" w:line="148" w:lineRule="exact"/>
        <w:rPr>
          <w:rFonts w:ascii="Arial" w:cs="Arial" w:eastAsia="Arial" w:hAnsi="Arial"/>
          <w:sz w:val="16"/>
          <w:szCs w:val="16"/>
          <w:color w:val="auto"/>
        </w:rPr>
      </w:pPr>
    </w:p>
    <w:p>
      <w:pPr>
        <w:ind w:left="640" w:right="60" w:firstLine="911"/>
        <w:spacing w:after="0" w:line="287" w:lineRule="auto"/>
        <w:tabs>
          <w:tab w:leader="none" w:pos="1987" w:val="left"/>
        </w:tabs>
        <w:numPr>
          <w:ilvl w:val="1"/>
          <w:numId w:val="156"/>
        </w:numPr>
        <w:rPr>
          <w:rFonts w:ascii="Arial" w:cs="Arial" w:eastAsia="Arial" w:hAnsi="Arial"/>
          <w:sz w:val="16"/>
          <w:szCs w:val="16"/>
          <w:color w:val="auto"/>
        </w:rPr>
      </w:pPr>
      <w:r>
        <w:rPr>
          <w:rFonts w:ascii="Arial" w:cs="Arial" w:eastAsia="Arial" w:hAnsi="Arial"/>
          <w:sz w:val="16"/>
          <w:szCs w:val="16"/>
          <w:color w:val="FF0000"/>
          <w:strike w:val="1"/>
        </w:rPr>
        <w:t>except during the Additional Restrictions Period,</w:t>
      </w:r>
      <w:r>
        <w:rPr>
          <w:rFonts w:ascii="Arial" w:cs="Arial" w:eastAsia="Arial" w:hAnsi="Arial"/>
          <w:sz w:val="16"/>
          <w:szCs w:val="16"/>
          <w:color w:val="FF0000"/>
        </w:rPr>
        <w:t xml:space="preserve"> </w:t>
      </w:r>
      <w:r>
        <w:rPr>
          <w:rFonts w:ascii="Arial" w:cs="Arial" w:eastAsia="Arial" w:hAnsi="Arial"/>
          <w:sz w:val="16"/>
          <w:szCs w:val="16"/>
          <w:color w:val="000000"/>
        </w:rPr>
        <w:t>any Designated Non-Cash Consideration received by Holdings or</w:t>
      </w:r>
      <w:r>
        <w:rPr>
          <w:rFonts w:ascii="Arial" w:cs="Arial" w:eastAsia="Arial" w:hAnsi="Arial"/>
          <w:sz w:val="16"/>
          <w:szCs w:val="16"/>
          <w:color w:val="FF0000"/>
        </w:rPr>
        <w:t xml:space="preserve"> </w:t>
      </w:r>
      <w:r>
        <w:rPr>
          <w:rFonts w:ascii="Arial" w:cs="Arial" w:eastAsia="Arial" w:hAnsi="Arial"/>
          <w:sz w:val="16"/>
          <w:szCs w:val="16"/>
          <w:color w:val="000000"/>
        </w:rPr>
        <w:t xml:space="preserve">such Restricted Subsidiary in such Asset Sale having an aggregate Fair Market Value, taken together with all other Designated Non-Cash Consideration received pursuant to this </w:t>
      </w:r>
      <w:r>
        <w:rPr>
          <w:rFonts w:ascii="Arial" w:cs="Arial" w:eastAsia="Arial" w:hAnsi="Arial"/>
          <w:sz w:val="16"/>
          <w:szCs w:val="16"/>
          <w:u w:val="single" w:color="auto"/>
          <w:color w:val="000000"/>
        </w:rPr>
        <w:t>clause (iv)</w:t>
      </w:r>
      <w:r>
        <w:rPr>
          <w:rFonts w:ascii="Arial" w:cs="Arial" w:eastAsia="Arial" w:hAnsi="Arial"/>
          <w:sz w:val="16"/>
          <w:szCs w:val="16"/>
          <w:color w:val="000000"/>
        </w:rPr>
        <w:t xml:space="preserve"> that is at that time outstanding, not to exceed the greater of $</w:t>
      </w:r>
      <w:r>
        <w:rPr>
          <w:rFonts w:ascii="Arial" w:cs="Arial" w:eastAsia="Arial" w:hAnsi="Arial"/>
          <w:sz w:val="16"/>
          <w:szCs w:val="16"/>
          <w:color w:val="FF0000"/>
          <w:strike w:val="1"/>
        </w:rPr>
        <w:t>40,000,000 or</w:t>
      </w:r>
    </w:p>
    <w:p>
      <w:pPr>
        <w:spacing w:after="0" w:line="2" w:lineRule="exact"/>
        <w:rPr>
          <w:rFonts w:ascii="Arial" w:cs="Arial" w:eastAsia="Arial" w:hAnsi="Arial"/>
          <w:sz w:val="16"/>
          <w:szCs w:val="16"/>
          <w:color w:val="auto"/>
        </w:rPr>
      </w:pPr>
    </w:p>
    <w:p>
      <w:pPr>
        <w:ind w:left="640" w:right="100"/>
        <w:spacing w:after="0" w:line="255" w:lineRule="auto"/>
        <w:rPr>
          <w:rFonts w:ascii="Arial" w:cs="Arial" w:eastAsia="Arial" w:hAnsi="Arial"/>
          <w:sz w:val="16"/>
          <w:szCs w:val="16"/>
          <w:color w:val="auto"/>
        </w:rPr>
      </w:pPr>
      <w:r>
        <w:rPr>
          <w:rFonts w:ascii="Arial" w:cs="Arial" w:eastAsia="Arial" w:hAnsi="Arial"/>
          <w:sz w:val="18"/>
          <w:szCs w:val="18"/>
          <w:color w:val="FF0000"/>
          <w:strike w:val="1"/>
        </w:rPr>
        <w:t>2.0</w:t>
      </w:r>
      <w:r>
        <w:rPr>
          <w:rFonts w:ascii="Arial" w:cs="Arial" w:eastAsia="Arial" w:hAnsi="Arial"/>
          <w:sz w:val="18"/>
          <w:szCs w:val="18"/>
          <w:u w:val="single" w:color="auto"/>
          <w:color w:val="0000FF"/>
        </w:rPr>
        <w:t>85,000,000 or 6.0</w:t>
      </w:r>
      <w:r>
        <w:rPr>
          <w:rFonts w:ascii="Arial" w:cs="Arial" w:eastAsia="Arial" w:hAnsi="Arial"/>
          <w:sz w:val="18"/>
          <w:szCs w:val="18"/>
          <w:color w:val="000000"/>
        </w:rPr>
        <w:t>% of Consolidated Total Assets at the time of the receipt of such Designated Non-Cash Consideration, with the Fair</w:t>
      </w:r>
      <w:r>
        <w:rPr>
          <w:rFonts w:ascii="Arial" w:cs="Arial" w:eastAsia="Arial" w:hAnsi="Arial"/>
          <w:sz w:val="18"/>
          <w:szCs w:val="18"/>
          <w:color w:val="FF0000"/>
        </w:rPr>
        <w:t xml:space="preserve"> </w:t>
      </w:r>
      <w:r>
        <w:rPr>
          <w:rFonts w:ascii="Arial" w:cs="Arial" w:eastAsia="Arial" w:hAnsi="Arial"/>
          <w:sz w:val="18"/>
          <w:szCs w:val="18"/>
          <w:color w:val="000000"/>
        </w:rPr>
        <w:t>Market Value of each item of Designated Non-Cash Consideration being measured at the time received and without giving effect to subsequent changes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580"/>
          </w:cols>
          <w:pgMar w:left="980" w:top="1440" w:right="339" w:bottom="1440" w:gutter="0" w:footer="0" w:header="0"/>
        </w:sectPr>
      </w:pPr>
    </w:p>
    <w:bookmarkStart w:id="156" w:name="page157"/>
    <w:bookmarkEnd w:id="156"/>
    <w:p>
      <w:pPr>
        <w:spacing w:after="0" w:line="200" w:lineRule="exact"/>
        <w:rPr>
          <w:sz w:val="20"/>
          <w:szCs w:val="20"/>
          <w:color w:val="auto"/>
        </w:rPr>
      </w:pPr>
    </w:p>
    <w:p>
      <w:pPr>
        <w:spacing w:after="0" w:line="32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shall be deemed to be cash for purposes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provision and for no other purpose.</w:t>
      </w:r>
    </w:p>
    <w:p>
      <w:pPr>
        <w:spacing w:after="0" w:line="225" w:lineRule="exact"/>
        <w:rPr>
          <w:sz w:val="20"/>
          <w:szCs w:val="20"/>
          <w:color w:val="auto"/>
        </w:rPr>
      </w:pPr>
    </w:p>
    <w:p>
      <w:pPr>
        <w:ind w:left="4" w:right="520" w:firstLine="648"/>
        <w:spacing w:after="0" w:line="277" w:lineRule="auto"/>
        <w:rPr>
          <w:sz w:val="20"/>
          <w:szCs w:val="20"/>
          <w:color w:val="auto"/>
        </w:rPr>
      </w:pPr>
      <w:r>
        <w:rPr>
          <w:rFonts w:ascii="Arial" w:cs="Arial" w:eastAsia="Arial" w:hAnsi="Arial"/>
          <w:sz w:val="18"/>
          <w:szCs w:val="18"/>
          <w:color w:val="auto"/>
        </w:rPr>
        <w:t>Within the Reinvestment Period after Holdings’ or any Restricted Subsidiary’s receipt of the Net Cash Proceeds of any Asset Sale, Holdings or such Restricted Subsidiary shall apply the Net Cash Proceeds from such Asset Sale:</w:t>
      </w:r>
    </w:p>
    <w:p>
      <w:pPr>
        <w:spacing w:after="0" w:line="170" w:lineRule="exact"/>
        <w:rPr>
          <w:sz w:val="20"/>
          <w:szCs w:val="20"/>
          <w:color w:val="auto"/>
        </w:rPr>
      </w:pPr>
    </w:p>
    <w:p>
      <w:pPr>
        <w:ind w:left="1264" w:hanging="357"/>
        <w:spacing w:after="0"/>
        <w:tabs>
          <w:tab w:leader="none" w:pos="12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to prepay Loans or Permitted Other Indebtedness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 and/or</w:t>
      </w:r>
    </w:p>
    <w:p>
      <w:pPr>
        <w:spacing w:after="0" w:line="225" w:lineRule="exact"/>
        <w:rPr>
          <w:rFonts w:ascii="Arial" w:cs="Arial" w:eastAsia="Arial" w:hAnsi="Arial"/>
          <w:sz w:val="18"/>
          <w:szCs w:val="18"/>
          <w:color w:val="auto"/>
        </w:rPr>
      </w:pPr>
    </w:p>
    <w:p>
      <w:pPr>
        <w:ind w:left="4" w:right="100" w:firstLine="903"/>
        <w:spacing w:after="0" w:line="254" w:lineRule="auto"/>
        <w:tabs>
          <w:tab w:leader="none" w:pos="13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make investments in the Borrower and its Subsidiaries</w:t>
      </w:r>
      <w:r>
        <w:rPr>
          <w:rFonts w:ascii="Arial" w:cs="Arial" w:eastAsia="Arial" w:hAnsi="Arial"/>
          <w:sz w:val="18"/>
          <w:szCs w:val="18"/>
          <w:color w:val="FF0000"/>
          <w:strike w:val="1"/>
        </w:rPr>
        <w:t>.</w:t>
      </w:r>
      <w:r>
        <w:rPr>
          <w:rFonts w:ascii="Arial" w:cs="Arial" w:eastAsia="Arial" w:hAnsi="Arial"/>
          <w:sz w:val="18"/>
          <w:szCs w:val="18"/>
          <w:u w:val="single" w:color="auto"/>
          <w:color w:val="0000FF"/>
        </w:rPr>
        <w:t>; provided that, Holdings and the Restricted Subsidiaries will be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deemed to have complied with this clause (ii) if and to the extent that, within the Reinvestment Period after the Asset Sale that generated the Net Cash Proceeds, Holdings or such Restricted Subsidiary has entered into and not abandoned or rejected a binding agreement to consummate any such investment described in this clause (ii)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Holdings or such Restricted Subsidiary prepays the Loans in accordance with Section 5.2(a)(i).</w:t>
      </w:r>
    </w:p>
    <w:p>
      <w:pPr>
        <w:spacing w:after="0" w:line="195" w:lineRule="exact"/>
        <w:rPr>
          <w:sz w:val="20"/>
          <w:szCs w:val="20"/>
          <w:color w:val="auto"/>
        </w:rPr>
      </w:pPr>
    </w:p>
    <w:p>
      <w:pPr>
        <w:ind w:left="4" w:right="120" w:firstLine="644"/>
        <w:spacing w:after="0" w:line="286" w:lineRule="auto"/>
        <w:tabs>
          <w:tab w:leader="none" w:pos="103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Pending the final application of any Net Cash Proceeds pursuant to this covenant, Holdings or the applicable Restricted Subsidiary may apply such Net Cash Proceeds temporarily to reduce Indebtedness outstanding under the Revolving Credit Facility or any other revolving credit facility or otherwise invest such Net Cash Proceeds in any manner not prohibited by this Agreement.</w:t>
      </w:r>
    </w:p>
    <w:p>
      <w:pPr>
        <w:spacing w:after="0" w:line="165"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left="384" w:hanging="384"/>
        <w:spacing w:after="0"/>
        <w:tabs>
          <w:tab w:leader="none" w:pos="3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Holdings will not, and will not permit any Restricted Subsidiary to, directly or indirectly:</w:t>
      </w:r>
    </w:p>
    <w:p>
      <w:pPr>
        <w:spacing w:after="0" w:line="225" w:lineRule="exact"/>
        <w:rPr>
          <w:rFonts w:ascii="Arial" w:cs="Arial" w:eastAsia="Arial" w:hAnsi="Arial"/>
          <w:sz w:val="18"/>
          <w:szCs w:val="18"/>
          <w:color w:val="auto"/>
        </w:rPr>
      </w:pPr>
    </w:p>
    <w:p>
      <w:pPr>
        <w:ind w:left="4" w:right="340" w:firstLine="644"/>
        <w:spacing w:after="0" w:line="308" w:lineRule="auto"/>
        <w:tabs>
          <w:tab w:leader="none" w:pos="1042" w:val="left"/>
        </w:tabs>
        <w:numPr>
          <w:ilvl w:val="1"/>
          <w:numId w:val="159"/>
        </w:numPr>
        <w:rPr>
          <w:rFonts w:ascii="Arial" w:cs="Arial" w:eastAsia="Arial" w:hAnsi="Arial"/>
          <w:sz w:val="17"/>
          <w:szCs w:val="17"/>
          <w:color w:val="010000"/>
        </w:rPr>
      </w:pPr>
      <w:r>
        <w:rPr>
          <w:rFonts w:ascii="Arial" w:cs="Arial" w:eastAsia="Arial" w:hAnsi="Arial"/>
          <w:sz w:val="17"/>
          <w:szCs w:val="17"/>
          <w:color w:val="auto"/>
        </w:rPr>
        <w:t>declare or pay any dividend or make any payment or distribution on account of Holdings’ or any Restricted Subsidiary’s Equity Interests, including any dividend or distribution payable in connection with any merger or consolidation, other than:</w:t>
      </w:r>
    </w:p>
    <w:p>
      <w:pPr>
        <w:spacing w:after="0" w:line="146" w:lineRule="exact"/>
        <w:rPr>
          <w:rFonts w:ascii="Arial" w:cs="Arial" w:eastAsia="Arial" w:hAnsi="Arial"/>
          <w:sz w:val="17"/>
          <w:szCs w:val="17"/>
          <w:color w:val="010000"/>
        </w:rPr>
      </w:pPr>
    </w:p>
    <w:p>
      <w:pPr>
        <w:ind w:left="644" w:right="540" w:firstLine="652"/>
        <w:spacing w:after="0" w:line="277" w:lineRule="auto"/>
        <w:tabs>
          <w:tab w:leader="none" w:pos="172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dividends or distributions by Holdings payable in Equity Interests (other than Disqualified Stock) of Holdings or in options, warrants or other rights to purchase such Equity Interests, or</w:t>
      </w:r>
    </w:p>
    <w:p>
      <w:pPr>
        <w:spacing w:after="0" w:line="170" w:lineRule="exact"/>
        <w:rPr>
          <w:rFonts w:ascii="Arial" w:cs="Arial" w:eastAsia="Arial" w:hAnsi="Arial"/>
          <w:sz w:val="18"/>
          <w:szCs w:val="18"/>
          <w:color w:val="auto"/>
        </w:rPr>
      </w:pPr>
    </w:p>
    <w:p>
      <w:pPr>
        <w:ind w:left="644" w:firstLine="652"/>
        <w:spacing w:after="0" w:line="259" w:lineRule="auto"/>
        <w:tabs>
          <w:tab w:leader="none" w:pos="171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dividends or distributions by a Restricted Subsidiary so long as, in the case of any dividend or distribution payable on or in respect of any class or series of securities issued by a Subsidiary other than a Wholly-Owned Subsidiary, Holdings or a Restricted Subsidiary receives at least its pro rata share of such dividend or distribution in accordance with its Equity Interests in such class or series of securities;</w:t>
      </w:r>
    </w:p>
    <w:p>
      <w:pPr>
        <w:spacing w:after="0" w:line="186" w:lineRule="exact"/>
        <w:rPr>
          <w:rFonts w:ascii="Arial" w:cs="Arial" w:eastAsia="Arial" w:hAnsi="Arial"/>
          <w:sz w:val="18"/>
          <w:szCs w:val="18"/>
          <w:color w:val="auto"/>
        </w:rPr>
      </w:pPr>
    </w:p>
    <w:p>
      <w:pPr>
        <w:ind w:left="4" w:right="200" w:firstLine="644"/>
        <w:spacing w:after="0" w:line="277" w:lineRule="auto"/>
        <w:tabs>
          <w:tab w:leader="none" w:pos="1042" w:val="left"/>
        </w:tabs>
        <w:numPr>
          <w:ilvl w:val="1"/>
          <w:numId w:val="159"/>
        </w:numPr>
        <w:rPr>
          <w:rFonts w:ascii="Arial" w:cs="Arial" w:eastAsia="Arial" w:hAnsi="Arial"/>
          <w:sz w:val="18"/>
          <w:szCs w:val="18"/>
          <w:color w:val="010000"/>
        </w:rPr>
      </w:pPr>
      <w:r>
        <w:rPr>
          <w:rFonts w:ascii="Arial" w:cs="Arial" w:eastAsia="Arial" w:hAnsi="Arial"/>
          <w:sz w:val="18"/>
          <w:szCs w:val="18"/>
          <w:color w:val="auto"/>
        </w:rPr>
        <w:t>purchase, redeem, defease or otherwise acquire or retire for value any Equity Interests of Holdings or any direct or indirect parent company of Holdings, including in connection with any merger or consolidation;</w:t>
      </w:r>
    </w:p>
    <w:p>
      <w:pPr>
        <w:spacing w:after="0" w:line="170" w:lineRule="exact"/>
        <w:rPr>
          <w:rFonts w:ascii="Arial" w:cs="Arial" w:eastAsia="Arial" w:hAnsi="Arial"/>
          <w:sz w:val="18"/>
          <w:szCs w:val="18"/>
          <w:color w:val="010000"/>
        </w:rPr>
      </w:pPr>
    </w:p>
    <w:p>
      <w:pPr>
        <w:ind w:left="4" w:right="20" w:firstLine="644"/>
        <w:spacing w:after="0" w:line="257" w:lineRule="auto"/>
        <w:tabs>
          <w:tab w:leader="none" w:pos="1042" w:val="left"/>
        </w:tabs>
        <w:numPr>
          <w:ilvl w:val="1"/>
          <w:numId w:val="159"/>
        </w:numPr>
        <w:rPr>
          <w:rFonts w:ascii="Arial" w:cs="Arial" w:eastAsia="Arial" w:hAnsi="Arial"/>
          <w:sz w:val="18"/>
          <w:szCs w:val="18"/>
          <w:color w:val="010000"/>
        </w:rPr>
      </w:pPr>
      <w:r>
        <w:rPr>
          <w:rFonts w:ascii="Arial" w:cs="Arial" w:eastAsia="Arial" w:hAnsi="Arial"/>
          <w:sz w:val="18"/>
          <w:szCs w:val="18"/>
          <w:color w:val="auto"/>
        </w:rPr>
        <w:t xml:space="preserve">make any principal payment on, or redeem, repurchase, defease or otherwise acquire or retire for value in each case, prior to any scheduled repayment, sinking fund payment or maturity, any Junior Debt of Holdings or any Restricted Subsidiary or any Permitted Convertible Indebtedness, other than (A) Indebtedness permitted under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564"/>
          </w:cols>
          <w:pgMar w:left="976" w:top="1440" w:right="359" w:bottom="1440" w:gutter="0" w:footer="0" w:header="0"/>
        </w:sectPr>
      </w:pPr>
    </w:p>
    <w:bookmarkStart w:id="157" w:name="page158"/>
    <w:bookmarkEnd w:id="157"/>
    <w:p>
      <w:pPr>
        <w:spacing w:after="0" w:line="200" w:lineRule="exact"/>
        <w:rPr>
          <w:sz w:val="20"/>
          <w:szCs w:val="20"/>
          <w:color w:val="auto"/>
        </w:rPr>
      </w:pPr>
    </w:p>
    <w:p>
      <w:pPr>
        <w:spacing w:after="0" w:line="322" w:lineRule="exact"/>
        <w:rPr>
          <w:sz w:val="20"/>
          <w:szCs w:val="20"/>
          <w:color w:val="auto"/>
        </w:rPr>
      </w:pPr>
    </w:p>
    <w:p>
      <w:pPr>
        <w:ind w:left="1700" w:hanging="396"/>
        <w:spacing w:after="0"/>
        <w:tabs>
          <w:tab w:leader="none" w:pos="1700"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make any Restricted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(all such payments and other actions set forth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w:t>
      </w:r>
      <w:r>
        <w:rPr>
          <w:rFonts w:ascii="Arial" w:cs="Arial" w:eastAsia="Arial" w:hAnsi="Arial"/>
          <w:sz w:val="17"/>
          <w:szCs w:val="17"/>
          <w:color w:val="auto"/>
        </w:rPr>
        <w:t xml:space="preserve"> above (other than any exception thereto) being collectively referred to as</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xml:space="preserve">”), unless, </w:t>
      </w:r>
      <w:r>
        <w:rPr>
          <w:rFonts w:ascii="Arial" w:cs="Arial" w:eastAsia="Arial" w:hAnsi="Arial"/>
          <w:sz w:val="18"/>
          <w:szCs w:val="18"/>
          <w:color w:val="FF0000"/>
          <w:strike w:val="1"/>
        </w:rPr>
        <w:t>such Restricted Payment is after the termination of the Additional Restrictions Period and,</w:t>
      </w:r>
      <w:r>
        <w:rPr>
          <w:rFonts w:ascii="Arial" w:cs="Arial" w:eastAsia="Arial" w:hAnsi="Arial"/>
          <w:sz w:val="18"/>
          <w:szCs w:val="18"/>
          <w:color w:val="auto"/>
        </w:rPr>
        <w:t xml:space="preserve"> at the time of such Restricted Payment:</w:t>
      </w:r>
    </w:p>
    <w:p>
      <w:pPr>
        <w:spacing w:after="0" w:line="185" w:lineRule="exact"/>
        <w:rPr>
          <w:sz w:val="20"/>
          <w:szCs w:val="20"/>
          <w:color w:val="auto"/>
        </w:rPr>
      </w:pPr>
    </w:p>
    <w:p>
      <w:pPr>
        <w:ind w:left="660" w:right="340" w:firstLine="903"/>
        <w:spacing w:after="0" w:line="286" w:lineRule="auto"/>
        <w:tabs>
          <w:tab w:leader="none" w:pos="1917" w:val="left"/>
        </w:tabs>
        <w:numPr>
          <w:ilvl w:val="1"/>
          <w:numId w:val="161"/>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or would occur as a consequence thereof (or in the case of a Restricted Investment, no Event of Default under S</w:t>
      </w:r>
      <w:r>
        <w:rPr>
          <w:rFonts w:ascii="Arial" w:cs="Arial" w:eastAsia="Arial" w:hAnsi="Arial"/>
          <w:sz w:val="17"/>
          <w:szCs w:val="17"/>
          <w:u w:val="single" w:color="auto"/>
          <w:color w:val="auto"/>
        </w:rPr>
        <w:t>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or would occur as a consequence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condition shall not apply to amounts attributable to subclause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w:t>
      </w:r>
    </w:p>
    <w:p>
      <w:pPr>
        <w:spacing w:after="0" w:line="165" w:lineRule="exact"/>
        <w:rPr>
          <w:rFonts w:ascii="Arial" w:cs="Arial" w:eastAsia="Arial" w:hAnsi="Arial"/>
          <w:sz w:val="17"/>
          <w:szCs w:val="17"/>
          <w:color w:val="auto"/>
        </w:rPr>
      </w:pPr>
    </w:p>
    <w:p>
      <w:pPr>
        <w:ind w:left="660" w:right="60" w:firstLine="903"/>
        <w:spacing w:after="0" w:line="263" w:lineRule="auto"/>
        <w:tabs>
          <w:tab w:leader="none" w:pos="196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except in the case of a Restricted Investment, immediately after giving effect to such transaction on a pro forma basis, the Consolidated Total Debt to Consolidated EBITDA Ratio would not exceed </w:t>
      </w:r>
      <w:r>
        <w:rPr>
          <w:rFonts w:ascii="Arial" w:cs="Arial" w:eastAsia="Arial" w:hAnsi="Arial"/>
          <w:sz w:val="18"/>
          <w:szCs w:val="18"/>
          <w:color w:val="FF0000"/>
          <w:strike w:val="1"/>
        </w:rPr>
        <w:t>3.75</w:t>
      </w:r>
      <w:r>
        <w:rPr>
          <w:rFonts w:ascii="Arial" w:cs="Arial" w:eastAsia="Arial" w:hAnsi="Arial"/>
          <w:sz w:val="18"/>
          <w:szCs w:val="18"/>
          <w:u w:val="single" w:color="auto"/>
          <w:color w:val="0000FF"/>
        </w:rPr>
        <w:t>4.00</w:t>
      </w:r>
      <w:r>
        <w:rPr>
          <w:rFonts w:ascii="Arial" w:cs="Arial" w:eastAsia="Arial" w:hAnsi="Arial"/>
          <w:sz w:val="18"/>
          <w:szCs w:val="18"/>
          <w:color w:val="auto"/>
        </w:rPr>
        <w:t xml:space="preserve">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condition shall not apply to amounts attributable to subclause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 and</w:t>
      </w:r>
    </w:p>
    <w:p>
      <w:pPr>
        <w:spacing w:after="0" w:line="183" w:lineRule="exact"/>
        <w:rPr>
          <w:rFonts w:ascii="Arial" w:cs="Arial" w:eastAsia="Arial" w:hAnsi="Arial"/>
          <w:sz w:val="18"/>
          <w:szCs w:val="18"/>
          <w:color w:val="auto"/>
        </w:rPr>
      </w:pPr>
    </w:p>
    <w:p>
      <w:pPr>
        <w:ind w:left="660" w:right="160" w:firstLine="903"/>
        <w:spacing w:after="0" w:line="279" w:lineRule="auto"/>
        <w:tabs>
          <w:tab w:leader="none" w:pos="2017"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such Restricted Payment, together with the aggregate amount of all other Restricted Payments made by Holdings and the Restricted Subsidiaries after the Restatement Effective Date (including Restricted Payments permitted by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(with respect to the payment of dividends on Refunding Capital Stock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thereof only), </w:t>
      </w:r>
      <w:r>
        <w:rPr>
          <w:rFonts w:ascii="Arial" w:cs="Arial" w:eastAsia="Arial" w:hAnsi="Arial"/>
          <w:sz w:val="17"/>
          <w:szCs w:val="17"/>
          <w:u w:val="single" w:color="auto"/>
          <w:color w:val="auto"/>
        </w:rPr>
        <w:t>(6)(C)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but excluding all other Restricted Payments permitted by </w:t>
      </w:r>
      <w:r>
        <w:rPr>
          <w:rFonts w:ascii="Arial" w:cs="Arial" w:eastAsia="Arial" w:hAnsi="Arial"/>
          <w:sz w:val="17"/>
          <w:szCs w:val="17"/>
          <w:u w:val="single" w:color="auto"/>
          <w:color w:val="auto"/>
        </w:rPr>
        <w:t>Section 10.5(b)</w:t>
      </w:r>
      <w:r>
        <w:rPr>
          <w:rFonts w:ascii="Arial" w:cs="Arial" w:eastAsia="Arial" w:hAnsi="Arial"/>
          <w:sz w:val="17"/>
          <w:szCs w:val="17"/>
          <w:color w:val="auto"/>
        </w:rPr>
        <w:t>), is less than the sum of (without duplication):</w:t>
      </w:r>
    </w:p>
    <w:p>
      <w:pPr>
        <w:spacing w:after="0" w:line="171" w:lineRule="exact"/>
        <w:rPr>
          <w:rFonts w:ascii="Arial" w:cs="Arial" w:eastAsia="Arial" w:hAnsi="Arial"/>
          <w:sz w:val="17"/>
          <w:szCs w:val="17"/>
          <w:color w:val="auto"/>
        </w:rPr>
      </w:pPr>
    </w:p>
    <w:p>
      <w:pPr>
        <w:ind w:left="1300" w:right="240" w:firstLine="652"/>
        <w:spacing w:after="0" w:line="259" w:lineRule="auto"/>
        <w:tabs>
          <w:tab w:leader="none" w:pos="2378" w:val="left"/>
        </w:tabs>
        <w:numPr>
          <w:ilvl w:val="2"/>
          <w:numId w:val="161"/>
        </w:numPr>
        <w:rPr>
          <w:rFonts w:ascii="Arial" w:cs="Arial" w:eastAsia="Arial" w:hAnsi="Arial"/>
          <w:sz w:val="18"/>
          <w:szCs w:val="18"/>
          <w:color w:val="auto"/>
        </w:rPr>
      </w:pPr>
      <w:r>
        <w:rPr>
          <w:rFonts w:ascii="Arial" w:cs="Arial" w:eastAsia="Arial" w:hAnsi="Arial"/>
          <w:sz w:val="18"/>
          <w:szCs w:val="18"/>
          <w:color w:val="auto"/>
        </w:rPr>
        <w:t xml:space="preserve">the Consolidated EBITDA for the period (taken as one accounting period) from the first day of the fiscal quarter during which the Restatement Effective Date occurs to the end of Holdings’ most recently ended fiscal quarter for which internal financial statements are available at the time of such Restricted Payment less the product of 1.5 times Holdings’ Fixed Charges for such period,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300" w:right="20" w:firstLine="652"/>
        <w:spacing w:after="0" w:line="283" w:lineRule="auto"/>
        <w:tabs>
          <w:tab w:leader="none" w:pos="2368" w:val="left"/>
        </w:tabs>
        <w:numPr>
          <w:ilvl w:val="2"/>
          <w:numId w:val="161"/>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and the Fair Market Value of marketable securities or other property received by Holdings since immediately after the Restatement Effective Date (other than net cash proceeds from Cure Amounts or to the extent such net cash proceeds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the issue or sale of (x) Equity Interests of Holdings, including Retired Capital Stock, but excluding cash proceeds and the Fair Market Value of marketable securities or other property received from the sale of (A) Equity Interests to any employee, director, manager or consultant of Holdings, any direct or indirect parent company of Holdings and Holdings’ Subsidiaries after the Restatement Effective Date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and (B) Designated Preferred Stock, and, to the extent such net cash proceeds are actually contributed to Holdings, Equity Interests of any direct or indirect parent company of Holdings (excluding contributions of the proceeds from the sale of Designated Preferred Stock of such companies or contributions to the extent such amounts have been applied to Restricted Payments made in accordance with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ind w:left="1300" w:firstLine="4"/>
        <w:spacing w:after="0" w:line="271" w:lineRule="auto"/>
        <w:tabs>
          <w:tab w:leader="none" w:pos="1555" w:val="left"/>
        </w:tabs>
        <w:numPr>
          <w:ilvl w:val="0"/>
          <w:numId w:val="162"/>
        </w:numPr>
        <w:rPr>
          <w:rFonts w:ascii="Arial" w:cs="Arial" w:eastAsia="Arial" w:hAnsi="Arial"/>
          <w:sz w:val="17"/>
          <w:szCs w:val="17"/>
          <w:u w:val="single" w:color="auto"/>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or (y) Indebtedness of Holdings or a Restricted Subsidiary that has been converted into or exchanged for such Equity Interests of Holdings or any direct or indirect parent company of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include the proceeds from (a) Refunding Capital Stock, (b) Equity Interests or Indebtedness that has been converted or exchanged for Equity Interests of Holdings sold to a Restricted Subsidiary or Holdings, as the case may be, (c) Disqualified Stock or Indebtedness that has been converted or exchanged into Disqualified Stock or (d) Excluded Contributions, </w:t>
      </w:r>
      <w:r>
        <w:rPr>
          <w:rFonts w:ascii="Arial" w:cs="Arial" w:eastAsia="Arial" w:hAnsi="Arial"/>
          <w:sz w:val="17"/>
          <w:szCs w:val="17"/>
          <w:i w:val="1"/>
          <w:iCs w:val="1"/>
          <w:color w:val="auto"/>
        </w:rPr>
        <w:t>plus</w:t>
      </w:r>
    </w:p>
    <w:p>
      <w:pPr>
        <w:spacing w:after="0" w:line="178" w:lineRule="exact"/>
        <w:rPr>
          <w:rFonts w:ascii="Arial" w:cs="Arial" w:eastAsia="Arial" w:hAnsi="Arial"/>
          <w:sz w:val="17"/>
          <w:szCs w:val="17"/>
          <w:u w:val="single" w:color="auto"/>
          <w:color w:val="auto"/>
        </w:rPr>
      </w:pPr>
    </w:p>
    <w:p>
      <w:pPr>
        <w:ind w:left="1300" w:right="80" w:firstLine="652"/>
        <w:spacing w:after="0" w:line="263" w:lineRule="auto"/>
        <w:tabs>
          <w:tab w:leader="none" w:pos="2368" w:val="left"/>
        </w:tabs>
        <w:numPr>
          <w:ilvl w:val="2"/>
          <w:numId w:val="162"/>
        </w:numPr>
        <w:rPr>
          <w:rFonts w:ascii="Arial" w:cs="Arial" w:eastAsia="Arial" w:hAnsi="Arial"/>
          <w:sz w:val="18"/>
          <w:szCs w:val="18"/>
          <w:color w:val="auto"/>
        </w:rPr>
      </w:pPr>
      <w:r>
        <w:rPr>
          <w:rFonts w:ascii="Arial" w:cs="Arial" w:eastAsia="Arial" w:hAnsi="Arial"/>
          <w:sz w:val="18"/>
          <w:szCs w:val="18"/>
          <w:color w:val="auto"/>
        </w:rPr>
        <w:t>100% of the aggregate amount of cash and the Fair Market Value of marketable securities or other property contributed to the capital of Holdings following the Restatement Effective Date (other than the net cash proceeds from Cure Amounts or to the extent such net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200" w:lineRule="exact"/>
        <w:rPr>
          <w:sz w:val="20"/>
          <w:szCs w:val="20"/>
          <w:color w:val="auto"/>
        </w:rPr>
      </w:pPr>
    </w:p>
    <w:p>
      <w:pPr>
        <w:spacing w:after="0" w:line="322" w:lineRule="exact"/>
        <w:rPr>
          <w:sz w:val="20"/>
          <w:szCs w:val="20"/>
          <w:color w:val="auto"/>
        </w:rPr>
      </w:pPr>
    </w:p>
    <w:p>
      <w:pPr>
        <w:ind w:left="644" w:right="100"/>
        <w:spacing w:after="0" w:line="277" w:lineRule="auto"/>
        <w:rPr>
          <w:sz w:val="20"/>
          <w:szCs w:val="20"/>
          <w:color w:val="auto"/>
        </w:rPr>
      </w:pPr>
      <w:r>
        <w:rPr>
          <w:rFonts w:ascii="Arial" w:cs="Arial" w:eastAsia="Arial" w:hAnsi="Arial"/>
          <w:sz w:val="18"/>
          <w:szCs w:val="18"/>
          <w:color w:val="auto"/>
        </w:rPr>
        <w:t xml:space="preserve">proceeds (i) have been used to incur Indebtedness, Disqualified Stock or preferred stock pursuant to </w:t>
      </w:r>
      <w:r>
        <w:rPr>
          <w:rFonts w:ascii="Arial" w:cs="Arial" w:eastAsia="Arial" w:hAnsi="Arial"/>
          <w:sz w:val="18"/>
          <w:szCs w:val="18"/>
          <w:u w:val="single" w:color="auto"/>
          <w:color w:val="auto"/>
        </w:rPr>
        <w:t>clause (l)(i)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(ii) are contributed by a Restricted Subsidiary or (iii) constitute Excluded Contributions), </w:t>
      </w:r>
      <w:r>
        <w:rPr>
          <w:rFonts w:ascii="Arial" w:cs="Arial" w:eastAsia="Arial" w:hAnsi="Arial"/>
          <w:sz w:val="18"/>
          <w:szCs w:val="18"/>
          <w:i w:val="1"/>
          <w:iCs w:val="1"/>
          <w:color w:val="auto"/>
        </w:rPr>
        <w:t>plus</w:t>
      </w:r>
    </w:p>
    <w:p>
      <w:pPr>
        <w:spacing w:after="0" w:line="170" w:lineRule="exact"/>
        <w:rPr>
          <w:sz w:val="20"/>
          <w:szCs w:val="20"/>
          <w:color w:val="auto"/>
        </w:rPr>
      </w:pPr>
    </w:p>
    <w:p>
      <w:pPr>
        <w:ind w:left="644" w:right="60" w:firstLine="652"/>
        <w:spacing w:after="0" w:line="270" w:lineRule="auto"/>
        <w:tabs>
          <w:tab w:leader="none" w:pos="1722" w:val="left"/>
        </w:tabs>
        <w:numPr>
          <w:ilvl w:val="2"/>
          <w:numId w:val="163"/>
        </w:numPr>
        <w:rPr>
          <w:rFonts w:ascii="Arial" w:cs="Arial" w:eastAsia="Arial" w:hAnsi="Arial"/>
          <w:sz w:val="17"/>
          <w:szCs w:val="17"/>
          <w:color w:val="auto"/>
        </w:rPr>
      </w:pPr>
      <w:r>
        <w:rPr>
          <w:rFonts w:ascii="Arial" w:cs="Arial" w:eastAsia="Arial" w:hAnsi="Arial"/>
          <w:sz w:val="17"/>
          <w:szCs w:val="17"/>
          <w:color w:val="auto"/>
        </w:rPr>
        <w:t xml:space="preserve">100% of the aggregate amount received in cash and the Fair Market Value of marketable securities or other property received by means of (A) the sale or other disposition (other than to Holdings or a Restricted Subsidiary) of Restricted Investments made by Holdings and the Restricted Subsidiaries and repurchases and redemptions of such Restricted Investments from Holdings and the Restricted Subsidiaries and repayments of loans or advances, and releases of guarantees, which constitute Restricted Investments made by Holdings or the Restricted Subsidiaries, in each case, after the Restatement Effective Date; or (B) the sale (other than to Holdings or a Restricted Subsidiary) of the stock of an Unrestricted Subsidiary or a distribution from an Unrestricted Subsidiary (other than in each case to the extent the Investment in such Unrestricted Subsidiary was made by Holdings or a Restricted Subsidiary pursuant to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or to the extent such Investment constituted a Permitted Investment) or a dividend from an Unrestricted Subsidiary after the Restatement Effective Date, </w:t>
      </w:r>
      <w:r>
        <w:rPr>
          <w:rFonts w:ascii="Arial" w:cs="Arial" w:eastAsia="Arial" w:hAnsi="Arial"/>
          <w:sz w:val="17"/>
          <w:szCs w:val="17"/>
          <w:i w:val="1"/>
          <w:iCs w:val="1"/>
          <w:color w:val="auto"/>
        </w:rPr>
        <w:t>plus</w:t>
      </w:r>
    </w:p>
    <w:p>
      <w:pPr>
        <w:spacing w:after="0" w:line="180" w:lineRule="exact"/>
        <w:rPr>
          <w:rFonts w:ascii="Arial" w:cs="Arial" w:eastAsia="Arial" w:hAnsi="Arial"/>
          <w:sz w:val="17"/>
          <w:szCs w:val="17"/>
          <w:color w:val="auto"/>
        </w:rPr>
      </w:pPr>
    </w:p>
    <w:p>
      <w:pPr>
        <w:ind w:left="644" w:right="20" w:firstLine="652"/>
        <w:spacing w:after="0" w:line="257" w:lineRule="auto"/>
        <w:tabs>
          <w:tab w:leader="none" w:pos="1702" w:val="left"/>
        </w:tabs>
        <w:numPr>
          <w:ilvl w:val="2"/>
          <w:numId w:val="163"/>
        </w:numPr>
        <w:rPr>
          <w:rFonts w:ascii="Arial" w:cs="Arial" w:eastAsia="Arial" w:hAnsi="Arial"/>
          <w:sz w:val="18"/>
          <w:szCs w:val="18"/>
          <w:color w:val="auto"/>
        </w:rPr>
      </w:pPr>
      <w:r>
        <w:rPr>
          <w:rFonts w:ascii="Arial" w:cs="Arial" w:eastAsia="Arial" w:hAnsi="Arial"/>
          <w:sz w:val="18"/>
          <w:szCs w:val="18"/>
          <w:color w:val="auto"/>
        </w:rPr>
        <w:t xml:space="preserve">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Holdings or a Restricted Subsidiary pursuant to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below or to the extent such Investment constituted a Permitted Investment, </w:t>
      </w:r>
      <w:r>
        <w:rPr>
          <w:rFonts w:ascii="Arial" w:cs="Arial" w:eastAsia="Arial" w:hAnsi="Arial"/>
          <w:sz w:val="18"/>
          <w:szCs w:val="18"/>
          <w:i w:val="1"/>
          <w:iCs w:val="1"/>
          <w:color w:val="auto"/>
        </w:rPr>
        <w:t>plus</w:t>
      </w:r>
    </w:p>
    <w:p>
      <w:pPr>
        <w:spacing w:after="0" w:line="187" w:lineRule="exact"/>
        <w:rPr>
          <w:rFonts w:ascii="Arial" w:cs="Arial" w:eastAsia="Arial" w:hAnsi="Arial"/>
          <w:sz w:val="18"/>
          <w:szCs w:val="18"/>
          <w:color w:val="auto"/>
        </w:rPr>
      </w:pPr>
    </w:p>
    <w:p>
      <w:pPr>
        <w:ind w:left="1704" w:hanging="408"/>
        <w:spacing w:after="0"/>
        <w:tabs>
          <w:tab w:leader="none" w:pos="1704" w:val="left"/>
        </w:tabs>
        <w:numPr>
          <w:ilvl w:val="2"/>
          <w:numId w:val="163"/>
        </w:numPr>
        <w:rPr>
          <w:rFonts w:ascii="Arial" w:cs="Arial" w:eastAsia="Arial" w:hAnsi="Arial"/>
          <w:sz w:val="18"/>
          <w:szCs w:val="18"/>
          <w:color w:val="auto"/>
        </w:rPr>
      </w:pPr>
      <w:r>
        <w:rPr>
          <w:rFonts w:ascii="Arial" w:cs="Arial" w:eastAsia="Arial" w:hAnsi="Arial"/>
          <w:sz w:val="18"/>
          <w:szCs w:val="18"/>
          <w:color w:val="auto"/>
        </w:rPr>
        <w:t>$50,000,000.</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foregoing provisions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will not prohibit:</w:t>
      </w:r>
    </w:p>
    <w:p>
      <w:pPr>
        <w:spacing w:after="0" w:line="225" w:lineRule="exact"/>
        <w:rPr>
          <w:rFonts w:ascii="Arial" w:cs="Arial" w:eastAsia="Arial" w:hAnsi="Arial"/>
          <w:sz w:val="18"/>
          <w:szCs w:val="18"/>
          <w:color w:val="auto"/>
        </w:rPr>
      </w:pPr>
    </w:p>
    <w:p>
      <w:pPr>
        <w:ind w:left="4" w:right="260" w:firstLine="644"/>
        <w:spacing w:after="0" w:line="263" w:lineRule="auto"/>
        <w:tabs>
          <w:tab w:leader="none" w:pos="1042" w:val="left"/>
        </w:tabs>
        <w:numPr>
          <w:ilvl w:val="1"/>
          <w:numId w:val="164"/>
        </w:numPr>
        <w:rPr>
          <w:rFonts w:ascii="Arial" w:cs="Arial" w:eastAsia="Arial" w:hAnsi="Arial"/>
          <w:sz w:val="18"/>
          <w:szCs w:val="18"/>
          <w:color w:val="010000"/>
        </w:rPr>
      </w:pPr>
      <w:r>
        <w:rPr>
          <w:rFonts w:ascii="Arial" w:cs="Arial" w:eastAsia="Arial" w:hAnsi="Arial"/>
          <w:sz w:val="18"/>
          <w:szCs w:val="18"/>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179" w:lineRule="exact"/>
        <w:rPr>
          <w:rFonts w:ascii="Arial" w:cs="Arial" w:eastAsia="Arial" w:hAnsi="Arial"/>
          <w:sz w:val="18"/>
          <w:szCs w:val="18"/>
          <w:color w:val="010000"/>
        </w:rPr>
      </w:pPr>
    </w:p>
    <w:p>
      <w:pPr>
        <w:ind w:left="4" w:firstLine="644"/>
        <w:spacing w:after="0" w:line="289" w:lineRule="auto"/>
        <w:tabs>
          <w:tab w:leader="none" w:pos="1042" w:val="left"/>
        </w:tabs>
        <w:numPr>
          <w:ilvl w:val="1"/>
          <w:numId w:val="164"/>
        </w:numPr>
        <w:rPr>
          <w:rFonts w:ascii="Arial" w:cs="Arial" w:eastAsia="Arial" w:hAnsi="Arial"/>
          <w:sz w:val="16"/>
          <w:szCs w:val="16"/>
          <w:color w:val="010000"/>
        </w:rPr>
      </w:pPr>
      <w:r>
        <w:rPr>
          <w:rFonts w:ascii="Arial" w:cs="Arial" w:eastAsia="Arial" w:hAnsi="Arial"/>
          <w:sz w:val="16"/>
          <w:szCs w:val="16"/>
          <w:color w:val="auto"/>
        </w:rPr>
        <w:t>(a) the redemption, repurchase, retirement or other acquisition of any Equity Interests (“</w:t>
      </w:r>
      <w:r>
        <w:rPr>
          <w:rFonts w:ascii="Arial" w:cs="Arial" w:eastAsia="Arial" w:hAnsi="Arial"/>
          <w:sz w:val="16"/>
          <w:szCs w:val="16"/>
          <w:b w:val="1"/>
          <w:bCs w:val="1"/>
          <w:color w:val="auto"/>
        </w:rPr>
        <w:t>Retired Capital Stock</w:t>
      </w:r>
      <w:r>
        <w:rPr>
          <w:rFonts w:ascii="Arial" w:cs="Arial" w:eastAsia="Arial" w:hAnsi="Arial"/>
          <w:sz w:val="16"/>
          <w:szCs w:val="16"/>
          <w:color w:val="auto"/>
        </w:rPr>
        <w:t>”) or Junior Debt of Holdings or any Restricted Subsidiary, or any Equity Interests or Permitted Convertible Indebtedness of any direct or indirect parent company of Holdings, in exchange for, or out of the proceeds of the substantially concurrent sale (other than to a Restricted Subsidiary) of, Equity Interests of Holdings or any direct or indirect parent company of Holdings to the extent contributed to Holdings (in each case, other than any Disqualified Stock) (“</w:t>
      </w:r>
      <w:r>
        <w:rPr>
          <w:rFonts w:ascii="Arial" w:cs="Arial" w:eastAsia="Arial" w:hAnsi="Arial"/>
          <w:sz w:val="16"/>
          <w:szCs w:val="16"/>
          <w:b w:val="1"/>
          <w:bCs w:val="1"/>
          <w:color w:val="auto"/>
        </w:rPr>
        <w:t>Refunding Capital Stock</w:t>
      </w:r>
      <w:r>
        <w:rPr>
          <w:rFonts w:ascii="Arial" w:cs="Arial" w:eastAsia="Arial" w:hAnsi="Arial"/>
          <w:sz w:val="16"/>
          <w:szCs w:val="16"/>
          <w:color w:val="auto"/>
        </w:rPr>
        <w:t xml:space="preserve">”) and (b) if immediately prior to the retirement of Retired Capital Stock, the declaration and payment of dividends thereon was permitted under </w:t>
      </w:r>
      <w:r>
        <w:rPr>
          <w:rFonts w:ascii="Arial" w:cs="Arial" w:eastAsia="Arial" w:hAnsi="Arial"/>
          <w:sz w:val="16"/>
          <w:szCs w:val="16"/>
          <w:u w:val="single" w:color="auto"/>
          <w:color w:val="auto"/>
        </w:rPr>
        <w:t>clause (6)</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the declaration and payment of dividends on the Refunding Capital Stock (other than Refunding Capital Stock the proceeds of which were used to redeem, repurchase, retire or otherwise acquire any Equity Interests of any direct or indirect parent company of Holdings) in an aggregate amount per year no greater than the aggregate amount of dividends per annum that was declarable and payable on such Retired Capital Stock immediately prior to such retirement;</w:t>
      </w:r>
    </w:p>
    <w:p>
      <w:pPr>
        <w:spacing w:after="0" w:line="170" w:lineRule="exact"/>
        <w:rPr>
          <w:rFonts w:ascii="Arial" w:cs="Arial" w:eastAsia="Arial" w:hAnsi="Arial"/>
          <w:sz w:val="16"/>
          <w:szCs w:val="16"/>
          <w:color w:val="010000"/>
        </w:rPr>
      </w:pPr>
    </w:p>
    <w:p>
      <w:pPr>
        <w:ind w:left="4" w:right="140" w:firstLine="644"/>
        <w:spacing w:after="0" w:line="257" w:lineRule="auto"/>
        <w:tabs>
          <w:tab w:leader="none" w:pos="1042" w:val="left"/>
        </w:tabs>
        <w:numPr>
          <w:ilvl w:val="1"/>
          <w:numId w:val="164"/>
        </w:numPr>
        <w:rPr>
          <w:rFonts w:ascii="Arial" w:cs="Arial" w:eastAsia="Arial" w:hAnsi="Arial"/>
          <w:sz w:val="18"/>
          <w:szCs w:val="18"/>
          <w:color w:val="010000"/>
        </w:rPr>
      </w:pPr>
      <w:r>
        <w:rPr>
          <w:rFonts w:ascii="Arial" w:cs="Arial" w:eastAsia="Arial" w:hAnsi="Arial"/>
          <w:sz w:val="18"/>
          <w:szCs w:val="18"/>
          <w:color w:val="auto"/>
        </w:rPr>
        <w:t xml:space="preserve">the prepayment, redemption, defeasance, repurchase or other acquisition or retirement for value of Junior Debt of Holdings or a Restricted Subsidiary (i) made by exchange for, or out of the proceeds of the substantially concurrent sale of, new Indebtedness of Holdings, or a Restricted Subsidiary, as the case may be, which is incurred in compliance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so long as: (A) the principal amount (or accreted value, if applicable) of such new Indebtedness does not exceed the principal amount of (or accreted value, if applicable), plus any accrued and unpaid interest on the Junior Debt being so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584"/>
          </w:cols>
          <w:pgMar w:left="976" w:top="1440" w:right="339" w:bottom="1440" w:gutter="0" w:footer="0" w:header="0"/>
        </w:sectPr>
      </w:pPr>
    </w:p>
    <w:bookmarkStart w:id="159" w:name="page160"/>
    <w:bookmarkEnd w:id="159"/>
    <w:p>
      <w:pPr>
        <w:spacing w:after="0" w:line="200" w:lineRule="exact"/>
        <w:rPr>
          <w:sz w:val="20"/>
          <w:szCs w:val="20"/>
          <w:color w:val="auto"/>
        </w:rPr>
      </w:pPr>
    </w:p>
    <w:p>
      <w:pPr>
        <w:spacing w:after="0" w:line="3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unsecured then such new Indebtedness shall be unsecured and (E) such new Indebtedness has a weighted average life to maturity equal to or greater than the remaining weighted average life to maturity of the Junior Debt being so redeemed, defeased, repurchased, exchanged, acquired or retired;</w:t>
      </w:r>
    </w:p>
    <w:p>
      <w:pPr>
        <w:spacing w:after="0" w:line="165" w:lineRule="exact"/>
        <w:rPr>
          <w:sz w:val="20"/>
          <w:szCs w:val="20"/>
          <w:color w:val="auto"/>
        </w:rPr>
      </w:pPr>
    </w:p>
    <w:p>
      <w:pPr>
        <w:ind w:right="40" w:firstLine="644"/>
        <w:spacing w:after="0" w:line="284" w:lineRule="auto"/>
        <w:tabs>
          <w:tab w:leader="none" w:pos="1038" w:val="left"/>
        </w:tabs>
        <w:numPr>
          <w:ilvl w:val="0"/>
          <w:numId w:val="165"/>
        </w:numPr>
        <w:rPr>
          <w:rFonts w:ascii="Arial" w:cs="Arial" w:eastAsia="Arial" w:hAnsi="Arial"/>
          <w:sz w:val="16"/>
          <w:szCs w:val="16"/>
          <w:color w:val="010000"/>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Stock) of Holdings or any direct or indirect parent company of Holdings held by any future, present or former employee, director, manager or consultant of Holdings, any of its Subsidiaries or any direct or indirect parent company of Holdings, or their estates, descendants, family, spouse or former spouse pursuant to any management equity plan or stock option plan or any other management or employee benefit plan or agreement, or any stock subscription or shareholder agreement (including, for the avoidance of doubt, any principal and interest payable on any notes issued by Holdings or any direct or indirect parent company of Holdings in connection with such repurchase, retirement or other acquisition), including any Equity Interests rolled over by management of Holdings or any direct or indirect parent company of Holdings in connection with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non-discretionary purchases, the aggregate Restricted Payments made under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subsequent to the Restatement Effective Date do not exceed in any calendar year $40,000,000 (with unused amounts in any calendar year being carried over to succeeding calendar years subject to maximum aggregate Restricted Payments under this clause (without giving effect to the following proviso) of $60,000,000 in any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amount in any calendar year may be increased by an amount not to exceed: (A) the cash proceeds from the sale of Equity Interests (other than Disqualified Stock) of Holdings and, to the extent contributed to Holdings, the cash proceeds from the sale of Equity Interests of any direct or indirect parent company of Holdings, in each case to any future, present or former employees, directors, managers or consultants of Holdings, any of its Subsidiaries or any direct or indirect parent company of Holdings that occurs after the Restatement Effective Date, to the extent the cash proceeds from the sale of such Equity Interests have not otherwise been applied to the payment of Restricted Payments by virtue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plus (B) the cash proceeds of key man life insurance policies received by Holdings and the Restricted Subsidiaries after the Restatement Effective Date, less (C) the amount of any Restricted Payments previously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cancellation of Indebtedness owing to Holdings or any Restricted Subsidiary from any future, present or former employees, directors, managers or consultants of Holdings, any direct or indirect parent company of Holdings or any Restricted Subsidiary, or their estates, descendants, family, spouse or former spouse pursuant in connection with a repurchase of Equity Interests of Holdings or any direct or indirect parent company of Holdings will not be deemed to constitute a Restricted Payment for purposes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or any other provision of this Agreement; </w:t>
      </w:r>
      <w:r>
        <w:rPr>
          <w:rFonts w:ascii="Arial" w:cs="Arial" w:eastAsia="Arial" w:hAnsi="Arial"/>
          <w:sz w:val="16"/>
          <w:szCs w:val="16"/>
          <w:u w:val="single" w:color="auto"/>
          <w:color w:val="FF0000"/>
          <w:strike w:val="1"/>
        </w:rPr>
        <w:t>provided</w:t>
      </w:r>
      <w:r>
        <w:rPr>
          <w:rFonts w:ascii="Arial" w:cs="Arial" w:eastAsia="Arial" w:hAnsi="Arial"/>
          <w:sz w:val="16"/>
          <w:szCs w:val="16"/>
          <w:color w:val="auto"/>
        </w:rPr>
        <w:t xml:space="preserve"> </w:t>
      </w:r>
      <w:r>
        <w:rPr>
          <w:rFonts w:ascii="Arial" w:cs="Arial" w:eastAsia="Arial" w:hAnsi="Arial"/>
          <w:sz w:val="16"/>
          <w:szCs w:val="16"/>
          <w:color w:val="FF0000"/>
          <w:strike w:val="1"/>
        </w:rPr>
        <w:t>that the aggregate</w:t>
      </w:r>
      <w:r>
        <w:rPr>
          <w:rFonts w:ascii="Arial" w:cs="Arial" w:eastAsia="Arial" w:hAnsi="Arial"/>
          <w:sz w:val="16"/>
          <w:szCs w:val="16"/>
          <w:color w:val="auto"/>
        </w:rPr>
        <w:t xml:space="preserve"> </w:t>
      </w:r>
      <w:r>
        <w:rPr>
          <w:rFonts w:ascii="Arial" w:cs="Arial" w:eastAsia="Arial" w:hAnsi="Arial"/>
          <w:sz w:val="16"/>
          <w:szCs w:val="16"/>
          <w:color w:val="FF0000"/>
          <w:strike w:val="1"/>
        </w:rPr>
        <w:t>amount of Restricted Payments pursuant to this clause (4) during any 12 month period prior to the termination of the Additional Restrictions Period shall not exceed $10,000,000;</w:t>
      </w:r>
    </w:p>
    <w:p>
      <w:pPr>
        <w:spacing w:after="0" w:line="392" w:lineRule="exact"/>
        <w:rPr>
          <w:rFonts w:ascii="Arial" w:cs="Arial" w:eastAsia="Arial" w:hAnsi="Arial"/>
          <w:sz w:val="16"/>
          <w:szCs w:val="16"/>
          <w:color w:val="010000"/>
        </w:rPr>
      </w:pPr>
    </w:p>
    <w:p>
      <w:pPr>
        <w:ind w:left="1040" w:hanging="396"/>
        <w:spacing w:after="0"/>
        <w:tabs>
          <w:tab w:leader="none" w:pos="10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right="180" w:firstLine="644"/>
        <w:spacing w:after="0" w:line="259" w:lineRule="auto"/>
        <w:tabs>
          <w:tab w:leader="none" w:pos="1038" w:val="left"/>
        </w:tabs>
        <w:numPr>
          <w:ilvl w:val="0"/>
          <w:numId w:val="165"/>
        </w:numPr>
        <w:rPr>
          <w:rFonts w:ascii="Arial" w:cs="Arial" w:eastAsia="Arial" w:hAnsi="Arial"/>
          <w:sz w:val="18"/>
          <w:szCs w:val="18"/>
          <w:color w:val="010000"/>
        </w:rPr>
      </w:pPr>
      <w:r>
        <w:rPr>
          <w:rFonts w:ascii="Arial" w:cs="Arial" w:eastAsia="Arial" w:hAnsi="Arial"/>
          <w:sz w:val="18"/>
          <w:szCs w:val="18"/>
          <w:color w:val="FF0000"/>
          <w:strike w:val="1"/>
        </w:rPr>
        <w:t>following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(A) the declaration and payment of dividends to holders of any class or series of</w:t>
      </w:r>
      <w:r>
        <w:rPr>
          <w:rFonts w:ascii="Arial" w:cs="Arial" w:eastAsia="Arial" w:hAnsi="Arial"/>
          <w:sz w:val="18"/>
          <w:szCs w:val="18"/>
          <w:color w:val="FF0000"/>
        </w:rPr>
        <w:t xml:space="preserve"> </w:t>
      </w:r>
      <w:r>
        <w:rPr>
          <w:rFonts w:ascii="Arial" w:cs="Arial" w:eastAsia="Arial" w:hAnsi="Arial"/>
          <w:sz w:val="18"/>
          <w:szCs w:val="18"/>
          <w:color w:val="000000"/>
        </w:rPr>
        <w:t>Designated Preferred Stock (other than Disqualified Stock) issued by Holdings after the Restatement Effective Date; (B) the declaration and payment of dividends to any direct or indirect parent company of Holdings, the proceeds of which will be used to fund the payment of dividends to holders of any class or series of Designated Preferred Stock (other than Disqualified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580"/>
          </w:cols>
          <w:pgMar w:left="980" w:top="1440" w:right="339" w:bottom="1440" w:gutter="0" w:footer="0" w:header="0"/>
        </w:sectPr>
      </w:pPr>
    </w:p>
    <w:bookmarkStart w:id="160" w:name="page161"/>
    <w:bookmarkEnd w:id="160"/>
    <w:p>
      <w:pPr>
        <w:spacing w:after="0" w:line="200" w:lineRule="exact"/>
        <w:rPr>
          <w:sz w:val="20"/>
          <w:szCs w:val="20"/>
          <w:color w:val="auto"/>
        </w:rPr>
      </w:pPr>
    </w:p>
    <w:p>
      <w:pPr>
        <w:spacing w:after="0" w:line="322"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 xml:space="preserve">of such parent company issued after the Restatement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dividends paid pursuant to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exceed the aggregate amount of cash actually contributed to Holdings from the sale of such Designated Preferred Stock; or (C) the declaration and payment of dividends on Refunding Capital Stock in excess of the dividends declarable and payable thereon pursuant to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each of (A), (B), and (C) of this </w:t>
      </w:r>
      <w:r>
        <w:rPr>
          <w:rFonts w:ascii="Arial" w:cs="Arial" w:eastAsia="Arial" w:hAnsi="Arial"/>
          <w:sz w:val="18"/>
          <w:szCs w:val="18"/>
          <w:u w:val="single" w:color="auto"/>
          <w:color w:val="auto"/>
        </w:rPr>
        <w:t>clause (6)</w:t>
      </w:r>
      <w:r>
        <w:rPr>
          <w:rFonts w:ascii="Arial" w:cs="Arial" w:eastAsia="Arial" w:hAnsi="Arial"/>
          <w:sz w:val="18"/>
          <w:szCs w:val="18"/>
          <w:color w:val="auto"/>
        </w:rPr>
        <w:t xml:space="preserve">,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Holdings and the Restricted Subsidiaries on a consolidated basis would have had a Consolidated Total Debt to Consolidated EBITDA Ratio equal to or less than </w:t>
      </w:r>
      <w:r>
        <w:rPr>
          <w:rFonts w:ascii="Arial" w:cs="Arial" w:eastAsia="Arial" w:hAnsi="Arial"/>
          <w:sz w:val="18"/>
          <w:szCs w:val="18"/>
          <w:color w:val="FF0000"/>
          <w:strike w:val="1"/>
        </w:rPr>
        <w:t>3.75</w:t>
      </w:r>
      <w:r>
        <w:rPr>
          <w:rFonts w:ascii="Arial" w:cs="Arial" w:eastAsia="Arial" w:hAnsi="Arial"/>
          <w:sz w:val="18"/>
          <w:szCs w:val="18"/>
          <w:u w:val="single" w:color="auto"/>
          <w:color w:val="0000FF"/>
        </w:rPr>
        <w:t>4.00</w:t>
      </w:r>
      <w:r>
        <w:rPr>
          <w:rFonts w:ascii="Arial" w:cs="Arial" w:eastAsia="Arial" w:hAnsi="Arial"/>
          <w:sz w:val="18"/>
          <w:szCs w:val="18"/>
          <w:color w:val="auto"/>
        </w:rPr>
        <w:t xml:space="preserve"> to 1.00;</w:t>
      </w:r>
    </w:p>
    <w:p>
      <w:pPr>
        <w:spacing w:after="0" w:line="192" w:lineRule="exact"/>
        <w:rPr>
          <w:sz w:val="20"/>
          <w:szCs w:val="20"/>
          <w:color w:val="auto"/>
        </w:rPr>
      </w:pPr>
    </w:p>
    <w:p>
      <w:pPr>
        <w:ind w:left="4" w:right="20" w:firstLine="644"/>
        <w:spacing w:after="0" w:line="287" w:lineRule="auto"/>
        <w:tabs>
          <w:tab w:leader="none" w:pos="1042" w:val="left"/>
        </w:tabs>
        <w:numPr>
          <w:ilvl w:val="1"/>
          <w:numId w:val="166"/>
        </w:numPr>
        <w:rPr>
          <w:rFonts w:ascii="Arial" w:cs="Arial" w:eastAsia="Arial" w:hAnsi="Arial"/>
          <w:sz w:val="16"/>
          <w:szCs w:val="16"/>
          <w:color w:val="010000"/>
        </w:rPr>
      </w:pPr>
      <w:r>
        <w:rPr>
          <w:rFonts w:ascii="Arial" w:cs="Arial" w:eastAsia="Arial" w:hAnsi="Arial"/>
          <w:sz w:val="16"/>
          <w:szCs w:val="16"/>
          <w:color w:val="FF0000"/>
          <w:strike w:val="1"/>
        </w:rPr>
        <w:t>[reserved];</w:t>
      </w:r>
      <w:r>
        <w:rPr>
          <w:rFonts w:ascii="Arial" w:cs="Arial" w:eastAsia="Arial" w:hAnsi="Arial"/>
          <w:sz w:val="16"/>
          <w:szCs w:val="16"/>
          <w:u w:val="single" w:color="auto"/>
          <w:color w:val="0000FF"/>
          <w:strike w:val="1"/>
        </w:rPr>
        <w:t>Investments in Unrestricted Subsidiaries having an aggregate Fair Market Value, taken together with all other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Investments made pursuant to this clause (7) that are at the time outstanding, without giving effect to the sale of an Unrestricted Subsidiary to the extent the proceeds of such sale do not consist of cash, Cash Equivalents or marketable securities, not to exceed the greater of (x) $25,000,000 and</w:t>
      </w:r>
    </w:p>
    <w:p>
      <w:pPr>
        <w:spacing w:after="0" w:line="2" w:lineRule="exact"/>
        <w:rPr>
          <w:rFonts w:ascii="Arial" w:cs="Arial" w:eastAsia="Arial" w:hAnsi="Arial"/>
          <w:sz w:val="16"/>
          <w:szCs w:val="16"/>
          <w:color w:val="010000"/>
        </w:rPr>
      </w:pPr>
    </w:p>
    <w:p>
      <w:pPr>
        <w:ind w:left="4" w:right="380" w:hanging="4"/>
        <w:spacing w:after="0" w:line="323" w:lineRule="auto"/>
        <w:tabs>
          <w:tab w:leader="none" w:pos="259" w:val="left"/>
        </w:tabs>
        <w:numPr>
          <w:ilvl w:val="0"/>
          <w:numId w:val="16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25.0% of Consolidated EBITDA for the most recently ended Test Period (calculated on a Pro Forma Basis) at the time of such Investment (with the Fair Market Value of each Investment being measured at the time made and without giving effect to subsequent changes in value);</w:t>
      </w:r>
    </w:p>
    <w:p>
      <w:pPr>
        <w:spacing w:after="0" w:line="381" w:lineRule="exact"/>
        <w:rPr>
          <w:rFonts w:ascii="Arial" w:cs="Arial" w:eastAsia="Arial" w:hAnsi="Arial"/>
          <w:sz w:val="16"/>
          <w:szCs w:val="16"/>
          <w:u w:val="single" w:color="auto"/>
          <w:color w:val="0000FF"/>
        </w:rPr>
      </w:pPr>
    </w:p>
    <w:p>
      <w:pPr>
        <w:ind w:left="4" w:right="120" w:firstLine="644"/>
        <w:spacing w:after="0" w:line="296" w:lineRule="auto"/>
        <w:tabs>
          <w:tab w:leader="none" w:pos="1042" w:val="left"/>
        </w:tabs>
        <w:numPr>
          <w:ilvl w:val="1"/>
          <w:numId w:val="167"/>
        </w:numPr>
        <w:rPr>
          <w:rFonts w:ascii="Arial" w:cs="Arial" w:eastAsia="Arial" w:hAnsi="Arial"/>
          <w:sz w:val="16"/>
          <w:szCs w:val="16"/>
          <w:color w:val="010000"/>
        </w:rPr>
      </w:pPr>
      <w:r>
        <w:rPr>
          <w:rFonts w:ascii="Arial" w:cs="Arial" w:eastAsia="Arial" w:hAnsi="Arial"/>
          <w:sz w:val="16"/>
          <w:szCs w:val="16"/>
          <w:color w:val="auto"/>
        </w:rPr>
        <w:t>(i) payments made or expected to be made by Holdings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161" w:lineRule="exact"/>
        <w:rPr>
          <w:rFonts w:ascii="Arial" w:cs="Arial" w:eastAsia="Arial" w:hAnsi="Arial"/>
          <w:sz w:val="16"/>
          <w:szCs w:val="16"/>
          <w:color w:val="010000"/>
        </w:rPr>
      </w:pPr>
    </w:p>
    <w:p>
      <w:pPr>
        <w:ind w:left="4" w:firstLine="644"/>
        <w:spacing w:after="0" w:line="291" w:lineRule="auto"/>
        <w:tabs>
          <w:tab w:leader="none" w:pos="1042" w:val="left"/>
        </w:tabs>
        <w:numPr>
          <w:ilvl w:val="1"/>
          <w:numId w:val="167"/>
        </w:numPr>
        <w:rPr>
          <w:rFonts w:ascii="Arial" w:cs="Arial" w:eastAsia="Arial" w:hAnsi="Arial"/>
          <w:sz w:val="16"/>
          <w:szCs w:val="16"/>
          <w:color w:val="010000"/>
        </w:rPr>
      </w:pPr>
      <w:r>
        <w:rPr>
          <w:rFonts w:ascii="Arial" w:cs="Arial" w:eastAsia="Arial" w:hAnsi="Arial"/>
          <w:sz w:val="16"/>
          <w:szCs w:val="16"/>
          <w:color w:val="FF0000"/>
          <w:strike w:val="1"/>
        </w:rPr>
        <w:t>following the Additional Restrictions Period,</w:t>
      </w:r>
      <w:r>
        <w:rPr>
          <w:rFonts w:ascii="Arial" w:cs="Arial" w:eastAsia="Arial" w:hAnsi="Arial"/>
          <w:sz w:val="16"/>
          <w:szCs w:val="16"/>
          <w:color w:val="FF0000"/>
        </w:rPr>
        <w:t xml:space="preserve"> </w:t>
      </w:r>
      <w:r>
        <w:rPr>
          <w:rFonts w:ascii="Arial" w:cs="Arial" w:eastAsia="Arial" w:hAnsi="Arial"/>
          <w:sz w:val="16"/>
          <w:szCs w:val="16"/>
          <w:color w:val="000000"/>
        </w:rPr>
        <w:t>the declaration and payment of dividends on Holdings’ common stock (or the payment</w:t>
      </w:r>
      <w:r>
        <w:rPr>
          <w:rFonts w:ascii="Arial" w:cs="Arial" w:eastAsia="Arial" w:hAnsi="Arial"/>
          <w:sz w:val="16"/>
          <w:szCs w:val="16"/>
          <w:color w:val="FF0000"/>
        </w:rPr>
        <w:t xml:space="preserve"> </w:t>
      </w:r>
      <w:r>
        <w:rPr>
          <w:rFonts w:ascii="Arial" w:cs="Arial" w:eastAsia="Arial" w:hAnsi="Arial"/>
          <w:sz w:val="16"/>
          <w:szCs w:val="16"/>
          <w:color w:val="000000"/>
        </w:rPr>
        <w:t>of dividends to any direct or indirect parent company of Holdings to fund a payment of dividends on such company’s common stock) of up to</w:t>
      </w:r>
    </w:p>
    <w:p>
      <w:pPr>
        <w:ind w:left="4" w:right="120"/>
        <w:spacing w:after="0" w:line="290" w:lineRule="auto"/>
        <w:rPr>
          <w:rFonts w:ascii="Arial" w:cs="Arial" w:eastAsia="Arial" w:hAnsi="Arial"/>
          <w:sz w:val="16"/>
          <w:szCs w:val="16"/>
          <w:color w:val="010000"/>
        </w:rPr>
      </w:pPr>
      <w:r>
        <w:rPr>
          <w:rFonts w:ascii="Arial" w:cs="Arial" w:eastAsia="Arial" w:hAnsi="Arial"/>
          <w:sz w:val="17"/>
          <w:szCs w:val="17"/>
          <w:color w:val="auto"/>
        </w:rPr>
        <w:t>6.00% per annum of the net cash proceeds received by or contributed to Holdings in or from any public offering, other than public offerings with respect to Holdings’ common stock registered on Form S-8 and other than any public sale constituting an Excluded Contribution;</w:t>
      </w:r>
    </w:p>
    <w:p>
      <w:pPr>
        <w:spacing w:after="0" w:line="161" w:lineRule="exact"/>
        <w:rPr>
          <w:rFonts w:ascii="Arial" w:cs="Arial" w:eastAsia="Arial" w:hAnsi="Arial"/>
          <w:sz w:val="16"/>
          <w:szCs w:val="16"/>
          <w:color w:val="010000"/>
        </w:rPr>
      </w:pPr>
    </w:p>
    <w:p>
      <w:pPr>
        <w:ind w:left="4" w:right="780" w:firstLine="644"/>
        <w:spacing w:after="0" w:line="277" w:lineRule="auto"/>
        <w:tabs>
          <w:tab w:leader="none" w:pos="1132" w:val="left"/>
        </w:tabs>
        <w:numPr>
          <w:ilvl w:val="1"/>
          <w:numId w:val="167"/>
        </w:numPr>
        <w:rPr>
          <w:rFonts w:ascii="Arial" w:cs="Arial" w:eastAsia="Arial" w:hAnsi="Arial"/>
          <w:sz w:val="18"/>
          <w:szCs w:val="18"/>
          <w:color w:val="010000"/>
        </w:rPr>
      </w:pPr>
      <w:r>
        <w:rPr>
          <w:rFonts w:ascii="Arial" w:cs="Arial" w:eastAsia="Arial" w:hAnsi="Arial"/>
          <w:sz w:val="18"/>
          <w:szCs w:val="18"/>
          <w:color w:val="auto"/>
        </w:rPr>
        <w:t xml:space="preserve">Restricted Payments in an amount that does not exceed the amount of Excluded Contributions made since the </w:t>
      </w:r>
      <w:r>
        <w:rPr>
          <w:rFonts w:ascii="Arial" w:cs="Arial" w:eastAsia="Arial" w:hAnsi="Arial"/>
          <w:sz w:val="18"/>
          <w:szCs w:val="18"/>
          <w:color w:val="FF0000"/>
          <w:strike w:val="1"/>
        </w:rPr>
        <w:t>end of the</w:t>
      </w:r>
      <w:r>
        <w:rPr>
          <w:rFonts w:ascii="Arial" w:cs="Arial" w:eastAsia="Arial" w:hAnsi="Arial"/>
          <w:sz w:val="18"/>
          <w:szCs w:val="18"/>
          <w:color w:val="auto"/>
        </w:rPr>
        <w:t xml:space="preserve"> </w:t>
      </w:r>
      <w:r>
        <w:rPr>
          <w:rFonts w:ascii="Arial" w:cs="Arial" w:eastAsia="Arial" w:hAnsi="Arial"/>
          <w:sz w:val="18"/>
          <w:szCs w:val="18"/>
          <w:color w:val="FF0000"/>
          <w:strike w:val="1"/>
        </w:rPr>
        <w:t>Additional Restrictions Period</w:t>
      </w:r>
      <w:r>
        <w:rPr>
          <w:rFonts w:ascii="Arial" w:cs="Arial" w:eastAsia="Arial" w:hAnsi="Arial"/>
          <w:sz w:val="18"/>
          <w:szCs w:val="18"/>
          <w:u w:val="single" w:color="auto"/>
          <w:color w:val="0000FF"/>
        </w:rPr>
        <w:t>Amendment No. 2 Effective Date</w:t>
      </w:r>
      <w:r>
        <w:rPr>
          <w:rFonts w:ascii="Arial" w:cs="Arial" w:eastAsia="Arial" w:hAnsi="Arial"/>
          <w:sz w:val="18"/>
          <w:szCs w:val="18"/>
          <w:color w:val="FF0000"/>
        </w:rPr>
        <w:t xml:space="preserve"> </w:t>
      </w:r>
      <w:r>
        <w:rPr>
          <w:rFonts w:ascii="Arial" w:cs="Arial" w:eastAsia="Arial" w:hAnsi="Arial"/>
          <w:sz w:val="18"/>
          <w:szCs w:val="18"/>
          <w:color w:val="000000"/>
        </w:rPr>
        <w:t>;</w:t>
      </w:r>
    </w:p>
    <w:p>
      <w:pPr>
        <w:spacing w:after="0" w:line="170" w:lineRule="exact"/>
        <w:rPr>
          <w:rFonts w:ascii="Arial" w:cs="Arial" w:eastAsia="Arial" w:hAnsi="Arial"/>
          <w:sz w:val="18"/>
          <w:szCs w:val="18"/>
          <w:color w:val="010000"/>
        </w:rPr>
      </w:pPr>
    </w:p>
    <w:p>
      <w:pPr>
        <w:ind w:left="4" w:right="220" w:firstLine="644"/>
        <w:spacing w:after="0" w:line="263" w:lineRule="auto"/>
        <w:tabs>
          <w:tab w:leader="none" w:pos="1125" w:val="left"/>
        </w:tabs>
        <w:numPr>
          <w:ilvl w:val="1"/>
          <w:numId w:val="167"/>
        </w:numPr>
        <w:rPr>
          <w:rFonts w:ascii="Arial" w:cs="Arial" w:eastAsia="Arial" w:hAnsi="Arial"/>
          <w:sz w:val="18"/>
          <w:szCs w:val="18"/>
          <w:color w:val="010000"/>
        </w:rPr>
      </w:pPr>
      <w:r>
        <w:rPr>
          <w:rFonts w:ascii="Arial" w:cs="Arial" w:eastAsia="Arial" w:hAnsi="Arial"/>
          <w:sz w:val="18"/>
          <w:szCs w:val="18"/>
          <w:color w:val="FF0000"/>
          <w:strike w:val="1"/>
        </w:rPr>
        <w:t>following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other Restricted Payments in an aggregate amount taken together with all other</w:t>
      </w:r>
      <w:r>
        <w:rPr>
          <w:rFonts w:ascii="Arial" w:cs="Arial" w:eastAsia="Arial" w:hAnsi="Arial"/>
          <w:sz w:val="18"/>
          <w:szCs w:val="18"/>
          <w:color w:val="FF0000"/>
        </w:rPr>
        <w:t xml:space="preserve"> </w:t>
      </w:r>
      <w:r>
        <w:rPr>
          <w:rFonts w:ascii="Arial" w:cs="Arial" w:eastAsia="Arial" w:hAnsi="Arial"/>
          <w:sz w:val="18"/>
          <w:szCs w:val="18"/>
          <w:color w:val="000000"/>
        </w:rPr>
        <w:t>Restricted Payments made pursuant to this clause not to exceed the greater of (x) $105,000,000 and (y) 50.0% of Consolidated EBITDA for the most recently ended Test Period (calculated on a Pro Forma Basis) at the time made;</w:t>
      </w:r>
    </w:p>
    <w:p>
      <w:pPr>
        <w:spacing w:after="0" w:line="183" w:lineRule="exact"/>
        <w:rPr>
          <w:rFonts w:ascii="Arial" w:cs="Arial" w:eastAsia="Arial" w:hAnsi="Arial"/>
          <w:sz w:val="18"/>
          <w:szCs w:val="18"/>
          <w:color w:val="010000"/>
        </w:rPr>
      </w:pPr>
    </w:p>
    <w:p>
      <w:pPr>
        <w:ind w:left="1124" w:hanging="476"/>
        <w:spacing w:after="0"/>
        <w:tabs>
          <w:tab w:leader="none" w:pos="1124" w:val="left"/>
        </w:tabs>
        <w:numPr>
          <w:ilvl w:val="1"/>
          <w:numId w:val="167"/>
        </w:numPr>
        <w:rPr>
          <w:rFonts w:ascii="Arial" w:cs="Arial" w:eastAsia="Arial" w:hAnsi="Arial"/>
          <w:sz w:val="18"/>
          <w:szCs w:val="18"/>
          <w:color w:val="010000"/>
        </w:rPr>
      </w:pPr>
      <w:r>
        <w:rPr>
          <w:rFonts w:ascii="Arial" w:cs="Arial" w:eastAsia="Arial" w:hAnsi="Arial"/>
          <w:sz w:val="18"/>
          <w:szCs w:val="18"/>
          <w:color w:val="auto"/>
        </w:rPr>
        <w:t>distributions or payments of Receivables Fees;</w:t>
      </w:r>
    </w:p>
    <w:p>
      <w:pPr>
        <w:spacing w:after="0" w:line="225" w:lineRule="exact"/>
        <w:rPr>
          <w:rFonts w:ascii="Arial" w:cs="Arial" w:eastAsia="Arial" w:hAnsi="Arial"/>
          <w:sz w:val="18"/>
          <w:szCs w:val="18"/>
          <w:color w:val="010000"/>
        </w:rPr>
      </w:pPr>
    </w:p>
    <w:p>
      <w:pPr>
        <w:ind w:left="4" w:right="100" w:firstLine="644"/>
        <w:spacing w:after="0" w:line="257" w:lineRule="auto"/>
        <w:tabs>
          <w:tab w:leader="none" w:pos="1132" w:val="left"/>
        </w:tabs>
        <w:numPr>
          <w:ilvl w:val="1"/>
          <w:numId w:val="167"/>
        </w:numPr>
        <w:rPr>
          <w:rFonts w:ascii="Arial" w:cs="Arial" w:eastAsia="Arial" w:hAnsi="Arial"/>
          <w:sz w:val="18"/>
          <w:szCs w:val="18"/>
          <w:color w:val="010000"/>
        </w:rPr>
      </w:pPr>
      <w:r>
        <w:rPr>
          <w:rFonts w:ascii="Arial" w:cs="Arial" w:eastAsia="Arial" w:hAnsi="Arial"/>
          <w:sz w:val="18"/>
          <w:szCs w:val="18"/>
          <w:color w:val="auto"/>
        </w:rPr>
        <w:t xml:space="preserve">any Restricted Payment made in connection with the Transactions and the fees and expenses related thereto or used to fund amounts owed to Affiliates (including dividends to any direct or indirect parent company of Holdings to permit payment by such parent of such amount), to the extent permitted by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thereof), and Restricted Payments in respect of working capital adjustments or purchase price adjustments pursuant to any Permitted Acquisition or other Permitted Investment and to satisfy indemnity and other similar obligations under any Permitted Acquisitions or other Permitted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-1731010</wp:posOffset>
            </wp:positionV>
            <wp:extent cx="20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564"/>
          </w:cols>
          <w:pgMar w:left="976" w:top="1440" w:right="359" w:bottom="1440" w:gutter="0" w:footer="0" w:header="0"/>
        </w:sectPr>
      </w:pPr>
    </w:p>
    <w:bookmarkStart w:id="161" w:name="page162"/>
    <w:bookmarkEnd w:id="161"/>
    <w:p>
      <w:pPr>
        <w:spacing w:after="0" w:line="200" w:lineRule="exact"/>
        <w:rPr>
          <w:sz w:val="20"/>
          <w:szCs w:val="20"/>
          <w:color w:val="auto"/>
        </w:rPr>
      </w:pPr>
    </w:p>
    <w:p>
      <w:pPr>
        <w:spacing w:after="0" w:line="322" w:lineRule="exact"/>
        <w:rPr>
          <w:sz w:val="20"/>
          <w:szCs w:val="20"/>
          <w:color w:val="auto"/>
        </w:rPr>
      </w:pPr>
    </w:p>
    <w:p>
      <w:pPr>
        <w:ind w:left="4" w:right="20" w:firstLine="644"/>
        <w:spacing w:after="0" w:line="263" w:lineRule="auto"/>
        <w:tabs>
          <w:tab w:leader="none" w:pos="1132" w:val="left"/>
        </w:tabs>
        <w:numPr>
          <w:ilvl w:val="1"/>
          <w:numId w:val="168"/>
        </w:numPr>
        <w:rPr>
          <w:rFonts w:ascii="Arial" w:cs="Arial" w:eastAsia="Arial" w:hAnsi="Arial"/>
          <w:sz w:val="18"/>
          <w:szCs w:val="18"/>
          <w:color w:val="010000"/>
        </w:rPr>
      </w:pPr>
      <w:r>
        <w:rPr>
          <w:rFonts w:ascii="Arial" w:cs="Arial" w:eastAsia="Arial" w:hAnsi="Arial"/>
          <w:sz w:val="18"/>
          <w:szCs w:val="18"/>
          <w:color w:val="FF0000"/>
          <w:strike w:val="1"/>
        </w:rPr>
        <w:t>following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other Restricted Payments;</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FF0000"/>
        </w:rPr>
        <w:t xml:space="preserve"> </w:t>
      </w:r>
      <w:r>
        <w:rPr>
          <w:rFonts w:ascii="Arial" w:cs="Arial" w:eastAsia="Arial" w:hAnsi="Arial"/>
          <w:sz w:val="18"/>
          <w:szCs w:val="18"/>
          <w:color w:val="000000"/>
        </w:rPr>
        <w:t>that (A) no Event of Default shall have occurred</w:t>
      </w:r>
      <w:r>
        <w:rPr>
          <w:rFonts w:ascii="Arial" w:cs="Arial" w:eastAsia="Arial" w:hAnsi="Arial"/>
          <w:sz w:val="18"/>
          <w:szCs w:val="18"/>
          <w:color w:val="FF0000"/>
        </w:rPr>
        <w:t xml:space="preserve"> </w:t>
      </w:r>
      <w:r>
        <w:rPr>
          <w:rFonts w:ascii="Arial" w:cs="Arial" w:eastAsia="Arial" w:hAnsi="Arial"/>
          <w:sz w:val="18"/>
          <w:szCs w:val="18"/>
          <w:color w:val="000000"/>
        </w:rPr>
        <w:t xml:space="preserve">and be continuing or would occur as a consequence thereof and (B) after giving Pro Forma Effect to such Restricted Payments the Consolidated Total Debt to Consolidated EBITDA Ratio is equal to or less than </w:t>
      </w:r>
      <w:r>
        <w:rPr>
          <w:rFonts w:ascii="Arial" w:cs="Arial" w:eastAsia="Arial" w:hAnsi="Arial"/>
          <w:sz w:val="18"/>
          <w:szCs w:val="18"/>
          <w:color w:val="FF0000"/>
          <w:strike w:val="1"/>
        </w:rPr>
        <w:t>2.75</w:t>
      </w:r>
      <w:r>
        <w:rPr>
          <w:rFonts w:ascii="Arial" w:cs="Arial" w:eastAsia="Arial" w:hAnsi="Arial"/>
          <w:sz w:val="18"/>
          <w:szCs w:val="18"/>
          <w:u w:val="single" w:color="auto"/>
          <w:color w:val="0000FF"/>
        </w:rPr>
        <w:t>3.00</w:t>
      </w:r>
      <w:r>
        <w:rPr>
          <w:rFonts w:ascii="Arial" w:cs="Arial" w:eastAsia="Arial" w:hAnsi="Arial"/>
          <w:sz w:val="18"/>
          <w:szCs w:val="18"/>
          <w:color w:val="000000"/>
        </w:rPr>
        <w:t>:1.00;</w:t>
      </w:r>
    </w:p>
    <w:p>
      <w:pPr>
        <w:spacing w:after="0" w:line="183" w:lineRule="exact"/>
        <w:rPr>
          <w:rFonts w:ascii="Arial" w:cs="Arial" w:eastAsia="Arial" w:hAnsi="Arial"/>
          <w:sz w:val="18"/>
          <w:szCs w:val="18"/>
          <w:color w:val="010000"/>
        </w:rPr>
      </w:pPr>
    </w:p>
    <w:p>
      <w:pPr>
        <w:ind w:left="4" w:firstLine="644"/>
        <w:spacing w:after="0" w:line="282" w:lineRule="auto"/>
        <w:tabs>
          <w:tab w:leader="none" w:pos="1132" w:val="left"/>
        </w:tabs>
        <w:numPr>
          <w:ilvl w:val="1"/>
          <w:numId w:val="168"/>
        </w:numPr>
        <w:rPr>
          <w:rFonts w:ascii="Arial" w:cs="Arial" w:eastAsia="Arial" w:hAnsi="Arial"/>
          <w:sz w:val="16"/>
          <w:szCs w:val="16"/>
          <w:color w:val="010000"/>
        </w:rPr>
      </w:pPr>
      <w:r>
        <w:rPr>
          <w:rFonts w:ascii="Arial" w:cs="Arial" w:eastAsia="Arial" w:hAnsi="Arial"/>
          <w:sz w:val="16"/>
          <w:szCs w:val="16"/>
          <w:color w:val="auto"/>
        </w:rPr>
        <w:t xml:space="preserve">the declaration and payment of dividends by Holdings to, or the making of loans to, any direct or indirect parent company of Holdings in amounts required for any direct or indirect parent company to pay: (A) franchise and excise taxes, and other fees and expenses, required to maintain its organizational existence, (B) consolidated, combined or similar foreign, federal, state and local income or similar taxes, to the extent that such income taxes are attributable to the income of Holdings and the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with respect to any fiscal year does not exceed the amount that Holdings, the Restricted Subsidiaries and the Unrestricted Subsidiaries (to the extent described above) would have been required to pay in respect of such foreign, federal, state and local income or similar taxes for such fiscal year had Holdings, the Restricted Subsidiaries and the Unrestricted Subsidiaries (to the extent described above) been a stand-alone taxpayer or stand-alone group (separate from any such direct or indirect parent company of Holdings) for all fiscal years ending after the Restatement Effective Date, (C) customary salary, bonus, and other benefits payable to officers, employees, directors, and managers of any direct or indirect parent company of Holdings to the extent such salaries, bonuses, and other benefits are attributable to the ownership or operation of Holdings and the Restricted Subsidiaries, including Holdings’ proportionate share of such amount relating to such parent company being a public company, (D) general corporate or other operating (including, without limitation, expenses related to auditing or other accounting matters) and overhead costs and expenses of any direct or indirect parent company of Holdings to the extent such costs and expenses are attributable to the ownership or operation of Holdings and the Restricted Subsidiaries, including Holdings’ proportionate share of such amount relating to such parent company being a public company, (E) amounts required for any direct or indirect parent company of Holdings to pay fees and expenses incurred by any direct or indirect parent company of Holdings related to (i) the maintenance by such parent entity of its corporate or other entity existence and (ii) transactions of such parent company of Holdings of the type described in </w:t>
      </w:r>
      <w:r>
        <w:rPr>
          <w:rFonts w:ascii="Arial" w:cs="Arial" w:eastAsia="Arial" w:hAnsi="Arial"/>
          <w:sz w:val="16"/>
          <w:szCs w:val="16"/>
          <w:u w:val="single" w:color="auto"/>
          <w:color w:val="auto"/>
        </w:rPr>
        <w:t>clause</w:t>
      </w:r>
    </w:p>
    <w:p>
      <w:pPr>
        <w:spacing w:after="0" w:line="11" w:lineRule="exact"/>
        <w:rPr>
          <w:rFonts w:ascii="Arial" w:cs="Arial" w:eastAsia="Arial" w:hAnsi="Arial"/>
          <w:sz w:val="16"/>
          <w:szCs w:val="16"/>
          <w:color w:val="010000"/>
        </w:rPr>
      </w:pPr>
    </w:p>
    <w:p>
      <w:pPr>
        <w:ind w:left="4" w:right="20" w:hanging="4"/>
        <w:spacing w:after="0" w:line="253" w:lineRule="auto"/>
        <w:tabs>
          <w:tab w:leader="none" w:pos="309" w:val="left"/>
        </w:tabs>
        <w:numPr>
          <w:ilvl w:val="0"/>
          <w:numId w:val="169"/>
        </w:numPr>
        <w:rPr>
          <w:rFonts w:ascii="Arial" w:cs="Arial" w:eastAsia="Arial" w:hAnsi="Arial"/>
          <w:sz w:val="18"/>
          <w:szCs w:val="18"/>
          <w:u w:val="single" w:color="auto"/>
          <w:color w:val="auto"/>
        </w:rPr>
      </w:pPr>
      <w:r>
        <w:rPr>
          <w:rFonts w:ascii="Arial" w:cs="Arial" w:eastAsia="Arial" w:hAnsi="Arial"/>
          <w:sz w:val="18"/>
          <w:szCs w:val="18"/>
          <w:color w:val="auto"/>
        </w:rPr>
        <w:t>of the definition of “Consolidated Net Income”, (F) cash payments in lieu of issuing fractional shares in connection with the exercise of warrants, options, Permitted Convertible Indebtedness or other securities convertible into or exchangeable for Equity Interests of Holdings or any such direct or indirect parent company of Holdings, (G) repurchases deemed to occur upon the cashless exercise of stock options and (H) regularly scheduled payments of cash interest on Permitted Convertible Indebtedness;</w:t>
      </w:r>
    </w:p>
    <w:p>
      <w:pPr>
        <w:spacing w:after="0" w:line="192" w:lineRule="exact"/>
        <w:rPr>
          <w:rFonts w:ascii="Arial" w:cs="Arial" w:eastAsia="Arial" w:hAnsi="Arial"/>
          <w:sz w:val="18"/>
          <w:szCs w:val="18"/>
          <w:u w:val="single" w:color="auto"/>
          <w:color w:val="auto"/>
        </w:rPr>
      </w:pPr>
    </w:p>
    <w:p>
      <w:pPr>
        <w:ind w:left="4" w:right="280" w:firstLine="644"/>
        <w:spacing w:after="0" w:line="311" w:lineRule="auto"/>
        <w:tabs>
          <w:tab w:leader="none" w:pos="1132" w:val="left"/>
        </w:tabs>
        <w:numPr>
          <w:ilvl w:val="1"/>
          <w:numId w:val="169"/>
        </w:numPr>
        <w:rPr>
          <w:rFonts w:ascii="Arial" w:cs="Arial" w:eastAsia="Arial" w:hAnsi="Arial"/>
          <w:sz w:val="16"/>
          <w:szCs w:val="16"/>
          <w:color w:val="010000"/>
        </w:rPr>
      </w:pPr>
      <w:r>
        <w:rPr>
          <w:rFonts w:ascii="Arial" w:cs="Arial" w:eastAsia="Arial" w:hAnsi="Arial"/>
          <w:sz w:val="16"/>
          <w:szCs w:val="16"/>
          <w:color w:val="auto"/>
        </w:rPr>
        <w:t>the repurchase, redemption or other acquisition for value of Equity Interests of Holdings deemed to occur in connection with paying cash in lieu of fractional shares of such Equity Interests in connection with a share dividend, distribution, share split, reverse share split, merger, consolidation, amalgamation or other business combination of Holdings, in each case, permitted under this Agreement;</w:t>
      </w:r>
    </w:p>
    <w:p>
      <w:pPr>
        <w:spacing w:after="0" w:line="148" w:lineRule="exact"/>
        <w:rPr>
          <w:rFonts w:ascii="Arial" w:cs="Arial" w:eastAsia="Arial" w:hAnsi="Arial"/>
          <w:sz w:val="16"/>
          <w:szCs w:val="16"/>
          <w:color w:val="010000"/>
        </w:rPr>
      </w:pPr>
    </w:p>
    <w:p>
      <w:pPr>
        <w:ind w:left="4" w:right="20" w:firstLine="644"/>
        <w:spacing w:after="0" w:line="263" w:lineRule="auto"/>
        <w:tabs>
          <w:tab w:leader="none" w:pos="1132" w:val="left"/>
        </w:tabs>
        <w:numPr>
          <w:ilvl w:val="1"/>
          <w:numId w:val="169"/>
        </w:numPr>
        <w:rPr>
          <w:rFonts w:ascii="Arial" w:cs="Arial" w:eastAsia="Arial" w:hAnsi="Arial"/>
          <w:sz w:val="18"/>
          <w:szCs w:val="18"/>
          <w:color w:val="010000"/>
        </w:rPr>
      </w:pPr>
      <w:r>
        <w:rPr>
          <w:rFonts w:ascii="Arial" w:cs="Arial" w:eastAsia="Arial" w:hAnsi="Arial"/>
          <w:sz w:val="18"/>
          <w:szCs w:val="18"/>
          <w:color w:val="FF0000"/>
          <w:strike w:val="1"/>
        </w:rPr>
        <w:t>following the Additional Restrictions Period, the</w:t>
      </w:r>
      <w:r>
        <w:rPr>
          <w:rFonts w:ascii="Arial" w:cs="Arial" w:eastAsia="Arial" w:hAnsi="Arial"/>
          <w:sz w:val="18"/>
          <w:szCs w:val="18"/>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color w:val="000000"/>
        </w:rPr>
        <w:t>distribution, by dividend or otherwise, of shares of Capital Stock of, or</w:t>
      </w:r>
      <w:r>
        <w:rPr>
          <w:rFonts w:ascii="Arial" w:cs="Arial" w:eastAsia="Arial" w:hAnsi="Arial"/>
          <w:sz w:val="18"/>
          <w:szCs w:val="18"/>
          <w:color w:val="FF0000"/>
        </w:rPr>
        <w:t xml:space="preserve"> </w:t>
      </w:r>
      <w:r>
        <w:rPr>
          <w:rFonts w:ascii="Arial" w:cs="Arial" w:eastAsia="Arial" w:hAnsi="Arial"/>
          <w:sz w:val="18"/>
          <w:szCs w:val="18"/>
          <w:color w:val="000000"/>
        </w:rPr>
        <w:t>Indebtedness owed to Holdings or a Restricted Subsidiary by, Unrestricted Subsidiaries (other than Unrestricted Subsidiaries, the primary assets of which are cash and/or Cash Equivalents); and</w:t>
      </w:r>
    </w:p>
    <w:p>
      <w:pPr>
        <w:spacing w:after="0" w:line="183" w:lineRule="exact"/>
        <w:rPr>
          <w:rFonts w:ascii="Arial" w:cs="Arial" w:eastAsia="Arial" w:hAnsi="Arial"/>
          <w:sz w:val="18"/>
          <w:szCs w:val="18"/>
          <w:color w:val="010000"/>
        </w:rPr>
      </w:pPr>
    </w:p>
    <w:p>
      <w:pPr>
        <w:ind w:left="4" w:right="240" w:firstLine="644"/>
        <w:spacing w:after="0" w:line="259" w:lineRule="auto"/>
        <w:tabs>
          <w:tab w:leader="none" w:pos="1132" w:val="left"/>
        </w:tabs>
        <w:numPr>
          <w:ilvl w:val="1"/>
          <w:numId w:val="169"/>
        </w:numPr>
        <w:rPr>
          <w:rFonts w:ascii="Arial" w:cs="Arial" w:eastAsia="Arial" w:hAnsi="Arial"/>
          <w:sz w:val="18"/>
          <w:szCs w:val="18"/>
          <w:color w:val="010000"/>
        </w:rPr>
      </w:pPr>
      <w:r>
        <w:rPr>
          <w:rFonts w:ascii="Arial" w:cs="Arial" w:eastAsia="Arial" w:hAnsi="Arial"/>
          <w:sz w:val="18"/>
          <w:szCs w:val="18"/>
          <w:color w:val="FF0000"/>
          <w:strike w:val="1"/>
        </w:rPr>
        <w:t>following the Additional Restrictions Period.</w:t>
      </w:r>
      <w:r>
        <w:rPr>
          <w:rFonts w:ascii="Arial" w:cs="Arial" w:eastAsia="Arial" w:hAnsi="Arial"/>
          <w:sz w:val="18"/>
          <w:szCs w:val="18"/>
          <w:color w:val="FF0000"/>
        </w:rPr>
        <w:t xml:space="preserve"> </w:t>
      </w:r>
      <w:r>
        <w:rPr>
          <w:rFonts w:ascii="Arial" w:cs="Arial" w:eastAsia="Arial" w:hAnsi="Arial"/>
          <w:sz w:val="18"/>
          <w:szCs w:val="18"/>
          <w:color w:val="000000"/>
        </w:rPr>
        <w:t>the making of any principal payment on, or redeeming, repurchasing, defeasing or</w:t>
      </w:r>
      <w:r>
        <w:rPr>
          <w:rFonts w:ascii="Arial" w:cs="Arial" w:eastAsia="Arial" w:hAnsi="Arial"/>
          <w:sz w:val="18"/>
          <w:szCs w:val="18"/>
          <w:color w:val="FF0000"/>
        </w:rPr>
        <w:t xml:space="preserve"> </w:t>
      </w:r>
      <w:r>
        <w:rPr>
          <w:rFonts w:ascii="Arial" w:cs="Arial" w:eastAsia="Arial" w:hAnsi="Arial"/>
          <w:sz w:val="18"/>
          <w:szCs w:val="18"/>
          <w:color w:val="000000"/>
        </w:rPr>
        <w:t>otherwise acquiring or retiring for value in each case, prior to any scheduled repayment, sinking fund payment or maturity, any Junior Debt of Holdings or any Restricted Subsidiary in an amount not in excess of the greater of $30,000,000 and 25% of Consolidated EBITDA for the most recently ended Test Period (calculated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584"/>
          </w:cols>
          <w:pgMar w:left="976" w:top="1440" w:right="339" w:bottom="1440" w:gutter="0" w:footer="0" w:header="0"/>
        </w:sectPr>
      </w:pPr>
    </w:p>
    <w:bookmarkStart w:id="162" w:name="page163"/>
    <w:bookmarkEnd w:id="162"/>
    <w:p>
      <w:pPr>
        <w:spacing w:after="0" w:line="200" w:lineRule="exact"/>
        <w:rPr>
          <w:sz w:val="20"/>
          <w:szCs w:val="20"/>
          <w:color w:val="auto"/>
        </w:rPr>
      </w:pPr>
    </w:p>
    <w:p>
      <w:pPr>
        <w:spacing w:after="0" w:line="32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and after giving effect to, any Restricted Payment permitted under </w:t>
      </w:r>
      <w:r>
        <w:rPr>
          <w:rFonts w:ascii="Arial" w:cs="Arial" w:eastAsia="Arial" w:hAnsi="Arial"/>
          <w:sz w:val="18"/>
          <w:szCs w:val="18"/>
          <w:u w:val="single" w:color="auto"/>
          <w:color w:val="auto"/>
        </w:rPr>
        <w:t>clauses (10)</w:t>
      </w:r>
      <w:r>
        <w:rPr>
          <w:rFonts w:ascii="Arial" w:cs="Arial" w:eastAsia="Arial" w:hAnsi="Arial"/>
          <w:sz w:val="18"/>
          <w:szCs w:val="18"/>
          <w:color w:val="auto"/>
        </w:rPr>
        <w:t xml:space="preserve"> (but only if the Excluded Contribution was made more than six months prior to such time),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no Event of Default shall have occurred and be continuing or would occur as a consequence thereof (or in the case of a Restricted Investment,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 or would occur as a consequence thereof).</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Holdings will not permit any Unrestricted Subsidiary to become a Restricted Subsidiary except pursuant to the last sentence of the definition of “Unrestricted Subsidiary”. For purposes of designating any Restricted Subsidiary as an Unrestricted Subsidiary, all outstanding Investments by Holdings and the Restricted Subsidiaries (except to the extent repaid) in the Subsidiary so designated will be deemed to be Restricted Payments in an amount determined as set forth in the last sentence of the definition of “Investment”. Such designation will be permitted only if </w:t>
      </w:r>
      <w:r>
        <w:rPr>
          <w:rFonts w:ascii="Arial" w:cs="Arial" w:eastAsia="Arial" w:hAnsi="Arial"/>
          <w:sz w:val="16"/>
          <w:szCs w:val="16"/>
          <w:color w:val="FF0000"/>
          <w:strike w:val="1"/>
        </w:rPr>
        <w:t>such designation occurs following</w:t>
      </w:r>
      <w:r>
        <w:rPr>
          <w:rFonts w:ascii="Arial" w:cs="Arial" w:eastAsia="Arial" w:hAnsi="Arial"/>
          <w:sz w:val="16"/>
          <w:szCs w:val="16"/>
          <w:color w:val="auto"/>
        </w:rPr>
        <w:t xml:space="preserve"> </w:t>
      </w:r>
      <w:r>
        <w:rPr>
          <w:rFonts w:ascii="Arial" w:cs="Arial" w:eastAsia="Arial" w:hAnsi="Arial"/>
          <w:sz w:val="16"/>
          <w:szCs w:val="16"/>
          <w:color w:val="FF0000"/>
          <w:strike w:val="1"/>
        </w:rPr>
        <w:t>the Additional Restrictions Period and only if</w:t>
      </w:r>
      <w:r>
        <w:rPr>
          <w:rFonts w:ascii="Arial" w:cs="Arial" w:eastAsia="Arial" w:hAnsi="Arial"/>
          <w:sz w:val="16"/>
          <w:szCs w:val="16"/>
          <w:color w:val="FF0000"/>
        </w:rPr>
        <w:t xml:space="preserve"> </w:t>
      </w:r>
      <w:r>
        <w:rPr>
          <w:rFonts w:ascii="Arial" w:cs="Arial" w:eastAsia="Arial" w:hAnsi="Arial"/>
          <w:sz w:val="16"/>
          <w:szCs w:val="16"/>
          <w:color w:val="000000"/>
        </w:rPr>
        <w:t>a Restricted Payment in such amount would be permitted at such time, whether pursuant to</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10.5(a)</w:t>
      </w:r>
      <w:r>
        <w:rPr>
          <w:rFonts w:ascii="Arial" w:cs="Arial" w:eastAsia="Arial" w:hAnsi="Arial"/>
          <w:sz w:val="16"/>
          <w:szCs w:val="16"/>
          <w:color w:val="FF0000"/>
        </w:rPr>
        <w:t xml:space="preserve"> </w:t>
      </w:r>
      <w:r>
        <w:rPr>
          <w:rFonts w:ascii="Arial" w:cs="Arial" w:eastAsia="Arial" w:hAnsi="Arial"/>
          <w:sz w:val="16"/>
          <w:szCs w:val="16"/>
          <w:color w:val="000000"/>
        </w:rPr>
        <w:t>or</w:t>
      </w:r>
      <w:r>
        <w:rPr>
          <w:rFonts w:ascii="Arial" w:cs="Arial" w:eastAsia="Arial" w:hAnsi="Arial"/>
          <w:sz w:val="16"/>
          <w:szCs w:val="16"/>
          <w:color w:val="FF0000"/>
        </w:rPr>
        <w:t xml:space="preserve"> </w:t>
      </w:r>
      <w:r>
        <w:rPr>
          <w:rFonts w:ascii="Arial" w:cs="Arial" w:eastAsia="Arial" w:hAnsi="Arial"/>
          <w:sz w:val="16"/>
          <w:szCs w:val="16"/>
          <w:color w:val="000000"/>
        </w:rPr>
        <w:t xml:space="preserve">under </w:t>
      </w:r>
      <w:r>
        <w:rPr>
          <w:rFonts w:ascii="Arial" w:cs="Arial" w:eastAsia="Arial" w:hAnsi="Arial"/>
          <w:sz w:val="16"/>
          <w:szCs w:val="16"/>
          <w:u w:val="single" w:color="auto"/>
          <w:color w:val="000000"/>
        </w:rPr>
        <w:t>clauses (7)</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(10)</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(11)</w:t>
      </w:r>
      <w:r>
        <w:rPr>
          <w:rFonts w:ascii="Arial" w:cs="Arial" w:eastAsia="Arial" w:hAnsi="Arial"/>
          <w:sz w:val="16"/>
          <w:szCs w:val="16"/>
          <w:color w:val="000000"/>
        </w:rPr>
        <w:t xml:space="preserve"> of </w:t>
      </w:r>
      <w:r>
        <w:rPr>
          <w:rFonts w:ascii="Arial" w:cs="Arial" w:eastAsia="Arial" w:hAnsi="Arial"/>
          <w:sz w:val="16"/>
          <w:szCs w:val="16"/>
          <w:u w:val="single" w:color="auto"/>
          <w:color w:val="000000"/>
        </w:rPr>
        <w:t>Section 10.5(b)</w:t>
      </w:r>
      <w:r>
        <w:rPr>
          <w:rFonts w:ascii="Arial" w:cs="Arial" w:eastAsia="Arial" w:hAnsi="Arial"/>
          <w:sz w:val="16"/>
          <w:szCs w:val="16"/>
          <w:color w:val="000000"/>
        </w:rPr>
        <w:t>, or pursuant to the definition of “Permitted Investments”, and if such Subsidiary otherwise meets the definition of an Unrestricted Subsidiary. Unrestricted Subsidiaries will not be subject to any of the restrictive covenants set forth in this Agreement.</w:t>
      </w:r>
    </w:p>
    <w:p>
      <w:pPr>
        <w:spacing w:after="0" w:line="16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For purposes of determining compliance with this covenant, in the event that a proposed Restricted Payment or Investment (or a portion thereof) meets the criteria of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above or is entitled to be made pursuant to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Holdings will be entitled to classify or later reclassify (based on circumstances existing on the date of such reclassification) such Restricted Payment (or portion thereof) among such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in a manner that otherwise complies with this covenant.</w:t>
      </w:r>
    </w:p>
    <w:p>
      <w:pPr>
        <w:spacing w:after="0" w:line="17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Limitation on Subsidiary Distributions</w:t>
      </w:r>
      <w:r>
        <w:rPr>
          <w:rFonts w:ascii="Arial" w:cs="Arial" w:eastAsia="Arial" w:hAnsi="Arial"/>
          <w:sz w:val="18"/>
          <w:szCs w:val="18"/>
          <w:color w:val="auto"/>
        </w:rPr>
        <w:t>. Holdings will not permit any of the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184" w:lineRule="exact"/>
        <w:rPr>
          <w:sz w:val="20"/>
          <w:szCs w:val="20"/>
          <w:color w:val="auto"/>
        </w:rPr>
      </w:pPr>
    </w:p>
    <w:p>
      <w:pPr>
        <w:ind w:left="660" w:firstLine="644"/>
        <w:spacing w:after="0" w:line="308" w:lineRule="auto"/>
        <w:tabs>
          <w:tab w:leader="none" w:pos="168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 pay dividends or make any other distributions to Holdings or any Restricted Subsidiary on its Capital Stock or with respect to any other interest or participation in, or measured by, its profits or (ii) pay any Indebtedness owed to Holdings or any Restricted Subsidiary;</w:t>
      </w:r>
    </w:p>
    <w:p>
      <w:pPr>
        <w:spacing w:after="0" w:line="146" w:lineRule="exact"/>
        <w:rPr>
          <w:rFonts w:ascii="Arial" w:cs="Arial" w:eastAsia="Arial" w:hAnsi="Arial"/>
          <w:sz w:val="17"/>
          <w:szCs w:val="17"/>
          <w:color w:val="auto"/>
        </w:rPr>
      </w:pPr>
    </w:p>
    <w:p>
      <w:pPr>
        <w:ind w:left="1700" w:hanging="396"/>
        <w:spacing w:after="0"/>
        <w:tabs>
          <w:tab w:leader="none" w:pos="1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make loans or advances to Holdings or any Restricted Subsidiary; or</w:t>
      </w:r>
    </w:p>
    <w:p>
      <w:pPr>
        <w:spacing w:after="0" w:line="225" w:lineRule="exact"/>
        <w:rPr>
          <w:rFonts w:ascii="Arial" w:cs="Arial" w:eastAsia="Arial" w:hAnsi="Arial"/>
          <w:sz w:val="18"/>
          <w:szCs w:val="18"/>
          <w:color w:val="auto"/>
        </w:rPr>
      </w:pPr>
    </w:p>
    <w:p>
      <w:pPr>
        <w:ind w:left="1680" w:hanging="376"/>
        <w:spacing w:after="0"/>
        <w:tabs>
          <w:tab w:leader="none" w:pos="1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Holdings or any Restricted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except (in each case) for such encumbrances or restrictions (x) which the Borrower has reasonably determined in good faith will not materially impair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Borrower’s ability to make payments under this Agreement when due or (y) existing under or by reason of:</w:t>
      </w:r>
    </w:p>
    <w:p>
      <w:pPr>
        <w:spacing w:after="0" w:line="211" w:lineRule="exact"/>
        <w:rPr>
          <w:sz w:val="20"/>
          <w:szCs w:val="20"/>
          <w:color w:val="auto"/>
        </w:rPr>
      </w:pPr>
    </w:p>
    <w:p>
      <w:pPr>
        <w:ind w:left="660" w:right="200" w:firstLine="903"/>
        <w:spacing w:after="0" w:line="277" w:lineRule="auto"/>
        <w:tabs>
          <w:tab w:leader="none" w:pos="191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Restatement Effective Date, including pursuant to this Agreement and the related documentation and related Hedging Obligations;</w:t>
      </w:r>
    </w:p>
    <w:p>
      <w:pPr>
        <w:spacing w:after="0" w:line="170" w:lineRule="exact"/>
        <w:rPr>
          <w:rFonts w:ascii="Arial" w:cs="Arial" w:eastAsia="Arial" w:hAnsi="Arial"/>
          <w:sz w:val="18"/>
          <w:szCs w:val="18"/>
          <w:color w:val="auto"/>
        </w:rPr>
      </w:pPr>
    </w:p>
    <w:p>
      <w:pPr>
        <w:ind w:left="660" w:right="640" w:firstLine="903"/>
        <w:spacing w:after="0" w:line="342" w:lineRule="auto"/>
        <w:tabs>
          <w:tab w:leader="none" w:pos="196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purchase money obligations for property acquired in the ordinary course of business or consistent with past practice and Capitalized Lease Obligations that impose restrictions of the nature discussed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on the property so acquired;</w:t>
      </w:r>
    </w:p>
    <w:p>
      <w:pPr>
        <w:spacing w:after="0" w:line="123" w:lineRule="exact"/>
        <w:rPr>
          <w:rFonts w:ascii="Arial" w:cs="Arial" w:eastAsia="Arial" w:hAnsi="Arial"/>
          <w:sz w:val="16"/>
          <w:szCs w:val="16"/>
          <w:color w:val="auto"/>
        </w:rPr>
      </w:pPr>
    </w:p>
    <w:p>
      <w:pPr>
        <w:ind w:left="2020" w:hanging="457"/>
        <w:spacing w:after="0"/>
        <w:tabs>
          <w:tab w:leader="none" w:pos="20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Requirement of Law or any applicable rule, regulation or order;</w:t>
      </w:r>
    </w:p>
    <w:p>
      <w:pPr>
        <w:spacing w:after="0" w:line="225" w:lineRule="exact"/>
        <w:rPr>
          <w:rFonts w:ascii="Arial" w:cs="Arial" w:eastAsia="Arial" w:hAnsi="Arial"/>
          <w:sz w:val="18"/>
          <w:szCs w:val="18"/>
          <w:color w:val="auto"/>
        </w:rPr>
      </w:pPr>
    </w:p>
    <w:p>
      <w:pPr>
        <w:ind w:left="660" w:right="220" w:firstLine="903"/>
        <w:spacing w:after="0" w:line="277" w:lineRule="auto"/>
        <w:tabs>
          <w:tab w:leader="none" w:pos="200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or merged or consolidated with or into Holdings or any Restricted Subsidiary, or of an Unrestricted Subsidiary that is designated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3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87" w:lineRule="exact"/>
        <w:rPr>
          <w:sz w:val="20"/>
          <w:szCs w:val="20"/>
          <w:color w:val="auto"/>
        </w:rPr>
      </w:pPr>
    </w:p>
    <w:p>
      <w:pPr>
        <w:ind w:right="400" w:firstLine="903"/>
        <w:spacing w:after="0" w:line="263" w:lineRule="auto"/>
        <w:tabs>
          <w:tab w:leader="none" w:pos="12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of Holdings pursuant to an agreement that has been entered into for the sale or disposition of all or substantially all of the Capital Stock or assets of such Subsidiary and restrictions on transfer of assets subject to Permitted Liens;</w:t>
      </w:r>
    </w:p>
    <w:p>
      <w:pPr>
        <w:spacing w:after="0" w:line="183" w:lineRule="exact"/>
        <w:rPr>
          <w:rFonts w:ascii="Arial" w:cs="Arial" w:eastAsia="Arial" w:hAnsi="Arial"/>
          <w:sz w:val="18"/>
          <w:szCs w:val="18"/>
          <w:color w:val="auto"/>
        </w:rPr>
      </w:pPr>
    </w:p>
    <w:p>
      <w:pPr>
        <w:ind w:right="20" w:firstLine="903"/>
        <w:spacing w:after="0" w:line="311" w:lineRule="auto"/>
        <w:tabs>
          <w:tab w:leader="none" w:pos="134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(x) secured Indebtedness otherwise permitted to be incurred pursuant to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148" w:lineRule="exact"/>
        <w:rPr>
          <w:rFonts w:ascii="Arial" w:cs="Arial" w:eastAsia="Arial" w:hAnsi="Arial"/>
          <w:sz w:val="16"/>
          <w:szCs w:val="16"/>
          <w:color w:val="auto"/>
        </w:rPr>
      </w:pPr>
    </w:p>
    <w:p>
      <w:pPr>
        <w:ind w:left="1400" w:hanging="497"/>
        <w:spacing w:after="0"/>
        <w:tabs>
          <w:tab w:leader="none" w:pos="14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firstLine="903"/>
        <w:spacing w:after="0" w:line="277" w:lineRule="auto"/>
        <w:tabs>
          <w:tab w:leader="none" w:pos="14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other Indebtedness, Disqualified Stock or preferred stock of Restricted Subsidiaries permitted to be incurred subsequent to the Restatement Effective Date pursuant to the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03"/>
        <w:spacing w:after="0" w:line="277" w:lineRule="auto"/>
        <w:tabs>
          <w:tab w:leader="none" w:pos="13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 and the Equity Interests issued thereby;</w:t>
      </w:r>
    </w:p>
    <w:p>
      <w:pPr>
        <w:spacing w:after="0" w:line="170" w:lineRule="exact"/>
        <w:rPr>
          <w:rFonts w:ascii="Arial" w:cs="Arial" w:eastAsia="Arial" w:hAnsi="Arial"/>
          <w:sz w:val="18"/>
          <w:szCs w:val="18"/>
          <w:color w:val="auto"/>
        </w:rPr>
      </w:pPr>
    </w:p>
    <w:p>
      <w:pPr>
        <w:ind w:right="120" w:firstLine="903"/>
        <w:spacing w:after="0" w:line="277" w:lineRule="auto"/>
        <w:tabs>
          <w:tab w:leader="none" w:pos="12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 each case, entered into in the ordinary course of business;</w:t>
      </w:r>
    </w:p>
    <w:p>
      <w:pPr>
        <w:spacing w:after="0" w:line="170" w:lineRule="exact"/>
        <w:rPr>
          <w:rFonts w:ascii="Arial" w:cs="Arial" w:eastAsia="Arial" w:hAnsi="Arial"/>
          <w:sz w:val="18"/>
          <w:szCs w:val="18"/>
          <w:color w:val="auto"/>
        </w:rPr>
      </w:pPr>
    </w:p>
    <w:p>
      <w:pPr>
        <w:ind w:firstLine="903"/>
        <w:spacing w:after="0" w:line="277" w:lineRule="auto"/>
        <w:tabs>
          <w:tab w:leader="none" w:pos="13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restrictions created in connection with any Receivables Facility that, in the good faith determination of the board of directors of Holdings, are necessary or advisable to effect such Receivables Facility; and</w:t>
      </w:r>
    </w:p>
    <w:p>
      <w:pPr>
        <w:spacing w:after="0" w:line="170" w:lineRule="exact"/>
        <w:rPr>
          <w:rFonts w:ascii="Arial" w:cs="Arial" w:eastAsia="Arial" w:hAnsi="Arial"/>
          <w:sz w:val="18"/>
          <w:szCs w:val="18"/>
          <w:color w:val="auto"/>
        </w:rPr>
      </w:pPr>
    </w:p>
    <w:p>
      <w:pPr>
        <w:ind w:right="120" w:firstLine="903"/>
        <w:spacing w:after="0" w:line="291" w:lineRule="auto"/>
        <w:tabs>
          <w:tab w:leader="none" w:pos="139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(x) are, in the good faith judgment of Holdings’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 Holdings will not permit:</w:t>
      </w:r>
    </w:p>
    <w:p>
      <w:pPr>
        <w:spacing w:after="0" w:line="225" w:lineRule="exact"/>
        <w:rPr>
          <w:sz w:val="20"/>
          <w:szCs w:val="20"/>
          <w:color w:val="auto"/>
        </w:rPr>
      </w:pPr>
    </w:p>
    <w:p>
      <w:pPr>
        <w:ind w:right="40" w:firstLine="903"/>
        <w:spacing w:after="0" w:line="257" w:lineRule="auto"/>
        <w:tabs>
          <w:tab w:leader="none" w:pos="125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Consolidated Total Debt to Consolidated EBITDA Ratio as of the last day of any fiscal quarter of Holdings to be negative or greater than (x) </w:t>
      </w:r>
      <w:r>
        <w:rPr>
          <w:rFonts w:ascii="Arial" w:cs="Arial" w:eastAsia="Arial" w:hAnsi="Arial"/>
          <w:sz w:val="18"/>
          <w:szCs w:val="18"/>
          <w:color w:val="FF0000"/>
          <w:strike w:val="1"/>
        </w:rPr>
        <w:t>unless the Additional Restrictions Period has terminated (in which case subclause (y) shall apply),</w:t>
      </w:r>
      <w:r>
        <w:rPr>
          <w:rFonts w:ascii="Arial" w:cs="Arial" w:eastAsia="Arial" w:hAnsi="Arial"/>
          <w:sz w:val="18"/>
          <w:szCs w:val="18"/>
          <w:color w:val="auto"/>
        </w:rPr>
        <w:t xml:space="preserve"> with respect to the last day of Holdings’ second and third fiscal quarters of 2021, 4.50:1.00 and (y) from and after the </w:t>
      </w:r>
      <w:r>
        <w:rPr>
          <w:rFonts w:ascii="Arial" w:cs="Arial" w:eastAsia="Arial" w:hAnsi="Arial"/>
          <w:sz w:val="18"/>
          <w:szCs w:val="18"/>
          <w:color w:val="FF0000"/>
          <w:strike w:val="1"/>
        </w:rPr>
        <w:t>earlier of the</w:t>
      </w:r>
      <w:r>
        <w:rPr>
          <w:rFonts w:ascii="Arial" w:cs="Arial" w:eastAsia="Arial" w:hAnsi="Arial"/>
          <w:sz w:val="18"/>
          <w:szCs w:val="18"/>
          <w:color w:val="auto"/>
        </w:rPr>
        <w:t xml:space="preserve"> last day of Holdings’ fourth fiscal quarter of 2021 </w:t>
      </w:r>
      <w:r>
        <w:rPr>
          <w:rFonts w:ascii="Arial" w:cs="Arial" w:eastAsia="Arial" w:hAnsi="Arial"/>
          <w:sz w:val="18"/>
          <w:szCs w:val="18"/>
          <w:color w:val="FF0000"/>
        </w:rPr>
        <w:t>and the termination of the Additional Restrictions Period, 4.00</w:t>
      </w:r>
      <w:r>
        <w:rPr>
          <w:rFonts w:ascii="Arial" w:cs="Arial" w:eastAsia="Arial" w:hAnsi="Arial"/>
          <w:sz w:val="18"/>
          <w:szCs w:val="18"/>
          <w:u w:val="single" w:color="auto"/>
          <w:color w:val="0000FF"/>
        </w:rPr>
        <w:t>, 4.25</w:t>
      </w:r>
      <w:r>
        <w:rPr>
          <w:rFonts w:ascii="Arial" w:cs="Arial" w:eastAsia="Arial" w:hAnsi="Arial"/>
          <w:sz w:val="18"/>
          <w:szCs w:val="18"/>
          <w:color w:val="auto"/>
        </w:rPr>
        <w:t xml:space="preserve">:1.00;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option of the Borrower (by notice to the Administrative Agent) </w:t>
      </w:r>
      <w:r>
        <w:rPr>
          <w:rFonts w:ascii="Arial" w:cs="Arial" w:eastAsia="Arial" w:hAnsi="Arial"/>
          <w:sz w:val="18"/>
          <w:szCs w:val="18"/>
          <w:color w:val="FF0000"/>
          <w:strike w:val="1"/>
        </w:rPr>
        <w:t>with respect to Holdings’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-213995</wp:posOffset>
            </wp:positionV>
            <wp:extent cx="28841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4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520"/>
          </w:cols>
          <w:pgMar w:left="980" w:top="1440" w:right="399" w:bottom="1440" w:gutter="0" w:footer="0" w:header="0"/>
        </w:sectPr>
      </w:pPr>
    </w:p>
    <w:bookmarkStart w:id="164" w:name="page165"/>
    <w:bookmarkEnd w:id="164"/>
    <w:p>
      <w:pPr>
        <w:spacing w:after="0" w:line="200" w:lineRule="exact"/>
        <w:rPr>
          <w:sz w:val="20"/>
          <w:szCs w:val="20"/>
          <w:color w:val="auto"/>
        </w:rPr>
      </w:pPr>
    </w:p>
    <w:p>
      <w:pPr>
        <w:spacing w:after="0" w:line="322" w:lineRule="exact"/>
        <w:rPr>
          <w:sz w:val="20"/>
          <w:szCs w:val="20"/>
          <w:color w:val="auto"/>
        </w:rPr>
      </w:pPr>
    </w:p>
    <w:p>
      <w:pPr>
        <w:ind w:left="660" w:right="180"/>
        <w:spacing w:after="0" w:line="291" w:lineRule="auto"/>
        <w:rPr>
          <w:sz w:val="20"/>
          <w:szCs w:val="20"/>
          <w:color w:val="auto"/>
        </w:rPr>
      </w:pPr>
      <w:r>
        <w:rPr>
          <w:rFonts w:ascii="Arial" w:cs="Arial" w:eastAsia="Arial" w:hAnsi="Arial"/>
          <w:sz w:val="16"/>
          <w:szCs w:val="16"/>
          <w:color w:val="FF0000"/>
          <w:strike w:val="1"/>
        </w:rPr>
        <w:t>fiscal quarter of 2021, in lieu of calculating such ratio based on Consolidated EBITDA for the Test Period ending on the last day of such quarter, the Borrower may elect to substitute either (I) Consolidated EBITDA for the two fiscal quarter period ending on such date multiplied by two or</w:t>
      </w:r>
    </w:p>
    <w:p>
      <w:pPr>
        <w:ind w:left="660" w:right="180" w:hanging="4"/>
        <w:spacing w:after="0" w:line="255" w:lineRule="auto"/>
        <w:tabs>
          <w:tab w:leader="none" w:pos="945" w:val="left"/>
        </w:tabs>
        <w:numPr>
          <w:ilvl w:val="0"/>
          <w:numId w:val="174"/>
        </w:numPr>
        <w:rPr>
          <w:rFonts w:ascii="Arial" w:cs="Arial" w:eastAsia="Arial" w:hAnsi="Arial"/>
          <w:sz w:val="18"/>
          <w:szCs w:val="18"/>
          <w:color w:val="FF0000"/>
          <w:strike w:val="1"/>
        </w:rPr>
      </w:pPr>
      <w:r>
        <w:rPr>
          <w:rFonts w:ascii="Arial" w:cs="Arial" w:eastAsia="Arial" w:hAnsi="Arial"/>
          <w:sz w:val="18"/>
          <w:szCs w:val="18"/>
          <w:color w:val="FF0000"/>
          <w:strike w:val="1"/>
        </w:rPr>
        <w:t>Consolidated EBITDA for the three fiscal quarter period ending on such date multiplied by four-thirds.</w:t>
      </w:r>
      <w:r>
        <w:rPr>
          <w:rFonts w:ascii="Arial" w:cs="Arial" w:eastAsia="Arial" w:hAnsi="Arial"/>
          <w:sz w:val="18"/>
          <w:szCs w:val="18"/>
          <w:u w:val="single" w:color="auto"/>
          <w:color w:val="0000FF"/>
          <w:strike w:val="1"/>
        </w:rPr>
        <w:t>the applicable ratio shall be increased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by 0.25:1.00 one time during the term of this Agreement upon completion of a Material Acquisition, which increase shall be effective for four fiscal quarters immediately following the consummation of such Material Acquisition .</w:t>
      </w:r>
    </w:p>
    <w:p>
      <w:pPr>
        <w:spacing w:after="0" w:line="189" w:lineRule="exact"/>
        <w:rPr>
          <w:rFonts w:ascii="Arial" w:cs="Arial" w:eastAsia="Arial" w:hAnsi="Arial"/>
          <w:sz w:val="18"/>
          <w:szCs w:val="18"/>
          <w:color w:val="FF0000"/>
          <w:strike w:val="1"/>
        </w:rPr>
      </w:pPr>
    </w:p>
    <w:p>
      <w:pPr>
        <w:ind w:left="660" w:right="380" w:firstLine="903"/>
        <w:spacing w:after="0" w:line="277" w:lineRule="auto"/>
        <w:tabs>
          <w:tab w:leader="none" w:pos="1967" w:val="left"/>
        </w:tabs>
        <w:numPr>
          <w:ilvl w:val="1"/>
          <w:numId w:val="17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the Consolidated Interest Coverage Ratio of Holdings </w:t>
      </w:r>
      <w:r>
        <w:rPr>
          <w:rFonts w:ascii="Arial" w:cs="Arial" w:eastAsia="Arial" w:hAnsi="Arial"/>
          <w:sz w:val="18"/>
          <w:szCs w:val="18"/>
          <w:u w:val="single" w:color="auto"/>
          <w:color w:val="008000"/>
        </w:rPr>
        <w:t>as of the last day of</w:t>
      </w:r>
      <w:r>
        <w:rPr>
          <w:rFonts w:ascii="Arial" w:cs="Arial" w:eastAsia="Arial" w:hAnsi="Arial"/>
          <w:sz w:val="18"/>
          <w:szCs w:val="18"/>
          <w:u w:val="single" w:color="auto"/>
          <w:color w:val="0000FF"/>
        </w:rPr>
        <w:t xml:space="preserve"> any fiscal quarter of Holdings, commencing with Holdings’ first fiscal quarter ending after the Amendment No. 2 Effective Date, to be less than 3.00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-508000</wp:posOffset>
            </wp:positionV>
            <wp:extent cx="20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320" cy="8890"/>
                    </a:xfrm>
                    <a:prstGeom prst="rect">
                      <a:avLst/>
                    </a:prstGeom>
                    <a:noFill/>
                  </pic:spPr>
                </pic:pic>
              </a:graphicData>
            </a:graphic>
          </wp:anchor>
        </w:drawing>
      </w:r>
    </w:p>
    <w:p>
      <w:pPr>
        <w:spacing w:after="0" w:line="150" w:lineRule="exact"/>
        <w:rPr>
          <w:sz w:val="20"/>
          <w:szCs w:val="20"/>
          <w:color w:val="auto"/>
        </w:rPr>
      </w:pPr>
    </w:p>
    <w:p>
      <w:pPr>
        <w:ind w:left="660" w:right="20" w:firstLine="903"/>
        <w:spacing w:after="0" w:line="273" w:lineRule="auto"/>
        <w:tabs>
          <w:tab w:leader="none" w:pos="1967" w:val="left"/>
        </w:tabs>
        <w:numPr>
          <w:ilvl w:val="0"/>
          <w:numId w:val="175"/>
        </w:numPr>
        <w:rPr>
          <w:rFonts w:ascii="Arial" w:cs="Arial" w:eastAsia="Arial" w:hAnsi="Arial"/>
          <w:sz w:val="17"/>
          <w:szCs w:val="17"/>
          <w:color w:val="FF0000"/>
          <w:strike w:val="1"/>
        </w:rPr>
      </w:pPr>
      <w:r>
        <w:rPr>
          <w:rFonts w:ascii="Arial" w:cs="Arial" w:eastAsia="Arial" w:hAnsi="Arial"/>
          <w:sz w:val="17"/>
          <w:szCs w:val="17"/>
          <w:color w:val="FF0000"/>
          <w:strike w:val="1"/>
        </w:rPr>
        <w:t xml:space="preserve">the Consolidated Interest Coverage Ratio of Holdings as of the last day of any fiscal quarter of Holdings, commencing with Holdings’ second fiscal quarter of 2021 (or, if earlier, the first fiscal quarter of Holdings ending after the Additional Restrictions Period), to be less than 3.00 to 1.00;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at the option of the Borrower (by notice to the Administrative Agent) with respect to Holdings’ second fiscal quarter of 2021, in lieu of calculating such ratio based on Consolidated EBITDA for the Test Period ending on the last day of such quarter, the Borrower may elect to substitute either (I) Consolidated EBITDA for the two fiscal quarter period ending on such date multiplied by two or (II) Consolidated EBITDA for the three fiscal quarter period ending on such date multiplied by four-thirds.</w:t>
      </w:r>
    </w:p>
    <w:p>
      <w:pPr>
        <w:spacing w:after="0" w:line="177" w:lineRule="exact"/>
        <w:rPr>
          <w:rFonts w:ascii="Arial" w:cs="Arial" w:eastAsia="Arial" w:hAnsi="Arial"/>
          <w:sz w:val="17"/>
          <w:szCs w:val="17"/>
          <w:color w:val="FF0000"/>
          <w:strike w:val="1"/>
        </w:rPr>
      </w:pPr>
    </w:p>
    <w:p>
      <w:pPr>
        <w:jc w:val="both"/>
        <w:ind w:left="660" w:right="200" w:firstLine="903"/>
        <w:spacing w:after="0" w:line="257" w:lineRule="auto"/>
        <w:tabs>
          <w:tab w:leader="none" w:pos="2017" w:val="left"/>
        </w:tabs>
        <w:numPr>
          <w:ilvl w:val="0"/>
          <w:numId w:val="175"/>
        </w:numPr>
        <w:rPr>
          <w:rFonts w:ascii="Arial" w:cs="Arial" w:eastAsia="Arial" w:hAnsi="Arial"/>
          <w:sz w:val="18"/>
          <w:szCs w:val="18"/>
          <w:color w:val="FF0000"/>
          <w:strike w:val="1"/>
        </w:rPr>
      </w:pPr>
      <w:r>
        <w:rPr>
          <w:rFonts w:ascii="Arial" w:cs="Arial" w:eastAsia="Arial" w:hAnsi="Arial"/>
          <w:sz w:val="18"/>
          <w:szCs w:val="18"/>
          <w:color w:val="FF0000"/>
          <w:strike w:val="1"/>
        </w:rPr>
        <w:t xml:space="preserve">Consolidated EBITDA for the six fiscal quarter period ending on the last day of any fiscal quarter of Holdings, following the Amendment No. 1 Effective Date and ending on or prior to the last day of the first fiscal quarter of 2021, to be less than $0;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at the option of the Borrower (by notice to the Administrative Agent) with respect to Holdings’ fourth fiscal quarter of 2020 and first fiscal quarter of 2021, the Borrower may elect to use Consolidated EBITDA for the six fiscal quarter period ending on the last day of such quarter but excluding Consolidated EBITDA for the second fiscal quarter of 2020.</w:t>
      </w:r>
    </w:p>
    <w:p>
      <w:pPr>
        <w:spacing w:after="0" w:line="187" w:lineRule="exact"/>
        <w:rPr>
          <w:rFonts w:ascii="Arial" w:cs="Arial" w:eastAsia="Arial" w:hAnsi="Arial"/>
          <w:sz w:val="18"/>
          <w:szCs w:val="18"/>
          <w:color w:val="FF0000"/>
          <w:strike w:val="1"/>
        </w:rPr>
      </w:pPr>
    </w:p>
    <w:p>
      <w:pPr>
        <w:ind w:left="660" w:right="60" w:firstLine="903"/>
        <w:spacing w:after="0" w:line="279" w:lineRule="auto"/>
        <w:tabs>
          <w:tab w:leader="none" w:pos="2007" w:val="left"/>
        </w:tabs>
        <w:numPr>
          <w:ilvl w:val="0"/>
          <w:numId w:val="175"/>
        </w:numPr>
        <w:rPr>
          <w:rFonts w:ascii="Arial" w:cs="Arial" w:eastAsia="Arial" w:hAnsi="Arial"/>
          <w:sz w:val="17"/>
          <w:szCs w:val="17"/>
          <w:color w:val="FF0000"/>
          <w:strike w:val="1"/>
        </w:rPr>
      </w:pPr>
      <w:r>
        <w:rPr>
          <w:rFonts w:ascii="Arial" w:cs="Arial" w:eastAsia="Arial" w:hAnsi="Arial"/>
          <w:sz w:val="17"/>
          <w:szCs w:val="17"/>
          <w:color w:val="FF0000"/>
          <w:strike w:val="1"/>
        </w:rPr>
        <w:t>the amount of unrestricted cash and Cash Equivalents of Holdings and its Restricted Subsidiaries plus the unused portion of the Revolving Credit Commitments to be less than the lesser of (x) $100,000,000 and (y) the sum of (I) $40,000,000 plus (II) if positive, the amount by which the aggregate Net Cash Proceeds resulting from all Capital Markets Prepayment Events consummated following the Amendment No. 1 Effective Date exceeds $75,000,000, in each case, at any time prior to the end of the Additional Restrictions Period.</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Events of Default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any of the following specified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Payments</w:t>
      </w:r>
      <w:r>
        <w:rPr>
          <w:rFonts w:ascii="Arial" w:cs="Arial" w:eastAsia="Arial" w:hAnsi="Arial"/>
          <w:sz w:val="18"/>
          <w:szCs w:val="18"/>
          <w:color w:val="auto"/>
        </w:rPr>
        <w:t>.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Representations, Etc.</w:t>
      </w:r>
      <w:r>
        <w:rPr>
          <w:rFonts w:ascii="Arial" w:cs="Arial" w:eastAsia="Arial" w:hAnsi="Arial"/>
          <w:sz w:val="18"/>
          <w:szCs w:val="18"/>
          <w:color w:val="auto"/>
        </w:rPr>
        <w:t xml:space="preserve">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p>
    <w:p>
      <w:pPr>
        <w:spacing w:after="0" w:line="32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Any Credit Party shall:</w:t>
      </w:r>
    </w:p>
    <w:p>
      <w:pPr>
        <w:spacing w:after="0" w:line="225" w:lineRule="exact"/>
        <w:rPr>
          <w:sz w:val="20"/>
          <w:szCs w:val="20"/>
          <w:color w:val="auto"/>
        </w:rPr>
      </w:pPr>
    </w:p>
    <w:p>
      <w:pPr>
        <w:jc w:val="both"/>
        <w:ind w:right="20" w:firstLine="656"/>
        <w:spacing w:after="0" w:line="281" w:lineRule="auto"/>
        <w:tabs>
          <w:tab w:leader="none" w:pos="102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default in the due performance or observance by it of any term, covenant or agreement contained in </w:t>
      </w:r>
      <w:r>
        <w:rPr>
          <w:rFonts w:ascii="Arial" w:cs="Arial" w:eastAsia="Arial" w:hAnsi="Arial"/>
          <w:sz w:val="16"/>
          <w:szCs w:val="16"/>
          <w:u w:val="single" w:color="auto"/>
          <w:color w:val="auto"/>
        </w:rPr>
        <w:t>Section 9.1(e)(i)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(solely with respect to Holdings or the Borrower),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Event of Default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is subject to cure as provided in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and an Event of Default with respect to either such Sections shall not occur until the expiration of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subsequent to the date the relevant financial statements are required to be delivered for the applicable fiscal quarter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or</w:t>
      </w:r>
    </w:p>
    <w:p>
      <w:pPr>
        <w:spacing w:after="0" w:line="164" w:lineRule="exact"/>
        <w:rPr>
          <w:rFonts w:ascii="Arial" w:cs="Arial" w:eastAsia="Arial" w:hAnsi="Arial"/>
          <w:sz w:val="16"/>
          <w:szCs w:val="16"/>
          <w:color w:val="auto"/>
        </w:rPr>
      </w:pPr>
    </w:p>
    <w:p>
      <w:pPr>
        <w:jc w:val="both"/>
        <w:ind w:firstLine="656"/>
        <w:spacing w:after="0" w:line="286" w:lineRule="auto"/>
        <w:tabs>
          <w:tab w:leader="none" w:pos="103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default in the due performance or observance by it of any term, covenant or agreement (other than those referred to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contained in this Agreement or any Security Document and such default shall continue unremedied for a period of at least 30 days after receipt of written notice by Holdings from the Administrative Agent or the Required Lenders; or</w:t>
      </w:r>
    </w:p>
    <w:p>
      <w:pPr>
        <w:spacing w:after="0" w:line="165"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Default Under Other Agreements</w:t>
      </w:r>
      <w:r>
        <w:rPr>
          <w:rFonts w:ascii="Arial" w:cs="Arial" w:eastAsia="Arial" w:hAnsi="Arial"/>
          <w:sz w:val="16"/>
          <w:szCs w:val="16"/>
          <w:color w:val="auto"/>
        </w:rPr>
        <w:t xml:space="preserve">. (a) Holdings or any of the Restricted Subsidiaries shall (i) default in any payment with respect to any Indebtedness (other than the Obligations) in excess of $30,000,000 in the aggregate, for Holdings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apply to any failure to make any payment in excess of $30,000,000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Arial" w:cs="Arial" w:eastAsia="Arial" w:hAnsi="Arial"/>
          <w:sz w:val="16"/>
          <w:szCs w:val="16"/>
          <w:u w:val="single" w:color="auto"/>
          <w:color w:val="auto"/>
        </w:rPr>
        <w:t>clause</w:t>
      </w:r>
    </w:p>
    <w:p>
      <w:pPr>
        <w:spacing w:after="0" w:line="2" w:lineRule="exact"/>
        <w:rPr>
          <w:sz w:val="20"/>
          <w:szCs w:val="20"/>
          <w:color w:val="auto"/>
        </w:rPr>
      </w:pPr>
    </w:p>
    <w:p>
      <w:pPr>
        <w:ind w:right="20" w:firstLine="8"/>
        <w:spacing w:after="0" w:line="268" w:lineRule="auto"/>
        <w:tabs>
          <w:tab w:leader="none" w:pos="245" w:val="left"/>
        </w:tabs>
        <w:numPr>
          <w:ilvl w:val="0"/>
          <w:numId w:val="177"/>
        </w:numPr>
        <w:rPr>
          <w:rFonts w:ascii="Arial" w:cs="Arial" w:eastAsia="Arial" w:hAnsi="Arial"/>
          <w:sz w:val="17"/>
          <w:szCs w:val="17"/>
          <w:u w:val="single" w:color="auto"/>
          <w:color w:val="auto"/>
        </w:rPr>
      </w:pPr>
      <w:r>
        <w:rPr>
          <w:rFonts w:ascii="Arial" w:cs="Arial" w:eastAsia="Arial" w:hAnsi="Arial"/>
          <w:sz w:val="17"/>
          <w:szCs w:val="17"/>
          <w:color w:val="auto"/>
        </w:rPr>
        <w:t xml:space="preserve">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above shall apply to any failure to make any payment in excess of $30,000,000 that is required as a result of any such termination or equivalent event and that is not otherwise being contested in good faith)), prior to the stated maturity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Holdings or the applicable Restricted Subsidiary or (II) waived (including in the form of amendment) by the required holders of the applicable item of Indebtedness, in either case, prior to the acceleration of Loans pursuant to this Section 11; or</w:t>
      </w:r>
    </w:p>
    <w:p>
      <w:pPr>
        <w:spacing w:after="0" w:line="17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Bankruptcy, Etc.</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Holdings, the Borrower or any Significant Subsidiary shall commence a voluntary case, proceeding or action concerning itself under Title 11 of the United States Code entitled “Bankruptcy” as now or hereafter in effect, or any successor thereto (collectively, the “</w:t>
      </w:r>
      <w:r>
        <w:rPr>
          <w:rFonts w:ascii="Arial" w:cs="Arial" w:eastAsia="Arial" w:hAnsi="Arial"/>
          <w:sz w:val="16"/>
          <w:szCs w:val="16"/>
          <w:b w:val="1"/>
          <w:bCs w:val="1"/>
          <w:color w:val="auto"/>
        </w:rPr>
        <w:t>Bankruptcy Code</w:t>
      </w:r>
      <w:r>
        <w:rPr>
          <w:rFonts w:ascii="Arial" w:cs="Arial" w:eastAsia="Arial" w:hAnsi="Arial"/>
          <w:sz w:val="16"/>
          <w:szCs w:val="16"/>
          <w:color w:val="auto"/>
        </w:rPr>
        <w:t>”); or an involuntary case, proceeding or action is commenced against Holdings, the Borrower or any Significant Subsidiary and the petition is not controverted within 30 days after commencement of the case, proceeding or action; or an involuntary case, proceeding or action is commenced against Holdings, the Borrower or any Significant Subsidiary and the petition is not dismissed within 60 days after commencement of the case, proceeding or action; or a custodian (as defined in the Bankruptcy Code), judicial manager, compulsory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00" w:lineRule="exact"/>
        <w:rPr>
          <w:sz w:val="20"/>
          <w:szCs w:val="20"/>
          <w:color w:val="auto"/>
        </w:rPr>
      </w:pPr>
    </w:p>
    <w:p>
      <w:pPr>
        <w:spacing w:after="0" w:line="3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receiver, receiver manager, trustee, liquidator, administrator, administrative receiver or similar Person is appointed for, or takes charge of, all or substantially all of the property of Holdings, the Borrower or any Significant Subsidiary; or Holdings,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the Borrower or any Significant Subsidiary; or there is commenced against Holdings, the Borrower or any Significant Subsidiary any such proceeding or action that remains undismissed for a period of 60 days; or Holdings, the Borrower or any Significant Subsidiary is adjudicated bankrupt; or any order of relief or other order approving any such case or proceeding or action is entered; or Holdings, the Borrower or any Significant Subsidiary suffers any appointment of any custodian receiver, receiver manager, trustee, administrator or the like for it or any substantial part of its property to continue undischarged or unstayed for a period of 60 days; or Holdings, the Borrower or any Significant Subsidiary makes a general assignment for the benefit of creditors; or</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such event or condition, together with all other such events or conditions, if any, would reasonably be expected to result in a Material Adverse Effect; or</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Guarantee</w:t>
      </w:r>
      <w:r>
        <w:rPr>
          <w:rFonts w:ascii="Arial" w:cs="Arial" w:eastAsia="Arial" w:hAnsi="Arial"/>
          <w:sz w:val="18"/>
          <w:szCs w:val="18"/>
          <w:color w:val="auto"/>
        </w:rPr>
        <w:t>.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Pledge Agreement</w:t>
      </w:r>
      <w:r>
        <w:rPr>
          <w:rFonts w:ascii="Arial" w:cs="Arial" w:eastAsia="Arial" w:hAnsi="Arial"/>
          <w:sz w:val="18"/>
          <w:szCs w:val="18"/>
          <w:color w:val="auto"/>
        </w:rPr>
        <w:t>.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as a result of acts or omissions of the Collateral Agent or any Lender or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Security Agreement</w:t>
      </w:r>
      <w:r>
        <w:rPr>
          <w:rFonts w:ascii="Arial" w:cs="Arial" w:eastAsia="Arial" w:hAnsi="Arial"/>
          <w:sz w:val="16"/>
          <w:szCs w:val="16"/>
          <w:color w:val="auto"/>
        </w:rPr>
        <w:t>. The Security Agreement or any other Security Document pursuant to which the assets of Holdings, the Borrower or any Material Subsidiary are pledged as Collateral or any material provision thereof shall cease to be in full force or effect (other than pursuant to the terms hereof or thereof,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w:t>
      </w:r>
    </w:p>
    <w:p>
      <w:pPr>
        <w:spacing w:after="0" w:line="16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Judgments</w:t>
      </w:r>
      <w:r>
        <w:rPr>
          <w:rFonts w:ascii="Arial" w:cs="Arial" w:eastAsia="Arial" w:hAnsi="Arial"/>
          <w:sz w:val="17"/>
          <w:szCs w:val="17"/>
          <w:color w:val="auto"/>
        </w:rPr>
        <w:t>. One or more judgments or decrees shall be entered against Holdings or any of the Restricted Subsidiaries involving a liability in excess of $30,000,000 in the aggregate for all such judgments and decrees for Holdings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7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shall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00" w:lineRule="exact"/>
        <w:rPr>
          <w:sz w:val="20"/>
          <w:szCs w:val="20"/>
          <w:color w:val="auto"/>
        </w:rPr>
      </w:pPr>
    </w:p>
    <w:p>
      <w:pPr>
        <w:spacing w:after="0" w:line="32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If an Event of Default occurs and is continuing, the Administrative Agent shall, upon the written request of the Required Lenders, by written notice to Holdings, take any or all of the following actions, without prejudice to the rights of the Administrative Agent or any Lender to enforce its claims against Holdings and the Borrower, except as otherwise specifically provided for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occur with respect to the Borrower or Holdings, the result that would occur upon the giving of written notice by the Administrative Agent as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below shall occur automatically without the giving of any such notice):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with respect to the Borrower, it will pay) to the Administrative Agent at the Administrative Agent’s Office such additional amounts of cash, to be held as security for the Borrower’s respective reimbursement obligations for Drawings that may subsequently occur thereunder, equal to the aggregate Stated Amount of all Letters of Credit issued and then outstanding. In the case of an Event of Default under </w:t>
      </w:r>
      <w:r>
        <w:rPr>
          <w:rFonts w:ascii="Arial" w:cs="Arial" w:eastAsia="Arial" w:hAnsi="Arial"/>
          <w:sz w:val="16"/>
          <w:szCs w:val="16"/>
          <w:u w:val="single" w:color="auto"/>
          <w:color w:val="auto"/>
        </w:rPr>
        <w:t>Section</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u w:val="single" w:color="auto"/>
          <w:color w:val="auto"/>
        </w:rPr>
        <w:t>11.3(a)</w:t>
      </w:r>
      <w:r>
        <w:rPr>
          <w:rFonts w:ascii="Arial" w:cs="Arial" w:eastAsia="Arial" w:hAnsi="Arial"/>
          <w:sz w:val="16"/>
          <w:szCs w:val="16"/>
          <w:color w:val="auto"/>
        </w:rPr>
        <w:t xml:space="preserve"> in respect of a failure to observe or perform the covenant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the actions described above will be permitted to occur only following the expiration of the ability to effectuate the Cure Right if such Cure Right has not been so exercised; and the Borrower shall not be permitted to borrow Revolving Credit Loans and Letters of Credit shall not be issued or renewed unless and until the Cure Right is made on or prior to the expiration of the 10th Business Day following the date financial statements referred to in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are required to be delivered in respect of such fiscal period.</w:t>
      </w:r>
    </w:p>
    <w:p>
      <w:pPr>
        <w:spacing w:after="0" w:line="16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Subject to the terms of the First Lien Intercreditor Agreement and the Second Lien Intercreditor Agreement, in each case, if executed,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be applied:</w:t>
      </w:r>
    </w:p>
    <w:p>
      <w:pPr>
        <w:spacing w:after="0" w:line="187" w:lineRule="exact"/>
        <w:rPr>
          <w:sz w:val="20"/>
          <w:szCs w:val="20"/>
          <w:color w:val="auto"/>
        </w:rPr>
      </w:pPr>
    </w:p>
    <w:p>
      <w:pPr>
        <w:ind w:left="660" w:firstLine="903"/>
        <w:spacing w:after="0" w:line="255" w:lineRule="auto"/>
        <w:tabs>
          <w:tab w:leader="none" w:pos="1917"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and documented costs and expenses incurred by the Administrative Agent or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any Credit Party and any other reasonable and documented costs or expenses incurred in connection with the exercise of any right or remedy hereunder or under any other Credit Document to the extent reimbursable hereunder or thereunder;</w:t>
      </w:r>
    </w:p>
    <w:p>
      <w:pPr>
        <w:spacing w:after="0" w:line="192" w:lineRule="exact"/>
        <w:rPr>
          <w:rFonts w:ascii="Arial" w:cs="Arial" w:eastAsia="Arial" w:hAnsi="Arial"/>
          <w:sz w:val="18"/>
          <w:szCs w:val="18"/>
          <w:color w:val="auto"/>
        </w:rPr>
      </w:pPr>
    </w:p>
    <w:p>
      <w:pPr>
        <w:ind w:left="660" w:right="280" w:firstLine="903"/>
        <w:spacing w:after="0" w:line="301" w:lineRule="auto"/>
        <w:tabs>
          <w:tab w:leader="none" w:pos="1967"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the Secured Parties, an amount (x) equal to all Obligations owing to them on the date of any distribution and (y)</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to Cash Collateralize all Letters of Credit Outstanding on the date of any distribution, and, if such moneys shall be insufficient to pay such amounts in full and Cash Collateralize all Letters of Credit Outstanding, then ratably (without priority of any one over any other) to such Secured Parties in proportion to the unpaid amounts thereof and to Cash Collateralize the Letters of Credit Outstanding; and</w:t>
      </w:r>
    </w:p>
    <w:p>
      <w:pPr>
        <w:spacing w:after="0" w:line="157" w:lineRule="exact"/>
        <w:rPr>
          <w:rFonts w:ascii="Arial" w:cs="Arial" w:eastAsia="Arial" w:hAnsi="Arial"/>
          <w:sz w:val="16"/>
          <w:szCs w:val="16"/>
          <w:color w:val="auto"/>
        </w:rPr>
      </w:pPr>
    </w:p>
    <w:p>
      <w:pPr>
        <w:ind w:left="660" w:right="140" w:firstLine="903"/>
        <w:spacing w:after="0" w:line="277" w:lineRule="auto"/>
        <w:tabs>
          <w:tab w:leader="none" w:pos="2017"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surplus then remaining shall be paid to the applicable Credit Parties or their successors or assigns or to whomsoever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lawfully entitled to receive the same or as a court of competent jurisdiction may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32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amount applied to Cash Collateralize any Letters of Credit Outstanding that has not been applied to reimburse the Borrower for Unpaid Drawings under the applicable Letters of Credit at the time of expiration of all such Letters of Credit shall be applied by the Administrative Agent in the order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Notwithstanding the foregoing, amounts received from any Guarantor that is not an “Eligible Contract Participant” (as defined in the Commodity Exchange Act) shall not be applied to its Obligations that are Excluded Swap Obligations.</w:t>
      </w:r>
    </w:p>
    <w:p>
      <w:pPr>
        <w:spacing w:after="0" w:line="157" w:lineRule="exact"/>
        <w:rPr>
          <w:sz w:val="20"/>
          <w:szCs w:val="20"/>
          <w:color w:val="auto"/>
        </w:rPr>
      </w:pPr>
    </w:p>
    <w:p>
      <w:pPr>
        <w:ind w:right="40" w:firstLine="648"/>
        <w:spacing w:after="0" w:line="260"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u w:val="single" w:color="auto"/>
          <w:color w:val="auto"/>
        </w:rPr>
        <w:t>Equity Cure</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the event that Holdings fails to comply with the requirement of the financial covenant set forth in </w:t>
      </w:r>
      <w:r>
        <w:rPr>
          <w:rFonts w:ascii="Arial" w:cs="Arial" w:eastAsia="Arial" w:hAnsi="Arial"/>
          <w:sz w:val="17"/>
          <w:szCs w:val="17"/>
          <w:u w:val="single" w:color="auto"/>
          <w:color w:val="auto"/>
        </w:rPr>
        <w:t>Section 10.7</w:t>
      </w:r>
      <w:r>
        <w:rPr>
          <w:rFonts w:ascii="Arial" w:cs="Arial" w:eastAsia="Arial" w:hAnsi="Arial"/>
          <w:sz w:val="17"/>
          <w:szCs w:val="17"/>
          <w:color w:val="auto"/>
        </w:rPr>
        <w:t>, from the end of any fiscal period until the expiration of the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following the date financial statements referred to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are required to be delivered in respect of such fiscal period for which such financial covenant is being measured, any holder of Capital Stock or Stock Equivalents of Holdings or any direct or indirect parent of Holdings shall have the right to cure such failure (the “</w:t>
      </w:r>
      <w:r>
        <w:rPr>
          <w:rFonts w:ascii="Arial" w:cs="Arial" w:eastAsia="Arial" w:hAnsi="Arial"/>
          <w:sz w:val="17"/>
          <w:szCs w:val="17"/>
          <w:b w:val="1"/>
          <w:bCs w:val="1"/>
          <w:color w:val="auto"/>
        </w:rPr>
        <w:t>Cure Right</w:t>
      </w:r>
      <w:r>
        <w:rPr>
          <w:rFonts w:ascii="Arial" w:cs="Arial" w:eastAsia="Arial" w:hAnsi="Arial"/>
          <w:sz w:val="17"/>
          <w:szCs w:val="17"/>
          <w:color w:val="auto"/>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the Borrower, and upon receipt by the Borrower of such cash contribution (such cash amount being referred to as the “</w:t>
      </w:r>
      <w:r>
        <w:rPr>
          <w:rFonts w:ascii="Arial" w:cs="Arial" w:eastAsia="Arial" w:hAnsi="Arial"/>
          <w:sz w:val="17"/>
          <w:szCs w:val="17"/>
          <w:b w:val="1"/>
          <w:bCs w:val="1"/>
          <w:color w:val="auto"/>
        </w:rPr>
        <w:t>Cure Amount</w:t>
      </w:r>
      <w:r>
        <w:rPr>
          <w:rFonts w:ascii="Arial" w:cs="Arial" w:eastAsia="Arial" w:hAnsi="Arial"/>
          <w:sz w:val="17"/>
          <w:szCs w:val="17"/>
          <w:color w:val="auto"/>
        </w:rPr>
        <w:t>”) pursuant to the exercise of such Cure Right, such applicable financial covenant shall be recalculated giving effect to the following pro forma adjustments:</w:t>
      </w:r>
    </w:p>
    <w:p>
      <w:pPr>
        <w:spacing w:after="0" w:line="192" w:lineRule="exact"/>
        <w:rPr>
          <w:sz w:val="20"/>
          <w:szCs w:val="20"/>
          <w:color w:val="auto"/>
        </w:rPr>
      </w:pPr>
    </w:p>
    <w:p>
      <w:pPr>
        <w:ind w:left="660" w:right="80" w:firstLine="644"/>
        <w:spacing w:after="0" w:line="259" w:lineRule="auto"/>
        <w:tabs>
          <w:tab w:leader="none" w:pos="168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Consolidated EBITDA shall be increased, solely for the purpose of determining the existence of an Event of Default resulting from a breach of the financial covenants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applicable, with respect to any period of four consecutive fiscal quarters that includes the fiscal quarter for which the Cure Right was exercised and not for any other purpose under this Agreement, by an amount equal to the Cure Amount;</w:t>
      </w:r>
    </w:p>
    <w:p>
      <w:pPr>
        <w:spacing w:after="0" w:line="186" w:lineRule="exact"/>
        <w:rPr>
          <w:rFonts w:ascii="Arial" w:cs="Arial" w:eastAsia="Arial" w:hAnsi="Arial"/>
          <w:sz w:val="18"/>
          <w:szCs w:val="18"/>
          <w:color w:val="auto"/>
        </w:rPr>
      </w:pPr>
    </w:p>
    <w:p>
      <w:pPr>
        <w:ind w:left="660" w:right="140" w:firstLine="644"/>
        <w:spacing w:after="0" w:line="277" w:lineRule="auto"/>
        <w:tabs>
          <w:tab w:leader="none" w:pos="169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Consolidated Total Debt shall be decreased solely to the extent proceeds of the Cure Amount are actually applied to prepay any of the Credit Facilities; and</w:t>
      </w:r>
    </w:p>
    <w:p>
      <w:pPr>
        <w:spacing w:after="0" w:line="170" w:lineRule="exact"/>
        <w:rPr>
          <w:rFonts w:ascii="Arial" w:cs="Arial" w:eastAsia="Arial" w:hAnsi="Arial"/>
          <w:sz w:val="18"/>
          <w:szCs w:val="18"/>
          <w:color w:val="auto"/>
        </w:rPr>
      </w:pPr>
    </w:p>
    <w:p>
      <w:pPr>
        <w:ind w:left="660" w:firstLine="644"/>
        <w:spacing w:after="0" w:line="290" w:lineRule="auto"/>
        <w:tabs>
          <w:tab w:leader="none" w:pos="168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if, after giving effect to the foregoing recalculations, Holdings shall then be in compliance with the requirements of the financial covenants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Holdings shall be deemed to have satisfied the requirements of such applicable financial covenant as of the relevant date of determination with the same effect as though there had been no failure to comply therewith at such date, and the applicable breach or default of such financial covenants that had occurred shall be deemed cured for the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each period of four consecutive fiscal quarters there shall be at least two fiscal quarters in which no Cure Right is made, (ii) there shall be a maximum of five Cure Rights made during the term of this Agreement, (iii) each Cure Amount shall be no greater than the amount required to cause the Borrower to be in compliance with the applicable financial covenant; and (iv) all Cure Amounts shall be disregarded for the purposes of any financial ratio determination under the Credit Documents other than for determining compliance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as applicable.</w:t>
      </w:r>
    </w:p>
    <w:p>
      <w:pPr>
        <w:spacing w:after="0" w:line="16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The Agents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Appointment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3" w:lineRule="auto"/>
        <w:tabs>
          <w:tab w:leader="none" w:pos="102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12.1(c)</w:t>
      </w:r>
      <w:r>
        <w:rPr>
          <w:rFonts w:ascii="Arial" w:cs="Arial" w:eastAsia="Arial" w:hAnsi="Arial"/>
          <w:sz w:val="16"/>
          <w:szCs w:val="16"/>
          <w:color w:val="auto"/>
        </w:rPr>
        <w:t xml:space="preserve"> with respect to the Syndication Agents, the Documentation Agents, the Joint Lead Arrangers and Bookrunners and </w:t>
      </w:r>
      <w:r>
        <w:rPr>
          <w:rFonts w:ascii="Arial" w:cs="Arial" w:eastAsia="Arial" w:hAnsi="Arial"/>
          <w:sz w:val="16"/>
          <w:szCs w:val="16"/>
          <w:u w:val="single" w:color="auto"/>
          <w:color w:val="auto"/>
        </w:rPr>
        <w:t>Sections 12.1</w:t>
      </w:r>
      <w:r>
        <w:rPr>
          <w:rFonts w:ascii="Arial" w:cs="Arial" w:eastAsia="Arial" w:hAnsi="Arial"/>
          <w:sz w:val="16"/>
          <w:szCs w:val="16"/>
          <w:color w:val="auto"/>
        </w:rPr>
        <w:t xml:space="preserve">, </w:t>
      </w:r>
      <w:r>
        <w:rPr>
          <w:rFonts w:ascii="Arial" w:cs="Arial" w:eastAsia="Arial" w:hAnsi="Arial"/>
          <w:sz w:val="16"/>
          <w:szCs w:val="16"/>
          <w:u w:val="single" w:color="auto"/>
          <w:color w:val="auto"/>
        </w:rPr>
        <w:t>12.9</w:t>
      </w:r>
      <w:r>
        <w:rPr>
          <w:rFonts w:ascii="Arial" w:cs="Arial" w:eastAsia="Arial" w:hAnsi="Arial"/>
          <w:sz w:val="16"/>
          <w:szCs w:val="16"/>
          <w:color w:val="auto"/>
        </w:rPr>
        <w:t xml:space="preserve">, </w:t>
      </w:r>
      <w:r>
        <w:rPr>
          <w:rFonts w:ascii="Arial" w:cs="Arial" w:eastAsia="Arial" w:hAnsi="Arial"/>
          <w:sz w:val="16"/>
          <w:szCs w:val="16"/>
          <w:u w:val="single" w:color="auto"/>
          <w:color w:val="auto"/>
        </w:rPr>
        <w:t>12.11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12.12</w:t>
      </w:r>
      <w:r>
        <w:rPr>
          <w:rFonts w:ascii="Arial" w:cs="Arial" w:eastAsia="Arial" w:hAnsi="Arial"/>
          <w:sz w:val="16"/>
          <w:szCs w:val="16"/>
          <w:color w:val="auto"/>
        </w:rPr>
        <w:t xml:space="preserve"> with respect to Holdings) are solely for the benefit of the Agents and the Lenders, none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320" w:top="1440" w:right="379" w:bottom="1440" w:gutter="0" w:footer="0" w:header="0"/>
        </w:sectPr>
      </w:pPr>
    </w:p>
    <w:bookmarkStart w:id="169" w:name="page170"/>
    <w:bookmarkEnd w:id="169"/>
    <w:p>
      <w:pPr>
        <w:spacing w:after="0" w:line="200" w:lineRule="exact"/>
        <w:rPr>
          <w:sz w:val="20"/>
          <w:szCs w:val="20"/>
          <w:color w:val="auto"/>
        </w:rPr>
      </w:pPr>
    </w:p>
    <w:p>
      <w:pPr>
        <w:spacing w:after="0" w:line="3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Borrower 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192" w:lineRule="exact"/>
        <w:rPr>
          <w:sz w:val="20"/>
          <w:szCs w:val="20"/>
          <w:color w:val="auto"/>
        </w:rPr>
      </w:pPr>
    </w:p>
    <w:p>
      <w:pPr>
        <w:ind w:right="100" w:firstLine="656"/>
        <w:spacing w:after="0" w:line="253" w:lineRule="auto"/>
        <w:tabs>
          <w:tab w:leader="none" w:pos="103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or the Letter of Credit Issuers, and no implied covenants, functions, responsibilities, duties, obligations or liabilities shall be read into this Agreement or any other Credit Document or otherwise exist against the Collateral Agent.</w:t>
      </w:r>
    </w:p>
    <w:p>
      <w:pPr>
        <w:spacing w:after="0" w:line="196" w:lineRule="exact"/>
        <w:rPr>
          <w:rFonts w:ascii="Arial" w:cs="Arial" w:eastAsia="Arial" w:hAnsi="Arial"/>
          <w:sz w:val="18"/>
          <w:szCs w:val="18"/>
          <w:color w:val="auto"/>
        </w:rPr>
      </w:pPr>
    </w:p>
    <w:p>
      <w:pPr>
        <w:ind w:right="20" w:firstLine="656"/>
        <w:spacing w:after="0" w:line="277" w:lineRule="auto"/>
        <w:tabs>
          <w:tab w:leader="none" w:pos="102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Each of the Syndication Agent, Documentation Agent, Joint Lead Arrangers and Bookrunners each in its capacity as such, shall not have any obligations, duties or responsibilities under this Agreement but shall be entitled to all benefits of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No Agent nor any of its officers, directors, employees, agents, attorneys-in-fact or Affiliates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the value or sufficiency of the Collateral,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200" w:lineRule="exact"/>
        <w:rPr>
          <w:sz w:val="20"/>
          <w:szCs w:val="20"/>
          <w:color w:val="auto"/>
        </w:rPr>
      </w:pPr>
    </w:p>
    <w:p>
      <w:pPr>
        <w:spacing w:after="0" w:line="32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(b) except as expressly set forth in the Credit Documents, no Agent shall have any duty to disclose, nor shall it be liable for the failure to disclose, any information relating to Holdings, the Borrower or any of the other Subsidiaries that is communicated to or obtained by the bank serving as Administrative Agent and/or Collateral Agent or any of its Affiliates in any capacity. The Administrative Agent shall not be responsible or have any liability for, or have any duty to ascertain, inquire into, monitor or enforce, compliance with the provisions of this Agreement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8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Reliance by Agents</w:t>
      </w:r>
      <w:r>
        <w:rPr>
          <w:rFonts w:ascii="Arial" w:cs="Arial" w:eastAsia="Arial" w:hAnsi="Arial"/>
          <w:sz w:val="16"/>
          <w:szCs w:val="16"/>
          <w:color w:val="auto"/>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Holdings and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In determining compliance with any condition hereunder to the making of a Loan, or the issuance, extension, renewal or increase of a Letter of Credit, that by its terms must be fulfilled to the satisfaction of a Lender or a Letter of Credit Issuer, the Administrative Agent may presume that such condition is satisfactory to such Lender or such Letter of Credit Issuer unless the Administrative Agent shall have received notice to the contrary from such Lender or such Letter of Credit Issuer prior to the making of such Loan or the issuance of such Letter of Credit.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the Collateral Agent shall not be required to take any action that, in its opinion or in the opinion of its counsel, may expose it to liability or that is contrary to any Credit Document or applicable law.</w:t>
      </w:r>
    </w:p>
    <w:p>
      <w:pPr>
        <w:spacing w:after="0" w:line="17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Holdings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16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Non-Reliance on Administrative Agent, Collateral Agent, and Other Lenders</w:t>
      </w:r>
      <w:r>
        <w:rPr>
          <w:rFonts w:ascii="Arial" w:cs="Arial" w:eastAsia="Arial" w:hAnsi="Arial"/>
          <w:sz w:val="18"/>
          <w:szCs w:val="18"/>
          <w:color w:val="auto"/>
        </w:rPr>
        <w:t>. Each Lender expressly acknowledges that neither the Administrative Agent nor the Collateral Agent nor any of their respective officers, directors, employees, agents, attorneys-in-fact or Affiliates has made any representations or warranties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3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or any Letter of Credit Issuer. Each Lender,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spacing w:after="0" w:line="17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provided, further,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Holdings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reimbursement by the Lenders shall not affect Holdings’ or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1440" w:right="379" w:bottom="1440" w:gutter="0" w:footer="0" w:header="0"/>
        </w:sectPr>
      </w:pPr>
    </w:p>
    <w:bookmarkStart w:id="172" w:name="page173"/>
    <w:bookmarkEnd w:id="172"/>
    <w:p>
      <w:pPr>
        <w:spacing w:after="0" w:line="200" w:lineRule="exact"/>
        <w:rPr>
          <w:sz w:val="20"/>
          <w:szCs w:val="20"/>
          <w:color w:val="auto"/>
        </w:rPr>
      </w:pPr>
    </w:p>
    <w:p>
      <w:pPr>
        <w:spacing w:after="0" w:line="32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pro rata portion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shall survive the payment of the Loans and all other amounts payable hereunder. The indemnity provided to each Agent under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shall also apply to such Agent’s respective Affiliates, directors, officers, members, controlling persons, employees, trustees, investment advisors and agents and successors.</w:t>
      </w:r>
    </w:p>
    <w:p>
      <w:pPr>
        <w:spacing w:after="0" w:line="16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Agents in Their Individual Capacities</w:t>
      </w:r>
      <w:r>
        <w:rPr>
          <w:rFonts w:ascii="Arial" w:cs="Arial" w:eastAsia="Arial" w:hAnsi="Arial"/>
          <w:sz w:val="18"/>
          <w:szCs w:val="18"/>
          <w:color w:val="auto"/>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9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225" w:lineRule="exact"/>
        <w:rPr>
          <w:sz w:val="20"/>
          <w:szCs w:val="20"/>
          <w:color w:val="auto"/>
        </w:rPr>
      </w:pPr>
    </w:p>
    <w:p>
      <w:pPr>
        <w:ind w:right="60" w:firstLine="656"/>
        <w:spacing w:after="0" w:line="269" w:lineRule="auto"/>
        <w:tabs>
          <w:tab w:leader="none" w:pos="102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and the Collateral Agent may at any time give notice of its resignation to the Lenders, the Letter of Credit Issuer and Holdings. Upon receipt of any such notice of resignation, the Required Lenders shall have the right, subject to the consent of the Borrower (not to be unreasonably withheld or delayed) so long as no Event of Default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is continuing, to appoint a successor, which shall be a bank or trust company with an office in the United States, or an Affiliate of any such bank or trust company with an office in the United States (other than any Disqualified Lender). If no such successor shall have been so appointed by the Required Lenders and shall have accepted such appointment within 30 days after the retiring Agent gives notice of its resignation (the “</w:t>
      </w:r>
      <w:r>
        <w:rPr>
          <w:rFonts w:ascii="Arial" w:cs="Arial" w:eastAsia="Arial" w:hAnsi="Arial"/>
          <w:sz w:val="17"/>
          <w:szCs w:val="17"/>
          <w:b w:val="1"/>
          <w:bCs w:val="1"/>
          <w:color w:val="auto"/>
        </w:rPr>
        <w:t>Resignation Effective Date</w:t>
      </w:r>
      <w:r>
        <w:rPr>
          <w:rFonts w:ascii="Arial" w:cs="Arial" w:eastAsia="Arial" w:hAnsi="Arial"/>
          <w:sz w:val="17"/>
          <w:szCs w:val="17"/>
          <w:color w:val="auto"/>
        </w:rPr>
        <w:t xml:space="preserve">”), then the retiring Agent may on behalf of the Lenders, appoint a successor Agent meeting the qualifications set forth above (including receipt of the Borrower’s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such successor Administrative Agent be a Defaulting Lender or Disqualified Lender, and further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spacing w:after="0" w:line="185" w:lineRule="exact"/>
        <w:rPr>
          <w:rFonts w:ascii="Arial" w:cs="Arial" w:eastAsia="Arial" w:hAnsi="Arial"/>
          <w:sz w:val="17"/>
          <w:szCs w:val="17"/>
          <w:color w:val="auto"/>
        </w:rPr>
      </w:pPr>
    </w:p>
    <w:p>
      <w:pPr>
        <w:ind w:right="220" w:firstLine="656"/>
        <w:spacing w:after="0" w:line="255" w:lineRule="auto"/>
        <w:tabs>
          <w:tab w:leader="none" w:pos="103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If the Person serving as the Administrative Agent is a Defaulting Lender pursuant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b w:val="1"/>
          <w:bCs w:val="1"/>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92" w:lineRule="exact"/>
        <w:rPr>
          <w:rFonts w:ascii="Arial" w:cs="Arial" w:eastAsia="Arial" w:hAnsi="Arial"/>
          <w:sz w:val="18"/>
          <w:szCs w:val="18"/>
          <w:color w:val="auto"/>
        </w:rPr>
      </w:pPr>
    </w:p>
    <w:p>
      <w:pPr>
        <w:ind w:firstLine="656"/>
        <w:spacing w:after="0" w:line="289" w:lineRule="auto"/>
        <w:tabs>
          <w:tab w:leader="none" w:pos="102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(and otherwise subject to the terms above).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00" w:lineRule="exact"/>
        <w:rPr>
          <w:sz w:val="20"/>
          <w:szCs w:val="20"/>
          <w:color w:val="auto"/>
        </w:rPr>
      </w:pPr>
    </w:p>
    <w:p>
      <w:pPr>
        <w:spacing w:after="0" w:line="32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Except as provided above, any resignation or removal of Bank of America, N.A. as the Administrative Agent pursuant to this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shall also constitute the resignation or removal of Bank of America, N.A. as the Collateral Agent. The fees payable by Holdings or the Borrower (following the effectiveness of such appointment) to such Agent shall be the same as those payable to its predecessor unless otherwise agreed between Holdings or Borrower and such successor. After the retiring or removed Agent’s resignation or removal hereunder and under the other Credit Documents, 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spacing w:after="0" w:line="194" w:lineRule="exact"/>
        <w:rPr>
          <w:sz w:val="20"/>
          <w:szCs w:val="20"/>
          <w:color w:val="auto"/>
        </w:rPr>
      </w:pPr>
    </w:p>
    <w:p>
      <w:pPr>
        <w:ind w:right="40" w:firstLine="656"/>
        <w:spacing w:after="0" w:line="269" w:lineRule="auto"/>
        <w:tabs>
          <w:tab w:leader="none" w:pos="102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Any resignation by or removal of Bank of America, N.A. as the Administrative Agent pursuant to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shall also constitute its resignation or removal as Swingline Lender and its Affiliate’s or its resignation or removal, as applicable, as a Letter of Credit Issuer (if such Affiliate or Bank of America, N.A. is a Letter of Credit Issuer). Upon the acceptance of a successor’s appointment as the Administrative Agent hereunder, (a) such successor shall succeed to and become vested with all of the rights, powers, privileges and duties of the retiring Letter of Credit Issuer and Swingline Lender, (b) the retiring Letter of Credit Issuer (if an Affiliate of Bank of America, N.A. is a Letter of Credit Issuer or if Bank of America, N.A. is a Letter of Credit Issuer) and Swingline Lender shall be discharged from all of their respective duties and obligations hereunder or under the other Credit Documents, and (c) the successor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(if an Affiliate of Bank of America, N.A. or Bank of America, N.A. is a Letter of Credit Issuer) to effectively assume the obligations of the retiring Letter of Credit Issuer (if an Affiliate or Bank of America, N.A. or Bank of America, N.A. is a Letter of Credit Issuer) with respect to such Letters of Credit.</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To the extent required by any applicable law, the Administrative Agent may withhold from any payment to any Lender under any Credit Document an amount equivalent to any applicable withholding Tax. If the Internal Revenue Service or any Governmental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whether or not such claim is correctly or legally asserted,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The agreements in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Arial" w:cs="Arial" w:eastAsia="Arial" w:hAnsi="Arial"/>
          <w:sz w:val="17"/>
          <w:szCs w:val="17"/>
          <w:u w:val="single" w:color="auto"/>
          <w:color w:val="auto"/>
        </w:rPr>
        <w:t>Section 12.10</w:t>
      </w:r>
      <w:r>
        <w:rPr>
          <w:rFonts w:ascii="Arial" w:cs="Arial" w:eastAsia="Arial" w:hAnsi="Arial"/>
          <w:sz w:val="17"/>
          <w:szCs w:val="17"/>
          <w:color w:val="auto"/>
        </w:rPr>
        <w:t>, the term Lender includes the Letter of Credit Issuer and the Swingline Lender.</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Agents Under Security Documents and Guarantee</w:t>
      </w:r>
      <w:r>
        <w:rPr>
          <w:rFonts w:ascii="Arial" w:cs="Arial" w:eastAsia="Arial" w:hAnsi="Arial"/>
          <w:sz w:val="18"/>
          <w:szCs w:val="18"/>
          <w:color w:val="auto"/>
        </w:rPr>
        <w:t>. Each Secured Party hereby further authorizes the Administrative Agent or the Collateral Agent, as applicable, on behalf of and for the benefit of the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32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Parties, to be the agent for and representative of the Secured Parties with respect to the Collateral and the Security Documents. Subject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Credit Party, upon the release of such Credit Party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(b) release any Guarantor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(solely with respect to </w:t>
      </w:r>
      <w:r>
        <w:rPr>
          <w:rFonts w:ascii="Arial" w:cs="Arial" w:eastAsia="Arial" w:hAnsi="Arial"/>
          <w:sz w:val="16"/>
          <w:szCs w:val="16"/>
          <w:u w:val="single" w:color="auto"/>
          <w:color w:val="auto"/>
        </w:rPr>
        <w:t>Section 10.1(d))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the definition of “Permitted Lien”; or</w:t>
      </w:r>
    </w:p>
    <w:p>
      <w:pPr>
        <w:spacing w:after="0" w:line="2" w:lineRule="exact"/>
        <w:rPr>
          <w:sz w:val="20"/>
          <w:szCs w:val="20"/>
          <w:color w:val="auto"/>
        </w:rPr>
      </w:pPr>
    </w:p>
    <w:p>
      <w:pPr>
        <w:jc w:val="both"/>
        <w:ind w:firstLine="8"/>
        <w:spacing w:after="0" w:line="255" w:lineRule="auto"/>
        <w:tabs>
          <w:tab w:leader="none" w:pos="27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enter into subordination or intercreditor agreements with respect to Indebtedness to the extent the Administrative Agent or the Collateral Agent is otherwise contemplated herein as being a party to such intercreditor or subordination agreement, including any First Lien Interceditor Agreement and the Second Lien Intercreditor Agreement.</w:t>
      </w:r>
    </w:p>
    <w:p>
      <w:pPr>
        <w:spacing w:after="0" w:line="19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The Collateral Agent shall have its own independent right to demand payment of the amounts payable by the Borrower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184"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 xml:space="preserve">Any amount due and payable by the Borrower to the Collateral Agent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w:t>
      </w:r>
    </w:p>
    <w:p>
      <w:pPr>
        <w:spacing w:after="0" w:line="17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Right to Realize on Collateral and Enforce Guarantee</w:t>
      </w:r>
      <w:r>
        <w:rPr>
          <w:rFonts w:ascii="Arial" w:cs="Arial" w:eastAsia="Arial" w:hAnsi="Arial"/>
          <w:sz w:val="16"/>
          <w:szCs w:val="16"/>
          <w:color w:val="auto"/>
        </w:rPr>
        <w:t>. Anything contained in any of the Credit Documents to the contrary notwithstanding, Holdings,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32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5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Intercreditor Agreements Govern</w:t>
      </w:r>
      <w:r>
        <w:rPr>
          <w:rFonts w:ascii="Arial" w:cs="Arial" w:eastAsia="Arial" w:hAnsi="Arial"/>
          <w:sz w:val="16"/>
          <w:szCs w:val="16"/>
          <w:color w:val="auto"/>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(including any First Lien Intercreditor Agreement and the Second Lien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 In the event of any conflict or inconsistency between the provisions of each such intercreditor agreement (including any First Lien Intercreditor Agreement and the Second Lien Intercreditor Agreement) and this Agreement, the provisions of such intercreditor agreement shall control.</w:t>
      </w:r>
    </w:p>
    <w:p>
      <w:pPr>
        <w:spacing w:after="0" w:line="16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311" w:lineRule="auto"/>
        <w:tabs>
          <w:tab w:leader="none" w:pos="102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48" w:lineRule="exact"/>
        <w:rPr>
          <w:rFonts w:ascii="Arial" w:cs="Arial" w:eastAsia="Arial" w:hAnsi="Arial"/>
          <w:sz w:val="16"/>
          <w:szCs w:val="16"/>
          <w:color w:val="auto"/>
        </w:rPr>
      </w:pPr>
    </w:p>
    <w:p>
      <w:pPr>
        <w:ind w:left="660" w:firstLine="903"/>
        <w:spacing w:after="0" w:line="263" w:lineRule="auto"/>
        <w:tabs>
          <w:tab w:leader="none" w:pos="191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ind w:left="660" w:right="140" w:firstLine="903"/>
        <w:spacing w:after="0" w:line="273" w:lineRule="auto"/>
        <w:tabs>
          <w:tab w:leader="none" w:pos="1967"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ind w:left="660" w:right="20" w:firstLine="903"/>
        <w:spacing w:after="0" w:line="254" w:lineRule="auto"/>
        <w:tabs>
          <w:tab w:leader="none" w:pos="201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8"/>
          <w:szCs w:val="18"/>
          <w:color w:val="auto"/>
        </w:rPr>
      </w:pPr>
    </w:p>
    <w:p>
      <w:pPr>
        <w:ind w:left="660" w:right="480" w:firstLine="903"/>
        <w:spacing w:after="0" w:line="277" w:lineRule="auto"/>
        <w:tabs>
          <w:tab w:leader="none" w:pos="200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such other representation, warranty or covenant as may be agreed in writing between the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0" w:lineRule="exact"/>
        <w:rPr>
          <w:sz w:val="20"/>
          <w:szCs w:val="20"/>
          <w:color w:val="auto"/>
        </w:rPr>
      </w:pPr>
    </w:p>
    <w:p>
      <w:pPr>
        <w:spacing w:after="0" w:line="322" w:lineRule="exact"/>
        <w:rPr>
          <w:sz w:val="20"/>
          <w:szCs w:val="20"/>
          <w:color w:val="auto"/>
        </w:rPr>
      </w:pPr>
    </w:p>
    <w:p>
      <w:pPr>
        <w:ind w:right="80" w:firstLine="656"/>
        <w:spacing w:after="0" w:line="271" w:lineRule="auto"/>
        <w:tabs>
          <w:tab w:leader="none" w:pos="103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or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u w:val="single" w:color="auto"/>
          <w:color w:val="0000FF"/>
        </w:rPr>
        <w:t>12.15 Recovery of Erroneous Payments. Without limitation of any other provision in this Agreement, if at any time the Administrative Agent makes a payment hereunder in error to any Lender or any Letter of Credit Issuer (the “</w:t>
      </w:r>
      <w:r>
        <w:rPr>
          <w:rFonts w:ascii="Arial" w:cs="Arial" w:eastAsia="Arial" w:hAnsi="Arial"/>
          <w:sz w:val="16"/>
          <w:szCs w:val="16"/>
          <w:b w:val="1"/>
          <w:bCs w:val="1"/>
          <w:u w:val="single" w:color="auto"/>
          <w:color w:val="0000FF"/>
        </w:rPr>
        <w:t>Creditor Party</w:t>
      </w:r>
      <w:r>
        <w:rPr>
          <w:rFonts w:ascii="Arial" w:cs="Arial" w:eastAsia="Arial" w:hAnsi="Arial"/>
          <w:sz w:val="16"/>
          <w:szCs w:val="16"/>
          <w:u w:val="single" w:color="auto"/>
          <w:color w:val="0000FF"/>
        </w:rPr>
        <w:t>”), whether or not in respect of an Obligation due and owing by the Borrower at such time, where such payment is a Rescindable Amount, then in any such event, each Creditor Party receiving a Rescindable Amount severally agrees to repay to the Administrative Agent forthwith on demand the Rescindable Amount received by such Creditor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Creditor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Creditor Party promptly upon determining that any payment made to such Creditor Party comprised, in whole or in part, a Rescindable Amount.</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color w:val="auto"/>
        </w:rPr>
        <w:t>Miscellaneous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Amendments, Waivers, and Releases</w:t>
      </w:r>
      <w:r>
        <w:rPr>
          <w:rFonts w:ascii="Arial" w:cs="Arial" w:eastAsia="Arial" w:hAnsi="Arial"/>
          <w:sz w:val="16"/>
          <w:szCs w:val="16"/>
          <w:color w:val="auto"/>
        </w:rPr>
        <w:t xml:space="preserve">. Except as otherwise expressly set forth in this Agreement or, with respect to the other Credit Documents, this Agreement and the other Credit Documents, neither this Agreement nor any other Credit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Except as provided to the contrary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below in respect of Replacement Term Loans, and other than with respect to any amendment, modification or waiver contemplated in the proviso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which shall only require the consent of the Lenders expressly set forth therein and not the Required Lenders, the Required Lenders may (with prior or contemporaneous notice to the Administrative Agent of the effectiveness thereof),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such waiver and each such amendment, supplement or modification shall be effective only in the specific instance and for the specific purpose for which given;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or forgive any portion thereof, or extend the date for the payment, of any interest or fee payable hereunder (other than as a result of waiving the applicability of any post-default increase in interest rates), or extend the final expiration date of any Letter of Credit beyond the L/C Facility Maturity Date, or amend or modify any provisions of </w:t>
      </w:r>
      <w:r>
        <w:rPr>
          <w:rFonts w:ascii="Arial" w:cs="Arial" w:eastAsia="Arial" w:hAnsi="Arial"/>
          <w:sz w:val="16"/>
          <w:szCs w:val="16"/>
          <w:u w:val="single" w:color="auto"/>
          <w:color w:val="auto"/>
        </w:rPr>
        <w:t>Sections 5.3(a)</w:t>
      </w:r>
      <w:r>
        <w:rPr>
          <w:rFonts w:ascii="Arial" w:cs="Arial" w:eastAsia="Arial" w:hAnsi="Arial"/>
          <w:sz w:val="16"/>
          <w:szCs w:val="16"/>
          <w:color w:val="auto"/>
        </w:rPr>
        <w:t xml:space="preserve"> (with respect to the ratable allocation of any payments only), </w:t>
      </w:r>
      <w:r>
        <w:rPr>
          <w:rFonts w:ascii="Arial" w:cs="Arial" w:eastAsia="Arial" w:hAnsi="Arial"/>
          <w:sz w:val="16"/>
          <w:szCs w:val="16"/>
          <w:u w:val="single" w:color="auto"/>
          <w:color w:val="auto"/>
        </w:rPr>
        <w:t>11.13 13.8(a)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13.20</w:t>
      </w:r>
      <w:r>
        <w:rPr>
          <w:rFonts w:ascii="Arial" w:cs="Arial" w:eastAsia="Arial" w:hAnsi="Arial"/>
          <w:sz w:val="16"/>
          <w:szCs w:val="16"/>
          <w:color w:val="auto"/>
        </w:rPr>
        <w:t>, or make any Loan, interest, Fee or other amount payable in any currency other than expressly provided herein,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p>
    <w:p>
      <w:pPr>
        <w:spacing w:after="0" w:line="32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case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waiver of any condition precedent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clause (i), or (ii) consent to the assignment or transfer by Holdings or the Borrower of its rights and obligations under any Credit Document to which it is a party (except as permitted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 each case without the written consent of each Lender directly and adversely affected thereby, or (iii) directly and adversely affect the rights or duties of the Administrative Agent or Collateral Agent, in its capacity as such, under this Agreement or any other Credit Document without the written consent of the Administrative Agent or Collateral Agent, as applicable, or (iv) directly and adversely affect the rights or duties of any Letter of Credit Issuer, in its capacity as such, under this Agreement or any other Credit Document without the consent of such Letter of Credit Issuer, or (v) amend, modify or waive any provisions hereof relating to Swingline Loans without the written consent of the Swingline Lender in a manner that directly and adversely affects such Person, or (vi) change any Revolving Credit Commitment to a Term Loan Commitment, or change any Term Loan Commitment to a Revolving Credit Commitment, in each case without the prior written consent of each Lender directly and adversely affected thereby, or (vii) release all or substantially all of the Guarantors under the Guarantees (except as expressly permitted by the Guarantees, the First Lien Intercreditor Agreement (if any), the Second Lien Intercreditor Agreement or this Agreement) or release all or substantially all of the Collateral under the Security Documents (except as expressly permitted by the Security Documents, the First Lien Intercreditor Agreement (if any), the Second Lien Intercreditor Agreement or this Agreement) without the prior written consent of each Lender, or (viii) decrease the Term A Loan Repayment Amount applicable to Term A Loans or extend any scheduled Term A Loan Repayment Date applicable to Term A Loans, in each case without the written consent of each Lender directly and adversely affected thereby, or (ix) reduce the percentages specified in the definitions of the terms Required Lenders, Required Revolving Credit Lenders or Required Term A Loan Lenders or amend, modify or waive any provision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13.1</w:t>
      </w:r>
      <w:r>
        <w:rPr>
          <w:rFonts w:ascii="Arial" w:cs="Arial" w:eastAsia="Arial" w:hAnsi="Arial"/>
          <w:sz w:val="16"/>
          <w:szCs w:val="16"/>
          <w:color w:val="auto"/>
        </w:rPr>
        <w:t xml:space="preserve"> that has the effect of decreasing the number of Lenders that must approve any amendment, modification or waiver, without the written consent of each Lender, (y) notwithstanding anything to the contrary in clause (x),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Term Loans bearing (or is modified in such a manner such that the resulting Term Loans bear) a lower effective yield, only the consent of the Lenders holding Term Loans subject to such permitted repricing transaction that will continue as a Lender in respect of the repriced tranche of Term Loans or modified Term Loans.</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Notwithstanding anything in this Agreement or any other Credit Document to the contrary, this Agreement may be amended, supplemented or otherwise modified to effect the provisions of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in accordance with the terms of such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with only the consent of the Persons set forth in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hereof.</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and adversely from the other Lender of the same Class (other than because of its status as a Defaulting Lender).</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affected Lenders and shall be binding upon Holdings, the Borrower, such Lenders, the Administrative Agent and all future holders of the affected Loans. In the case of any waiver, Holdings,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have no obligations to, with the concurrence of any Lender, execute amendments, modifications, waivers or consents on behalf of such Lender.</w:t>
      </w:r>
    </w:p>
    <w:p>
      <w:pPr>
        <w:spacing w:after="0" w:line="23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Notwithstanding the foregoing, in addition to any credit extensions and related Joinder Agreement(s) effectuated without the consent of Lenders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this Agreement may be amended (or amended and restated) with the written consent of the Required Lenders, the Administrative Agent, Holdings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Revolving Credit Loans and the accrued interest and fees in respect thereof and (b) to include appropriately the Lenders holding such credit facilities in any determination of the Required Lenders and other definitions related to such new Term Loans and Revolving Credit Loans.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notwithstanding the foregoing, this Agreement may be amended with the written consent of the Administrative Agent, Holdings,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Borrower and the Lenders providing the relevant Replacement Term Loans to permit the refinancing of all outstanding Term Loans of any Class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Refinanced Term Loans</w:t>
      </w:r>
      <w:r>
        <w:rPr>
          <w:rFonts w:ascii="Arial" w:cs="Arial" w:eastAsia="Arial" w:hAnsi="Arial"/>
          <w:sz w:val="16"/>
          <w:szCs w:val="16"/>
          <w:color w:val="auto"/>
        </w:rPr>
        <w:t>”) with a replacement term loan tranche (“</w:t>
      </w:r>
      <w:r>
        <w:rPr>
          <w:rFonts w:ascii="Arial" w:cs="Arial" w:eastAsia="Arial" w:hAnsi="Arial"/>
          <w:sz w:val="16"/>
          <w:szCs w:val="16"/>
          <w:b w:val="1"/>
          <w:bCs w:val="1"/>
          <w:color w:val="auto"/>
        </w:rPr>
        <w:t>Replacement Term Loans</w:t>
      </w:r>
      <w:r>
        <w:rPr>
          <w:rFonts w:ascii="Arial" w:cs="Arial" w:eastAsia="Arial" w:hAnsi="Arial"/>
          <w:sz w:val="16"/>
          <w:szCs w:val="16"/>
          <w:color w:val="auto"/>
        </w:rPr>
        <w:t xml:space="preserv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such Replacement Term Loans shall not exceed the aggregate principal amount of such Refinanced Term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an amount equal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but unpaid interest, fees, premiums, and expenses incurred in connection therewith), (b) the Applicable Margin for such Replacement Term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not be higher than the Applicable Margin for such Refinanced Term Loans, unless any such Applicable Margin applies after the Term A Loan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Maturity Date, with respect to Replacement Term Loans that are Term A Loans, (c) the weighted average life to maturity of such Replacement Term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not be shorter than the weighted average life to maturity of such Refinanced Term Loans at the time of such refinancing (except to the extent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amortization for periods where amortization has been eliminated as a result of prepayment of the applicable Term Loans), and (d) the covenants,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of default and guarantees shall be not materially more restrictive (taken as a whole) (as determined in good faith by the Borrower) to the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providing such Replacement Term Loans than the covenants, events of default and guarantees applicable to such Refinanced Term Loans, except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necessary to provide for covenants, events of default and guarantees applicable to any period after the maturity date in respect of the Refinanced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Loans in effect immediately prior to such refinancing.</w:t>
      </w:r>
    </w:p>
    <w:p>
      <w:pPr>
        <w:spacing w:after="0" w:line="21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The Lenders hereby irrevocably agree that the Liens granted to the Collateral Agent by the Credit Parties on any Collateral shall be automatically released (i) in full, upon the termination of this Agreement and the payment of all Obligations hereunder (except for (w) contingent indemnification obligations in respect of which a claim has not yet been made, (x) Secured Hedge Obligations, (y) cash collateralized Letters of Credit pursuant to arrangements reasonably acceptable to the applicable Letter of Credit Issuer, and (z) Secured Cash Management Obligations),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Arial" w:cs="Arial" w:eastAsia="Arial" w:hAnsi="Arial"/>
          <w:sz w:val="16"/>
          <w:szCs w:val="16"/>
          <w:u w:val="single" w:color="auto"/>
          <w:color w:val="auto"/>
        </w:rPr>
        <w:t>Section 13.1</w:t>
      </w:r>
      <w:r>
        <w:rPr>
          <w:rFonts w:ascii="Arial" w:cs="Arial" w:eastAsia="Arial" w:hAnsi="Arial"/>
          <w:sz w:val="16"/>
          <w:szCs w:val="16"/>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or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200" w:lineRule="exact"/>
        <w:rPr>
          <w:sz w:val="20"/>
          <w:szCs w:val="20"/>
          <w:color w:val="auto"/>
        </w:rPr>
      </w:pPr>
    </w:p>
    <w:p>
      <w:pPr>
        <w:spacing w:after="0" w:line="32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prohibited hereunder resulting in such Subsidiary ceasing to constitute a Restricted Subsidiary.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14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Notwithstanding anything in this Agreement (including, without limitation,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or any other Credit Document to the contrary, (i) this Agreement and the other Credit Documents may be amended to effect an incremental facility or extension facility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First Lien Intercreditor Agreement (if any), any intercreditor agreement or arrangement permitted under this Agreement that is for the purpose of adding the holders of any Indebtedness as expressly contemplated by the terms of the First Lien Intercreditor Agreement (if any)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changes are not adverse, in any material respect,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38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17"/>
          <w:szCs w:val="17"/>
          <w:u w:val="single" w:color="auto"/>
          <w:color w:val="auto"/>
        </w:rPr>
        <w:t>Sections 9.12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9.14</w:t>
      </w:r>
      <w:r>
        <w:rPr>
          <w:rFonts w:ascii="Arial" w:cs="Arial" w:eastAsia="Arial" w:hAnsi="Arial"/>
          <w:sz w:val="17"/>
          <w:szCs w:val="17"/>
          <w:color w:val="auto"/>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Holdings and the Restricted Subsidiaries by the time or times at which it would otherwise be required to be satisfied under this Agreement or any Security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32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87" w:lineRule="exact"/>
        <w:rPr>
          <w:sz w:val="20"/>
          <w:szCs w:val="20"/>
          <w:color w:val="auto"/>
        </w:rPr>
      </w:pPr>
    </w:p>
    <w:p>
      <w:pPr>
        <w:ind w:left="660" w:right="60" w:firstLine="644"/>
        <w:spacing w:after="0" w:line="311" w:lineRule="auto"/>
        <w:tabs>
          <w:tab w:leader="none" w:pos="168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if to Holdings, the Borrower, the Administrative Agent, the Collateral Agent, the Letter of Credit Issuer or the Swingline Lender, to the address, facsimile number, electronic mail address or telephone number specified for such Person on </w:t>
      </w:r>
      <w:r>
        <w:rPr>
          <w:rFonts w:ascii="Arial" w:cs="Arial" w:eastAsia="Arial" w:hAnsi="Arial"/>
          <w:sz w:val="16"/>
          <w:szCs w:val="16"/>
          <w:u w:val="single" w:color="auto"/>
          <w:color w:val="auto"/>
        </w:rPr>
        <w:t>Schedule 13.2</w:t>
      </w:r>
      <w:r>
        <w:rPr>
          <w:rFonts w:ascii="Arial" w:cs="Arial" w:eastAsia="Arial" w:hAnsi="Arial"/>
          <w:sz w:val="16"/>
          <w:szCs w:val="16"/>
          <w:color w:val="auto"/>
        </w:rPr>
        <w:t xml:space="preserve"> or to such other address, facsimile number, electronic mail address or telephone number as shall be designated by such party in a notice to the other parties; and</w:t>
      </w:r>
    </w:p>
    <w:p>
      <w:pPr>
        <w:spacing w:after="0" w:line="148" w:lineRule="exact"/>
        <w:rPr>
          <w:rFonts w:ascii="Arial" w:cs="Arial" w:eastAsia="Arial" w:hAnsi="Arial"/>
          <w:sz w:val="16"/>
          <w:szCs w:val="16"/>
          <w:color w:val="auto"/>
        </w:rPr>
      </w:pPr>
    </w:p>
    <w:p>
      <w:pPr>
        <w:ind w:left="660" w:right="20" w:firstLine="644"/>
        <w:spacing w:after="0" w:line="311" w:lineRule="auto"/>
        <w:tabs>
          <w:tab w:leader="none" w:pos="169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and the Swingline Lender.</w:t>
      </w:r>
    </w:p>
    <w:p>
      <w:pPr>
        <w:spacing w:after="0" w:line="1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18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69" w:lineRule="auto"/>
        <w:tabs>
          <w:tab w:leader="none" w:pos="102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Each of Holdings and the Borrower, jointly and severally, agree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Cahill Gordon &amp; Reindel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320" w:top="1440" w:right="379" w:bottom="1440" w:gutter="0" w:footer="0" w:header="0"/>
        </w:sectPr>
      </w:pPr>
    </w:p>
    <w:bookmarkStart w:id="181" w:name="page182"/>
    <w:bookmarkEnd w:id="181"/>
    <w:p>
      <w:pPr>
        <w:spacing w:after="0" w:line="200" w:lineRule="exact"/>
        <w:rPr>
          <w:sz w:val="20"/>
          <w:szCs w:val="20"/>
          <w:color w:val="auto"/>
        </w:rPr>
      </w:pPr>
    </w:p>
    <w:p>
      <w:pPr>
        <w:spacing w:after="0" w:line="32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and (iii) to pay, indemnify and hold harmless each Lender, each Agent, the Letter of Credit Issuer and their respective Related Parties (without duplication) (the “</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any and all losses, claims, damages, liabilities, obligations, demands, actions, judgements,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(including any inquiry or investigation of the foregoing)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attributable to Holdings or any of its Subsidiaries (all the foregoing in this clause (iii),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 not involve an act or omission by Holdings, the Borrower or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Agents, to the extent acting in their capacity as such, shall remain indemnified in respect of such proceeding, to the extent that neither of the exceptions set forth in clause (i) or (ii) of the immediately preceding proviso applies to such person at such time. The agreements in this Section 13.5 shall survive repayment of the Loans and all other amounts payable hereunder. This Section 13.5 shall not apply with respect to Taxes, other than any Taxes that represent losses, claims, damages, liabilities, obligations, penalties, actions, judgments, suits, costs, expenses or disbursements arising from any non-Tax claim.</w:t>
      </w:r>
    </w:p>
    <w:p>
      <w:pPr>
        <w:spacing w:after="0" w:line="177" w:lineRule="exact"/>
        <w:rPr>
          <w:sz w:val="20"/>
          <w:szCs w:val="20"/>
          <w:color w:val="auto"/>
        </w:rPr>
      </w:pPr>
    </w:p>
    <w:p>
      <w:pPr>
        <w:ind w:right="40" w:firstLine="656"/>
        <w:spacing w:after="0" w:line="290" w:lineRule="auto"/>
        <w:tabs>
          <w:tab w:leader="none" w:pos="103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limit Holdings’ and the Borrower’s indemnification obligations to the Indemnified Persons pursuant to </w:t>
      </w:r>
      <w:r>
        <w:rPr>
          <w:rFonts w:ascii="Arial" w:cs="Arial" w:eastAsia="Arial" w:hAnsi="Arial"/>
          <w:sz w:val="16"/>
          <w:szCs w:val="16"/>
          <w:u w:val="single" w:color="auto"/>
          <w:color w:val="auto"/>
        </w:rPr>
        <w:t>Section 13.5(a)</w:t>
      </w:r>
      <w:r>
        <w:rPr>
          <w:rFonts w:ascii="Arial" w:cs="Arial" w:eastAsia="Arial" w:hAnsi="Arial"/>
          <w:sz w:val="16"/>
          <w:szCs w:val="16"/>
          <w:color w:val="auto"/>
        </w:rPr>
        <w:t xml:space="preserve"> 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non-appealable judgment of a court of competent jurisdiction.</w:t>
      </w:r>
    </w:p>
    <w:p>
      <w:pPr>
        <w:spacing w:after="0" w:line="165" w:lineRule="exact"/>
        <w:rPr>
          <w:rFonts w:ascii="Arial" w:cs="Arial" w:eastAsia="Arial" w:hAnsi="Arial"/>
          <w:sz w:val="16"/>
          <w:szCs w:val="16"/>
          <w:color w:val="auto"/>
        </w:rPr>
      </w:pPr>
    </w:p>
    <w:p>
      <w:pPr>
        <w:ind w:right="260" w:firstLine="656"/>
        <w:spacing w:after="0" w:line="263" w:lineRule="auto"/>
        <w:tabs>
          <w:tab w:leader="none" w:pos="102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Notwithstanding the foregoing, each Indemnified Person shall be obligated to refund or return any and all amounts paid by the Borrower under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to such Indemnified Person for any losses, claims, damages, liabilities and expenses to the extent such Indemnified Person is not entitled to payment of such amounts in accordance with the terms hereof.</w:t>
      </w:r>
    </w:p>
    <w:p>
      <w:pPr>
        <w:spacing w:after="0" w:line="18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u w:val="single" w:color="auto"/>
          <w:color w:val="auto"/>
        </w:rPr>
        <w:t>Successors and Assigns; Participations and Assignments</w:t>
      </w:r>
      <w:r>
        <w:rPr>
          <w:rFonts w:ascii="Arial" w:cs="Arial" w:eastAsia="Arial" w:hAnsi="Arial"/>
          <w:sz w:val="15"/>
          <w:szCs w:val="15"/>
          <w:color w:val="auto"/>
        </w:rPr>
        <w:t>.</w:t>
      </w:r>
    </w:p>
    <w:p>
      <w:pPr>
        <w:spacing w:after="0" w:line="225" w:lineRule="exact"/>
        <w:rPr>
          <w:sz w:val="20"/>
          <w:szCs w:val="20"/>
          <w:color w:val="auto"/>
        </w:rPr>
      </w:pPr>
    </w:p>
    <w:p>
      <w:pPr>
        <w:ind w:right="420" w:firstLine="656"/>
        <w:spacing w:after="0" w:line="277" w:lineRule="auto"/>
        <w:tabs>
          <w:tab w:leader="none" w:pos="10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except that (i) except as expressly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200" w:lineRule="exact"/>
        <w:rPr>
          <w:sz w:val="20"/>
          <w:szCs w:val="20"/>
          <w:color w:val="auto"/>
        </w:rPr>
      </w:pPr>
    </w:p>
    <w:p>
      <w:pPr>
        <w:spacing w:after="0" w:line="32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the Borrower may not assign or otherwise transfer any of their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and, to the extent expressly contemplated hereby, the Related Parties of each of the Administrative Agent, the Collateral Agent, the Letter of Credit Issuer and the Lenders and each other Person entitled to indemnification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13.5</w:t>
      </w:r>
      <w:r>
        <w:rPr>
          <w:rFonts w:ascii="Arial" w:cs="Arial" w:eastAsia="Arial" w:hAnsi="Arial"/>
          <w:sz w:val="17"/>
          <w:szCs w:val="17"/>
          <w:color w:val="auto"/>
        </w:rPr>
        <w:t>) any legal or equitable right, remedy or claim under or by reason of this Agreement.</w:t>
      </w:r>
    </w:p>
    <w:p>
      <w:pPr>
        <w:spacing w:after="0" w:line="177" w:lineRule="exact"/>
        <w:rPr>
          <w:sz w:val="20"/>
          <w:szCs w:val="20"/>
          <w:color w:val="auto"/>
        </w:rPr>
      </w:pPr>
    </w:p>
    <w:p>
      <w:pPr>
        <w:jc w:val="both"/>
        <w:ind w:right="20" w:firstLine="656"/>
        <w:spacing w:after="0" w:line="296" w:lineRule="auto"/>
        <w:tabs>
          <w:tab w:leader="none" w:pos="103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13.7</w:t>
      </w:r>
      <w:r>
        <w:rPr>
          <w:rFonts w:ascii="Arial" w:cs="Arial" w:eastAsia="Arial" w:hAnsi="Arial"/>
          <w:sz w:val="16"/>
          <w:szCs w:val="16"/>
          <w:color w:val="auto"/>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or delayed;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spacing w:after="0" w:line="161" w:lineRule="exact"/>
        <w:rPr>
          <w:rFonts w:ascii="Arial" w:cs="Arial" w:eastAsia="Arial" w:hAnsi="Arial"/>
          <w:sz w:val="16"/>
          <w:szCs w:val="16"/>
          <w:color w:val="auto"/>
        </w:rPr>
      </w:pPr>
    </w:p>
    <w:p>
      <w:pPr>
        <w:ind w:left="660" w:right="80" w:firstLine="644"/>
        <w:spacing w:after="0" w:line="263" w:lineRule="auto"/>
        <w:tabs>
          <w:tab w:leader="none" w:pos="173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(1) an assignment of Term Loans to (X) a Lender, (Y) an Affiliate of a Lender, or (Z) an Approved Fund or (2) an assignment of Loans or Commitments to any assignee if an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(with respect to Holdings or the Borrower) has occurred and is continuing; and</w:t>
      </w:r>
    </w:p>
    <w:p>
      <w:pPr>
        <w:spacing w:after="0" w:line="183" w:lineRule="exact"/>
        <w:rPr>
          <w:rFonts w:ascii="Arial" w:cs="Arial" w:eastAsia="Arial" w:hAnsi="Arial"/>
          <w:sz w:val="18"/>
          <w:szCs w:val="18"/>
          <w:color w:val="auto"/>
        </w:rPr>
      </w:pPr>
    </w:p>
    <w:p>
      <w:pPr>
        <w:ind w:left="660" w:right="120" w:firstLine="644"/>
        <w:spacing w:after="0" w:line="286" w:lineRule="auto"/>
        <w:tabs>
          <w:tab w:leader="none" w:pos="1728"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the Administrative Agent (not to be unreasonably withheld or delayed) and, in the case of Revolving Credit Commitments or Revolving Credit Loans only, the Swingline Lender and the Letter of Credit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of any Term Loan to a Lender, an Affiliate of a Lender or an Approved Fund.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foregoing, (i) no such assignment shall be made to a natural Person, Disqualified Lender or Defaulting Lender and (ii) Holdings, the Borrower or Affiliates. For the avoidance of doubt, the Administrative Agent shall bear no responsibility or liability for monitoring and enforcing the list of Persons who are Disqualified Lenders at any time.</w:t>
      </w:r>
    </w:p>
    <w:p>
      <w:pPr>
        <w:spacing w:after="0" w:line="184" w:lineRule="exact"/>
        <w:rPr>
          <w:sz w:val="20"/>
          <w:szCs w:val="20"/>
          <w:color w:val="auto"/>
        </w:rPr>
      </w:pPr>
    </w:p>
    <w:p>
      <w:pPr>
        <w:ind w:left="1300" w:hanging="385"/>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660" w:right="20" w:firstLine="644"/>
        <w:spacing w:after="0" w:line="270" w:lineRule="auto"/>
        <w:tabs>
          <w:tab w:leader="none" w:pos="173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$5,000,000 in the case of Revolving Credit Commitments and $1,000,000 in the case of Term Loans, unless each of the Borrower and the Administrative Agent otherwise consents (which consents shall not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has occurred and is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180" w:lineRule="exact"/>
        <w:rPr>
          <w:rFonts w:ascii="Arial" w:cs="Arial" w:eastAsia="Arial" w:hAnsi="Arial"/>
          <w:sz w:val="17"/>
          <w:szCs w:val="17"/>
          <w:color w:val="auto"/>
        </w:rPr>
      </w:pPr>
    </w:p>
    <w:p>
      <w:pPr>
        <w:ind w:left="660" w:right="180" w:firstLine="644"/>
        <w:spacing w:after="0" w:line="263" w:lineRule="auto"/>
        <w:tabs>
          <w:tab w:leader="none" w:pos="172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322" w:lineRule="exact"/>
        <w:rPr>
          <w:sz w:val="20"/>
          <w:szCs w:val="20"/>
          <w:color w:val="auto"/>
        </w:rPr>
      </w:pPr>
    </w:p>
    <w:p>
      <w:pPr>
        <w:ind w:left="660" w:right="40" w:firstLine="644"/>
        <w:spacing w:after="0" w:line="259" w:lineRule="auto"/>
        <w:tabs>
          <w:tab w:leader="none" w:pos="1728" w:val="left"/>
        </w:tabs>
        <w:numPr>
          <w:ilvl w:val="2"/>
          <w:numId w:val="193"/>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Acceptance via an electronic settlement system or other method reasonably acceptable to the Administrative Agent,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and</w:t>
      </w:r>
    </w:p>
    <w:p>
      <w:pPr>
        <w:spacing w:after="0" w:line="186" w:lineRule="exact"/>
        <w:rPr>
          <w:rFonts w:ascii="Arial" w:cs="Arial" w:eastAsia="Arial" w:hAnsi="Arial"/>
          <w:sz w:val="18"/>
          <w:szCs w:val="18"/>
          <w:color w:val="auto"/>
        </w:rPr>
      </w:pPr>
    </w:p>
    <w:p>
      <w:pPr>
        <w:ind w:left="660" w:right="580" w:firstLine="644"/>
        <w:spacing w:after="0" w:line="342" w:lineRule="auto"/>
        <w:tabs>
          <w:tab w:leader="none" w:pos="1738" w:val="left"/>
        </w:tabs>
        <w:numPr>
          <w:ilvl w:val="2"/>
          <w:numId w:val="193"/>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a form approved by the Administrative Agent (the “</w:t>
      </w:r>
      <w:r>
        <w:rPr>
          <w:rFonts w:ascii="Arial" w:cs="Arial" w:eastAsia="Arial" w:hAnsi="Arial"/>
          <w:sz w:val="16"/>
          <w:szCs w:val="16"/>
          <w:b w:val="1"/>
          <w:bCs w:val="1"/>
          <w:color w:val="auto"/>
        </w:rPr>
        <w:t>Administrative Questionnaire</w:t>
      </w:r>
      <w:r>
        <w:rPr>
          <w:rFonts w:ascii="Arial" w:cs="Arial" w:eastAsia="Arial" w:hAnsi="Arial"/>
          <w:sz w:val="16"/>
          <w:szCs w:val="16"/>
          <w:color w:val="auto"/>
        </w:rPr>
        <w:t xml:space="preserve">”) and applicable tax forms (as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915"/>
        <w:spacing w:after="0" w:line="287" w:lineRule="auto"/>
        <w:tabs>
          <w:tab w:leader="none" w:pos="135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(b)(v)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For the avoidance of doubt, in case of an assignment to a new Lender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13.6</w:t>
      </w:r>
      <w:r>
        <w:rPr>
          <w:rFonts w:ascii="Arial" w:cs="Arial" w:eastAsia="Arial" w:hAnsi="Arial"/>
          <w:sz w:val="16"/>
          <w:szCs w:val="16"/>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167" w:lineRule="exact"/>
        <w:rPr>
          <w:rFonts w:ascii="Arial" w:cs="Arial" w:eastAsia="Arial" w:hAnsi="Arial"/>
          <w:sz w:val="16"/>
          <w:szCs w:val="16"/>
          <w:color w:val="auto"/>
        </w:rPr>
      </w:pPr>
    </w:p>
    <w:p>
      <w:pPr>
        <w:ind w:right="40" w:firstLine="915"/>
        <w:spacing w:after="0" w:line="290" w:lineRule="auto"/>
        <w:tabs>
          <w:tab w:leader="none" w:pos="134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and any payment made by the Letter of Credit Issuer under any Letter of Credit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spacing w:after="0" w:line="165" w:lineRule="exact"/>
        <w:rPr>
          <w:rFonts w:ascii="Arial" w:cs="Arial" w:eastAsia="Arial" w:hAnsi="Arial"/>
          <w:sz w:val="16"/>
          <w:szCs w:val="16"/>
          <w:color w:val="auto"/>
        </w:rPr>
      </w:pPr>
    </w:p>
    <w:p>
      <w:pPr>
        <w:ind w:right="20" w:firstLine="915"/>
        <w:spacing w:after="0" w:line="285" w:lineRule="auto"/>
        <w:tabs>
          <w:tab w:leader="none" w:pos="129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any written consent to such assignment required by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clause (b)</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w:t>
      </w:r>
    </w:p>
    <w:p>
      <w:pPr>
        <w:spacing w:after="0" w:line="210" w:lineRule="exact"/>
        <w:rPr>
          <w:rFonts w:ascii="Arial" w:cs="Arial" w:eastAsia="Arial" w:hAnsi="Arial"/>
          <w:sz w:val="16"/>
          <w:szCs w:val="16"/>
          <w:color w:val="auto"/>
        </w:rPr>
      </w:pPr>
    </w:p>
    <w:p>
      <w:pPr>
        <w:jc w:val="both"/>
        <w:ind w:right="220" w:firstLine="656"/>
        <w:spacing w:after="0" w:line="275" w:lineRule="auto"/>
        <w:tabs>
          <w:tab w:leader="none" w:pos="102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 Any Lender may, without the consent of the Borrower or the Administrative Agent, the Letter of Credit Issuer or the Swingline Lender, sell participations to one or more banks or other entities (other than (x) a natural person (or a holding company, investment vehicle or trust for, or owned and operated by or for the primary benefit of a natural Person), (y) Holdings and its Subsidiaries or Affiliates and (z) any Disqualified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clause (y) hereof, participations may be sold to Disqualified Lenders unless a list of Disqualified Lenders has been made available to all Lenders) (each, a “</w:t>
      </w:r>
      <w:r>
        <w:rPr>
          <w:rFonts w:ascii="Arial" w:cs="Arial" w:eastAsia="Arial" w:hAnsi="Arial"/>
          <w:sz w:val="17"/>
          <w:szCs w:val="17"/>
          <w:b w:val="1"/>
          <w:bCs w:val="1"/>
          <w:color w:val="auto"/>
        </w:rPr>
        <w:t>Participant</w:t>
      </w:r>
      <w:r>
        <w:rPr>
          <w:rFonts w:ascii="Arial" w:cs="Arial" w:eastAsia="Arial" w:hAnsi="Arial"/>
          <w:sz w:val="17"/>
          <w:szCs w:val="17"/>
          <w:color w:val="auto"/>
        </w:rPr>
        <w:t>”) in all or a portion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200" w:lineRule="exact"/>
        <w:rPr>
          <w:sz w:val="20"/>
          <w:szCs w:val="20"/>
          <w:color w:val="auto"/>
        </w:rPr>
      </w:pPr>
    </w:p>
    <w:p>
      <w:pPr>
        <w:spacing w:after="0" w:line="32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 xml:space="preserve">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the second proviso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clause (c)(ii)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the Borrower agrees that each Participant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(it being agreed that any documentation required under Section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5.4(e) shall be provided solely to the participating Lender)). To the extent permitted by law, each Participant also shall be entitled to the benefits of </w:t>
      </w:r>
      <w:r>
        <w:rPr>
          <w:rFonts w:ascii="Arial" w:cs="Arial" w:eastAsia="Arial" w:hAnsi="Arial"/>
          <w:sz w:val="16"/>
          <w:szCs w:val="16"/>
          <w:u w:val="single" w:color="auto"/>
          <w:color w:val="auto"/>
        </w:rPr>
        <w:t>Section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13.8(b)</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shall be subject to </w:t>
      </w:r>
      <w:r>
        <w:rPr>
          <w:rFonts w:ascii="Arial" w:cs="Arial" w:eastAsia="Arial" w:hAnsi="Arial"/>
          <w:sz w:val="18"/>
          <w:szCs w:val="18"/>
          <w:u w:val="single" w:color="auto"/>
          <w:color w:val="auto"/>
        </w:rPr>
        <w:t>Section 13.8(a)</w:t>
      </w:r>
      <w:r>
        <w:rPr>
          <w:rFonts w:ascii="Arial" w:cs="Arial" w:eastAsia="Arial" w:hAnsi="Arial"/>
          <w:sz w:val="18"/>
          <w:szCs w:val="18"/>
          <w:color w:val="auto"/>
        </w:rPr>
        <w:t xml:space="preserve"> as though it were a Lender.</w:t>
      </w:r>
    </w:p>
    <w:p>
      <w:pPr>
        <w:spacing w:after="0" w:line="211" w:lineRule="exact"/>
        <w:rPr>
          <w:sz w:val="20"/>
          <w:szCs w:val="20"/>
          <w:color w:val="auto"/>
        </w:rPr>
      </w:pPr>
    </w:p>
    <w:p>
      <w:pPr>
        <w:ind w:firstLine="915"/>
        <w:spacing w:after="0" w:line="269" w:lineRule="auto"/>
        <w:tabs>
          <w:tab w:leader="none" w:pos="1297"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181" w:lineRule="exact"/>
        <w:rPr>
          <w:rFonts w:ascii="Arial" w:cs="Arial" w:eastAsia="Arial" w:hAnsi="Arial"/>
          <w:sz w:val="17"/>
          <w:szCs w:val="17"/>
          <w:color w:val="auto"/>
        </w:rPr>
      </w:pPr>
    </w:p>
    <w:p>
      <w:pPr>
        <w:ind w:right="100" w:firstLine="656"/>
        <w:spacing w:after="0" w:line="257" w:lineRule="auto"/>
        <w:tabs>
          <w:tab w:leader="none" w:pos="102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18"/>
          <w:szCs w:val="18"/>
          <w:color w:val="auto"/>
        </w:rPr>
      </w:pPr>
    </w:p>
    <w:p>
      <w:pPr>
        <w:jc w:val="both"/>
        <w:ind w:right="120" w:firstLine="656"/>
        <w:spacing w:after="0" w:line="257" w:lineRule="auto"/>
        <w:tabs>
          <w:tab w:leader="none" w:pos="102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13.16</w:t>
      </w:r>
      <w:r>
        <w:rPr>
          <w:rFonts w:ascii="Arial" w:cs="Arial" w:eastAsia="Arial" w:hAnsi="Arial"/>
          <w:sz w:val="18"/>
          <w:szCs w:val="18"/>
          <w:color w:val="auto"/>
        </w:rPr>
        <w:t>, the Borrower authorizes each Lender to disclose to any Participant, secured creditor of such Lender or assignee (each, a “</w:t>
      </w:r>
      <w:r>
        <w:rPr>
          <w:rFonts w:ascii="Arial" w:cs="Arial" w:eastAsia="Arial" w:hAnsi="Arial"/>
          <w:sz w:val="18"/>
          <w:szCs w:val="18"/>
          <w:b w:val="1"/>
          <w:bCs w:val="1"/>
          <w:color w:val="auto"/>
        </w:rPr>
        <w:t>Transferee</w:t>
      </w:r>
      <w:r>
        <w:rPr>
          <w:rFonts w:ascii="Arial" w:cs="Arial" w:eastAsia="Arial" w:hAnsi="Arial"/>
          <w:sz w:val="18"/>
          <w:szCs w:val="18"/>
          <w:color w:val="auto"/>
        </w:rPr>
        <w:t>”) and any prospective Transferee any and all financial information in such Lender’s possession concerning the Borrower and their Affiliates that has been delivered to such Lender by or on behalf of the Borrower and their Affiliates pursuant to this Agreement or that has been delivered to such Lender by or on behalf of the Borrower and their Affiliates in connection with such Lender’s credit evaluation of the Borrower and their Affiliates prior to becoming a party to this Agreement.</w:t>
      </w:r>
    </w:p>
    <w:p>
      <w:pPr>
        <w:spacing w:after="0" w:line="187" w:lineRule="exact"/>
        <w:rPr>
          <w:rFonts w:ascii="Arial" w:cs="Arial" w:eastAsia="Arial" w:hAnsi="Arial"/>
          <w:sz w:val="18"/>
          <w:szCs w:val="18"/>
          <w:color w:val="auto"/>
        </w:rPr>
      </w:pPr>
    </w:p>
    <w:p>
      <w:pPr>
        <w:ind w:right="120" w:firstLine="656"/>
        <w:spacing w:after="0" w:line="311" w:lineRule="auto"/>
        <w:tabs>
          <w:tab w:leader="none" w:pos="100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words “execution,” “signed,” “signature,” and words of like import used in </w:t>
      </w:r>
      <w:r>
        <w:rPr>
          <w:rFonts w:ascii="Arial" w:cs="Arial" w:eastAsia="Arial" w:hAnsi="Arial"/>
          <w:sz w:val="16"/>
          <w:szCs w:val="16"/>
          <w:u w:val="single" w:color="auto"/>
          <w:color w:val="0000FF"/>
        </w:rPr>
        <w:t>or related to any document to be signed in</w:t>
      </w:r>
      <w:r>
        <w:rPr>
          <w:rFonts w:ascii="Arial" w:cs="Arial" w:eastAsia="Arial" w:hAnsi="Arial"/>
          <w:sz w:val="16"/>
          <w:szCs w:val="16"/>
          <w:color w:val="auto"/>
        </w:rPr>
        <w:t xml:space="preserve"> connection with this Agreement and the transactions contemplated hereby (including without limitation Assignment and Acceptances, amendments or other modifications, Notices of Borrowing, waivers and consents) shall be deemed to include electronic signatures, the electronic matching of assignment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p>
    <w:p>
      <w:pPr>
        <w:spacing w:after="0" w:line="3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 the Administrative Agent nor any Letter of Credit Issuer or Lenders is under no obligation to agree to accept electronic signatures in any form or in any format unless expressly agreed to by the Administrative Agent pursuant to procedures approved by it.</w:t>
      </w:r>
    </w:p>
    <w:p>
      <w:pPr>
        <w:spacing w:after="0" w:line="191" w:lineRule="exact"/>
        <w:rPr>
          <w:sz w:val="20"/>
          <w:szCs w:val="20"/>
          <w:color w:val="auto"/>
        </w:rPr>
      </w:pPr>
    </w:p>
    <w:p>
      <w:pPr>
        <w:ind w:right="20" w:firstLine="656"/>
        <w:spacing w:after="0" w:line="284" w:lineRule="auto"/>
        <w:tabs>
          <w:tab w:leader="none" w:pos="1038"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SPV Lender</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6"/>
          <w:szCs w:val="16"/>
          <w:u w:val="single" w:color="auto"/>
          <w:color w:val="auto"/>
        </w:rPr>
        <w:t>Section 13.6(g)</w:t>
      </w:r>
      <w:r>
        <w:rPr>
          <w:rFonts w:ascii="Arial" w:cs="Arial" w:eastAsia="Arial" w:hAnsi="Arial"/>
          <w:sz w:val="16"/>
          <w:szCs w:val="16"/>
          <w:color w:val="auto"/>
        </w:rPr>
        <w:t xml:space="preserve"> may not be amended without the written consent of the SPV. Notwithstanding anything to the contrary in this Agreement but subject to the following sentence, each SPV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(it being agreed that any documentation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provided solely to the Granting Lender)). Notwithstanding the prior sentence, an SPV shall not be entitled to receive any greater payment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Replacements of Lenders Under Certain Circumstances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71" w:lineRule="auto"/>
        <w:tabs>
          <w:tab w:leader="none" w:pos="102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(b) is affected in the manner described in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and as a result thereof any of the actions described in such Section is required to be taken, or (c) becomes a Defaulting Lender, with a replacement bank or other financial institution; provided that (i) such replacement does not conflict with any Requirement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p>
    <w:p>
      <w:pPr>
        <w:spacing w:after="0" w:line="32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Law, (ii) no Event of Default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at the time of such replacement, (iii) the Borrower shall repay (or the replacement bank or institution shall purchase, at par) all Loans and other amounts pursuant to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as the case may be, owing to such replaced Lender prior to the date of replacement, (iv) the replacement bank or institution, if not already a Lender, an Affiliate of the Lender or Approved Fund, and the terms and conditions of such replacement, shall be reasonably satisfactory to the Administrative Agent, (v) the replacement bank or institution, if not already a Lender shall be subject to the provisions of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(vi) the replaced Lender shall be obligated to make such replacement in accordance with the provisions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(provided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174" w:lineRule="exact"/>
        <w:rPr>
          <w:sz w:val="20"/>
          <w:szCs w:val="20"/>
          <w:color w:val="auto"/>
        </w:rPr>
      </w:pPr>
    </w:p>
    <w:p>
      <w:pPr>
        <w:ind w:firstLine="656"/>
        <w:spacing w:after="0" w:line="267" w:lineRule="auto"/>
        <w:tabs>
          <w:tab w:leader="none" w:pos="103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If any Lender (such Lender, a “</w:t>
      </w:r>
      <w:r>
        <w:rPr>
          <w:rFonts w:ascii="Arial" w:cs="Arial" w:eastAsia="Arial" w:hAnsi="Arial"/>
          <w:sz w:val="17"/>
          <w:szCs w:val="17"/>
          <w:b w:val="1"/>
          <w:bCs w:val="1"/>
          <w:color w:val="auto"/>
        </w:rPr>
        <w:t>Non-Consenting Lender</w:t>
      </w:r>
      <w:r>
        <w:rPr>
          <w:rFonts w:ascii="Arial" w:cs="Arial" w:eastAsia="Arial" w:hAnsi="Arial"/>
          <w:sz w:val="17"/>
          <w:szCs w:val="17"/>
          <w:color w:val="auto"/>
        </w:rPr>
        <w:t xml:space="preserve">”) has failed to consent to a proposed amendment, waiver, discharge or termination that pursuant to the terms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all Obligations hereunder of the Borrower owing to such Non-Consenting Lender being replaced shall be paid in full to such Non-Consenting Lender concurrently with such assignment including any amounts that such Lender may be owed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(b) the replacement Lender shall purchase the foregoing by paying to such Non-Consenting Lender a price equal to the principal amount thereof plus accrued and unpaid interest thereon, and (c) the Borrower shall pay (or cause to be paid) to such Non-Consenting Lender the amount, if any, owing to such Lender pursuant to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In connection with any such assignment, the Borrower, the Administrative Agent, such Non-Consenting Lender and the replacement Lender shall otherwise comply with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Non-Consenting Lender does not execute and deliver an Assignment and Acceptance in respect of such assignment within one Business Day of the date on which the replacement Lender executes and delivers such Assignment and Acceptance to such Non-Consenting Lender (or such Assignment and Acceptance is delivered by the Administrative Agent on behalf of such replacement Lender), such Non-Consenting Lender shall be deemed to have executed and delivered such Assignment and Acceptance without any action on the part of such Non-Consenting Lender and the Assignment and Acceptance so executed by such replacement Lender shall be effective for the purpose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13.7</w:t>
      </w:r>
      <w:r>
        <w:rPr>
          <w:rFonts w:ascii="Arial" w:cs="Arial" w:eastAsia="Arial" w:hAnsi="Arial"/>
          <w:sz w:val="17"/>
          <w:szCs w:val="17"/>
          <w:color w:val="auto"/>
        </w:rPr>
        <w:t>.</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1" w:lineRule="exact"/>
        <w:rPr>
          <w:sz w:val="20"/>
          <w:szCs w:val="20"/>
          <w:color w:val="auto"/>
        </w:rPr>
      </w:pPr>
    </w:p>
    <w:p>
      <w:pPr>
        <w:ind w:right="80" w:firstLine="656"/>
        <w:spacing w:after="0" w:line="291" w:lineRule="auto"/>
        <w:tabs>
          <w:tab w:leader="none" w:pos="102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Except as contemplated in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elsewhere herein, if any Lender (a “</w:t>
      </w:r>
      <w:r>
        <w:rPr>
          <w:rFonts w:ascii="Arial" w:cs="Arial" w:eastAsia="Arial" w:hAnsi="Arial"/>
          <w:sz w:val="16"/>
          <w:szCs w:val="16"/>
          <w:b w:val="1"/>
          <w:bCs w:val="1"/>
          <w:color w:val="auto"/>
        </w:rPr>
        <w:t>Benefited Lender</w:t>
      </w:r>
      <w:r>
        <w:rPr>
          <w:rFonts w:ascii="Arial" w:cs="Arial" w:eastAsia="Arial" w:hAnsi="Arial"/>
          <w:sz w:val="16"/>
          <w:szCs w:val="16"/>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0" w:lineRule="exact"/>
        <w:rPr>
          <w:sz w:val="20"/>
          <w:szCs w:val="20"/>
          <w:color w:val="auto"/>
        </w:rPr>
      </w:pPr>
    </w:p>
    <w:p>
      <w:pPr>
        <w:spacing w:after="0" w:line="322" w:lineRule="exact"/>
        <w:rPr>
          <w:sz w:val="20"/>
          <w:szCs w:val="20"/>
          <w:color w:val="auto"/>
        </w:rPr>
      </w:pPr>
    </w:p>
    <w:p>
      <w:pPr>
        <w:ind w:right="100" w:firstLine="656"/>
        <w:spacing w:after="0" w:line="270" w:lineRule="auto"/>
        <w:tabs>
          <w:tab w:leader="none" w:pos="102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1"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49"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Credit Documents represent the agreement of Holdings, the Borrower, the Collateral Agent, the Administrative Agent and the Lenders with respect to the subject matter hereof, and there are no promises, undertakings, representations or warranties by Holdings, the Borrower, the Administrative Agent, the Collateral Agent nor any Lender relative to subject matter hereof not expressly set forth or referred to herein or in the other Credit Documents.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HEREUNDER SHALL BE GOVERNED BY, AND CONSTRUED AND INTERPRETED IN ACCORDANCE WITH, THE LAW OF THE STATE OF NEW YORK. EACH LETTER OF CREDIT SHALL BE GOVERNED BY, AND CONSTRUED IN ACCORDANCE WITH, THE LAWS OF THE STATE OF NEW YORK.</w:t>
      </w:r>
    </w:p>
    <w:p>
      <w:pPr>
        <w:spacing w:after="0" w:line="16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party hereto irrevocably and unconditionally:</w:t>
      </w:r>
    </w:p>
    <w:p>
      <w:pPr>
        <w:spacing w:after="0" w:line="225" w:lineRule="exact"/>
        <w:rPr>
          <w:sz w:val="20"/>
          <w:szCs w:val="20"/>
          <w:color w:val="auto"/>
        </w:rPr>
      </w:pPr>
    </w:p>
    <w:p>
      <w:pPr>
        <w:jc w:val="both"/>
        <w:ind w:left="660" w:right="200" w:firstLine="644"/>
        <w:spacing w:after="0" w:line="311" w:lineRule="auto"/>
        <w:tabs>
          <w:tab w:leader="none" w:pos="168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148" w:lineRule="exact"/>
        <w:rPr>
          <w:rFonts w:ascii="Arial" w:cs="Arial" w:eastAsia="Arial" w:hAnsi="Arial"/>
          <w:sz w:val="16"/>
          <w:szCs w:val="16"/>
          <w:color w:val="auto"/>
        </w:rPr>
      </w:pPr>
    </w:p>
    <w:p>
      <w:pPr>
        <w:jc w:val="both"/>
        <w:ind w:left="660" w:right="100" w:firstLine="644"/>
        <w:spacing w:after="0" w:line="259" w:lineRule="auto"/>
        <w:tabs>
          <w:tab w:leader="none" w:pos="16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186" w:lineRule="exact"/>
        <w:rPr>
          <w:rFonts w:ascii="Arial" w:cs="Arial" w:eastAsia="Arial" w:hAnsi="Arial"/>
          <w:sz w:val="18"/>
          <w:szCs w:val="18"/>
          <w:color w:val="auto"/>
        </w:rPr>
      </w:pPr>
    </w:p>
    <w:p>
      <w:pPr>
        <w:jc w:val="both"/>
        <w:ind w:left="660" w:right="60" w:firstLine="644"/>
        <w:spacing w:after="0" w:line="263" w:lineRule="auto"/>
        <w:tabs>
          <w:tab w:leader="none" w:pos="168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at such other address of which the Administrative Agent shall have been notified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320" w:top="1440" w:right="399" w:bottom="1440" w:gutter="0" w:footer="0" w:header="0"/>
        </w:sectPr>
      </w:pPr>
    </w:p>
    <w:bookmarkStart w:id="188" w:name="page189"/>
    <w:bookmarkEnd w:id="188"/>
    <w:p>
      <w:pPr>
        <w:spacing w:after="0" w:line="200" w:lineRule="exact"/>
        <w:rPr>
          <w:sz w:val="20"/>
          <w:szCs w:val="20"/>
          <w:color w:val="auto"/>
        </w:rPr>
      </w:pPr>
    </w:p>
    <w:p>
      <w:pPr>
        <w:spacing w:after="0" w:line="322" w:lineRule="exact"/>
        <w:rPr>
          <w:sz w:val="20"/>
          <w:szCs w:val="20"/>
          <w:color w:val="auto"/>
        </w:rPr>
      </w:pPr>
    </w:p>
    <w:p>
      <w:pPr>
        <w:ind w:firstLine="644"/>
        <w:spacing w:after="0" w:line="263" w:lineRule="auto"/>
        <w:tabs>
          <w:tab w:leader="none" w:pos="103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of the Administrative Agent, any Lender or another Secured Party to effect service of process in any other manner permitted by law or to commence legal proceedings or otherwise proceed against Holdings or the Borrower or any other Credit Party in any other jurisdiction; and</w:t>
      </w:r>
    </w:p>
    <w:p>
      <w:pPr>
        <w:spacing w:after="0" w:line="183" w:lineRule="exact"/>
        <w:rPr>
          <w:rFonts w:ascii="Arial" w:cs="Arial" w:eastAsia="Arial" w:hAnsi="Arial"/>
          <w:sz w:val="18"/>
          <w:szCs w:val="18"/>
          <w:color w:val="auto"/>
        </w:rPr>
      </w:pPr>
    </w:p>
    <w:p>
      <w:pPr>
        <w:ind w:right="120" w:firstLine="644"/>
        <w:spacing w:after="0" w:line="263" w:lineRule="auto"/>
        <w:tabs>
          <w:tab w:leader="none" w:pos="102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(e) shall limit the Credit Parties’ indemnification obligations set forth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Holdings and the Borrower hereby acknowledges that:</w:t>
      </w:r>
    </w:p>
    <w:p>
      <w:pPr>
        <w:spacing w:after="0" w:line="225" w:lineRule="exact"/>
        <w:rPr>
          <w:sz w:val="20"/>
          <w:szCs w:val="20"/>
          <w:color w:val="auto"/>
        </w:rPr>
      </w:pPr>
    </w:p>
    <w:p>
      <w:pPr>
        <w:ind w:left="1020" w:hanging="376"/>
        <w:spacing w:after="0"/>
        <w:tabs>
          <w:tab w:leader="none" w:pos="10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Credit Documents;</w:t>
      </w:r>
    </w:p>
    <w:p>
      <w:pPr>
        <w:spacing w:after="0" w:line="236" w:lineRule="exact"/>
        <w:rPr>
          <w:rFonts w:ascii="Arial" w:cs="Arial" w:eastAsia="Arial" w:hAnsi="Arial"/>
          <w:sz w:val="17"/>
          <w:szCs w:val="17"/>
          <w:color w:val="auto"/>
        </w:rPr>
      </w:pPr>
    </w:p>
    <w:p>
      <w:pPr>
        <w:ind w:right="40" w:firstLine="644"/>
        <w:spacing w:after="0" w:line="255" w:lineRule="auto"/>
        <w:tabs>
          <w:tab w:leader="none" w:pos="103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192" w:lineRule="exact"/>
        <w:rPr>
          <w:rFonts w:ascii="Arial" w:cs="Arial" w:eastAsia="Arial" w:hAnsi="Arial"/>
          <w:sz w:val="18"/>
          <w:szCs w:val="18"/>
          <w:color w:val="auto"/>
        </w:rPr>
      </w:pPr>
    </w:p>
    <w:p>
      <w:pPr>
        <w:ind w:right="300" w:firstLine="903"/>
        <w:spacing w:after="0" w:line="263" w:lineRule="auto"/>
        <w:tabs>
          <w:tab w:leader="none" w:pos="130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spacing w:after="0" w:line="183" w:lineRule="exact"/>
        <w:rPr>
          <w:rFonts w:ascii="Arial" w:cs="Arial" w:eastAsia="Arial" w:hAnsi="Arial"/>
          <w:sz w:val="18"/>
          <w:szCs w:val="18"/>
          <w:color w:val="auto"/>
        </w:rPr>
      </w:pPr>
    </w:p>
    <w:p>
      <w:pPr>
        <w:ind w:right="20" w:firstLine="903"/>
        <w:spacing w:after="0" w:line="254" w:lineRule="auto"/>
        <w:tabs>
          <w:tab w:leader="none" w:pos="135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194" w:lineRule="exact"/>
        <w:rPr>
          <w:rFonts w:ascii="Arial" w:cs="Arial" w:eastAsia="Arial" w:hAnsi="Arial"/>
          <w:sz w:val="18"/>
          <w:szCs w:val="18"/>
          <w:color w:val="auto"/>
        </w:rPr>
      </w:pPr>
    </w:p>
    <w:p>
      <w:pPr>
        <w:jc w:val="both"/>
        <w:ind w:right="40" w:firstLine="903"/>
        <w:spacing w:after="0" w:line="263" w:lineRule="auto"/>
        <w:tabs>
          <w:tab w:leader="none" w:pos="134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Administrative Agent, each other Agent and each Affiliate of the foregoing may be engaged in a broad range of transactions that involve interests that differ from those of the Borrower and their Affiliates, and neither the Administrative Agent nor any other Agent has any obligation to disclose any of such interests by virtue of any advisory, agency or fiduciary relationship; and</w:t>
      </w:r>
    </w:p>
    <w:p>
      <w:pPr>
        <w:spacing w:after="0" w:line="183" w:lineRule="exact"/>
        <w:rPr>
          <w:rFonts w:ascii="Arial" w:cs="Arial" w:eastAsia="Arial" w:hAnsi="Arial"/>
          <w:sz w:val="18"/>
          <w:szCs w:val="18"/>
          <w:color w:val="auto"/>
        </w:rPr>
      </w:pPr>
    </w:p>
    <w:p>
      <w:pPr>
        <w:ind w:right="120" w:firstLine="903"/>
        <w:spacing w:after="0" w:line="293" w:lineRule="auto"/>
        <w:tabs>
          <w:tab w:leader="none" w:pos="1297" w:val="left"/>
        </w:tabs>
        <w:numPr>
          <w:ilvl w:val="1"/>
          <w:numId w:val="205"/>
        </w:numPr>
        <w:rPr>
          <w:rFonts w:ascii="Arial" w:cs="Arial" w:eastAsia="Arial" w:hAnsi="Arial"/>
          <w:sz w:val="16"/>
          <w:szCs w:val="16"/>
          <w:color w:val="auto"/>
        </w:rPr>
      </w:pPr>
      <w:r>
        <w:rPr>
          <w:rFonts w:ascii="Arial" w:cs="Arial" w:eastAsia="Arial" w:hAnsi="Arial"/>
          <w:sz w:val="16"/>
          <w:szCs w:val="16"/>
          <w:color w:val="auto"/>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the Borrower have consulted their own legal, accounting, regulatory and tax advisors to the extent it has deemed appropriate. Each of Holdings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580"/>
          </w:cols>
          <w:pgMar w:left="980" w:top="1440" w:right="339" w:bottom="1440" w:gutter="0" w:footer="0" w:header="0"/>
        </w:sectPr>
      </w:pPr>
    </w:p>
    <w:bookmarkStart w:id="189" w:name="page190"/>
    <w:bookmarkEnd w:id="189"/>
    <w:p>
      <w:pPr>
        <w:spacing w:after="0" w:line="200" w:lineRule="exact"/>
        <w:rPr>
          <w:sz w:val="20"/>
          <w:szCs w:val="20"/>
          <w:color w:val="auto"/>
        </w:rPr>
      </w:pPr>
    </w:p>
    <w:p>
      <w:pPr>
        <w:spacing w:after="0" w:line="322" w:lineRule="exact"/>
        <w:rPr>
          <w:sz w:val="20"/>
          <w:szCs w:val="20"/>
          <w:color w:val="auto"/>
        </w:rPr>
      </w:pPr>
    </w:p>
    <w:p>
      <w:pPr>
        <w:ind w:right="320" w:firstLine="656"/>
        <w:spacing w:after="0" w:line="277" w:lineRule="auto"/>
        <w:tabs>
          <w:tab w:leader="none" w:pos="102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EACH PARTY HERETO IRREVOCABLY AND UNCONDITIONALLY WAIVES (TO THE EXTENT PERMITTED BY APPLICABLE LAW) TRIAL BY JURY IN ANY LEGAL ACTION OR PROCEEDING RELATING TO THIS AGREEMENT OR ANY OTHER CREDIT DOCUMENT OR THE PERFORMANCE OF SERVICES HEREUNDER AND THEREUNDER AND FOR ANY COUNTERCLAIM THEREIN.</w:t>
      </w:r>
    </w:p>
    <w:p>
      <w:pPr>
        <w:spacing w:after="0" w:line="18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 The Administrative Agent, each other Agent and each Lender (collectively, the “</w:t>
      </w:r>
      <w:r>
        <w:rPr>
          <w:rFonts w:ascii="Arial" w:cs="Arial" w:eastAsia="Arial" w:hAnsi="Arial"/>
          <w:sz w:val="16"/>
          <w:szCs w:val="16"/>
          <w:b w:val="1"/>
          <w:bCs w:val="1"/>
          <w:color w:val="auto"/>
        </w:rPr>
        <w:t>Restricted Persons</w:t>
      </w:r>
      <w:r>
        <w:rPr>
          <w:rFonts w:ascii="Arial" w:cs="Arial" w:eastAsia="Arial" w:hAnsi="Arial"/>
          <w:sz w:val="16"/>
          <w:szCs w:val="16"/>
          <w:color w:val="auto"/>
        </w:rPr>
        <w:t>” and, each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Person</w:t>
      </w:r>
      <w:r>
        <w:rPr>
          <w:rFonts w:ascii="Arial" w:cs="Arial" w:eastAsia="Arial" w:hAnsi="Arial"/>
          <w:sz w:val="16"/>
          <w:szCs w:val="16"/>
          <w:color w:val="auto"/>
        </w:rPr>
        <w:t>”) shall treat confidentially all non-public information provided to any Restricted Person by or on behalf of any Credit Party 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such Restricted Person’s evaluation of whether to become a Lender hereunder or obtained by such Restricted Person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requirements of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and shall not publish, disclose or otherwise divulge such Confidential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any Restricted Person from disclosing any such Confidential Information (a) pursuant to the order of any court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agency or in any pending legal, judicial or administrative proceeding, or otherwise as required by applicable law, rule or regulation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compulsory legal process (in which case such Restricted Person agrees (except with respect to any routine or ordinary course audit or examination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conducted by bank accountants, any governmental, bank regulatory or self-regulatory authority exercising examination or regulatory authority),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extent practicable and not prohibited by applicable law, rule or regulation, to inform the Borrower promptly thereof prior to disclosure), (b) upon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request or demand of any regulatory authority (including any self-regulatory authority) having jurisdiction over such Restricted Person or any of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Affiliates (in which case such Restricted Person agrees (except with respect to any audit or examination conducted by bank accountants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governmental, bank regulatory or self-regulatory authority exercising examination or regulatory authority) to the extent practicable and not prohibited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law, rule or regulation, to inform the Borrower promptly thereof prior to disclosure), (c) to the extent that such Confidential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becomes publicly available other than by reason of improper disclosure by such Restricted Person or any of its affiliates or any related parties thereto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violation of any confidentiality obligations owing under this </w:t>
      </w:r>
      <w:r>
        <w:rPr>
          <w:rFonts w:ascii="Arial" w:cs="Arial" w:eastAsia="Arial" w:hAnsi="Arial"/>
          <w:sz w:val="17"/>
          <w:szCs w:val="17"/>
          <w:u w:val="single" w:color="auto"/>
          <w:color w:val="auto"/>
        </w:rPr>
        <w:t>Section 13.16</w:t>
      </w:r>
      <w:r>
        <w:rPr>
          <w:rFonts w:ascii="Arial" w:cs="Arial" w:eastAsia="Arial" w:hAnsi="Arial"/>
          <w:sz w:val="17"/>
          <w:szCs w:val="17"/>
          <w:color w:val="auto"/>
        </w:rPr>
        <w:t>, (d) to the extent that such Confidential Information is received by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Person from a third party that is not, to such Restricted Person’s knowledge, subject to confidentiality obligations owing to any Credit Party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of their respective subsidiaries or affiliates, (e) to the extent that such Confidential Information was already in the possession of the Restricted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any duty or other undertaking of confidentiality or is independently developed by the Restricted Persons without the use of such Confidential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(f) to such Restricted Person’s affiliates and to its and their respective officers, directors, partners, employees, legal counsel,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auditors, and other experts or agents who need to know such Confidential Information in connection with providing the Loans or action as an Agent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hereunder and who are informed of the confidential nature of such Confidential Information and who are subject to customary confidentiality obligations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professional practice or who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13.16</w:t>
      </w:r>
      <w:r>
        <w:rPr>
          <w:rFonts w:ascii="Arial" w:cs="Arial" w:eastAsia="Arial" w:hAnsi="Arial"/>
          <w:sz w:val="16"/>
          <w:szCs w:val="16"/>
          <w:color w:val="auto"/>
        </w:rPr>
        <w:t>) (with each such Restricted Person, to the extent within its control, responsible for such person’s compliance with this paragraph), (g)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or prospective Lenders, hedge providers, participants or assignees, in each case who agree (pursuant to customary syndication practice)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disclosure of any such Confidential Information to any Lenders, hedge providers or prospective Lenders, hedge providers or participants or prospective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participants referred to above shall be made subject to the acknowledgment and acceptance by such Lender, hedge provider or prospective Lender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 or prospective participant that such Confidential Information is being disseminated on a confidential basis (on substantially the terms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in accordance with the standard syndication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processes of such Restricted Person or customary market standards for dissemination of such type of information, which shall in any event require “click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or other affirmative actions on the part of recipient to access such Confidential Information and (ii) no such disclosure shall be made by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Restricted Person to any person that is at such time a Disqualified Lender, (h) for purposes of establishing a “due diligence” defense, or (i) to rating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agencies in connection with obtaining ratings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200" w:lineRule="exact"/>
        <w:rPr>
          <w:sz w:val="20"/>
          <w:szCs w:val="20"/>
          <w:color w:val="auto"/>
        </w:rPr>
      </w:pPr>
    </w:p>
    <w:p>
      <w:pPr>
        <w:spacing w:after="0" w:line="32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Borrower and the facilities described hereunder to the extent such rating agencies are subject to customary confidentiality obligations of professional practice or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Notwithstanding the foregoing, (i) Confidential Information shall not include, with respect to any Person, information available to it or its Affiliates on a non-confidential basis from a source other than Holdings, its Subsidiaries or their respective Affiliates, (ii) the Administrative Agent shall not be responsible for compliance with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by any other Restricted Person (other than its officers, directors or employees), (iii) in no event shall any Lender, the Administrative Agent or any other Agent be obligated or required to return any materials furnished by Holdings or any of its Subsidiaries, and</w:t>
      </w:r>
    </w:p>
    <w:p>
      <w:pPr>
        <w:spacing w:after="0" w:line="4" w:lineRule="exact"/>
        <w:rPr>
          <w:sz w:val="20"/>
          <w:szCs w:val="20"/>
          <w:color w:val="auto"/>
        </w:rPr>
      </w:pPr>
    </w:p>
    <w:p>
      <w:pPr>
        <w:ind w:right="120" w:firstLine="8"/>
        <w:spacing w:after="0" w:line="255" w:lineRule="auto"/>
        <w:tabs>
          <w:tab w:leader="none" w:pos="3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w:t>
      </w:r>
    </w:p>
    <w:p>
      <w:pPr>
        <w:spacing w:after="0" w:line="19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13.17 </w:t>
      </w:r>
      <w:r>
        <w:rPr>
          <w:rFonts w:ascii="Arial" w:cs="Arial" w:eastAsia="Arial" w:hAnsi="Arial"/>
          <w:sz w:val="16"/>
          <w:szCs w:val="16"/>
          <w:u w:val="single" w:color="auto"/>
          <w:color w:val="auto"/>
        </w:rPr>
        <w:t>Direct Website Communications</w:t>
      </w:r>
      <w:r>
        <w:rPr>
          <w:rFonts w:ascii="Arial" w:cs="Arial" w:eastAsia="Arial" w:hAnsi="Arial"/>
          <w:sz w:val="16"/>
          <w:szCs w:val="16"/>
          <w:color w:val="auto"/>
        </w:rPr>
        <w:t>. Each of Holdings and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upon written request by the Administrative Agent, Holdings or the Borrower shall deliver paper copies of such documents to the Administrative Agent for further distribution to each Lender until a written request to cease delivering paper copies is given by the Administrative Agent and (ii) Holdings or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6"/>
          <w:szCs w:val="16"/>
          <w:u w:val="single" w:color="auto"/>
          <w:color w:val="auto"/>
        </w:rPr>
        <w:t>Section 13.17</w:t>
      </w:r>
      <w:r>
        <w:rPr>
          <w:rFonts w:ascii="Arial" w:cs="Arial" w:eastAsia="Arial" w:hAnsi="Arial"/>
          <w:sz w:val="16"/>
          <w:szCs w:val="16"/>
          <w:color w:val="auto"/>
        </w:rPr>
        <w:t xml:space="preserve"> shall prejudice the right of Holdings, the Borrower, the Administrative Agent, any other Agent or any Lender to give any notice or other communication pursuant to any Credit Document in any other manner specified in such Credit Document.</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92" w:lineRule="exact"/>
        <w:rPr>
          <w:sz w:val="20"/>
          <w:szCs w:val="20"/>
          <w:color w:val="auto"/>
        </w:rPr>
      </w:pPr>
    </w:p>
    <w:p>
      <w:pPr>
        <w:ind w:right="340" w:firstLine="656"/>
        <w:spacing w:after="0" w:line="259" w:lineRule="auto"/>
        <w:tabs>
          <w:tab w:leader="none" w:pos="102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of Holdings and the Borrower further agrees that any Agent may make the Communications available to the Lenders by posting the Communications on Intralinks or a substantially similar electronic transmission system (the “</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so long as the access to such Platform (i) is limited to the Agents, the Lenders and Transferees or prospective Transferees and (ii) remains subject to the confidentiality requirements set forth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40" w:firstLine="656"/>
        <w:spacing w:after="0" w:line="277" w:lineRule="auto"/>
        <w:tabs>
          <w:tab w:leader="none" w:pos="103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PLATFORM IS PROVIDED “AS IS” AND “AS AVAILABLE.” THE AGENT PARTIES DO NOT WARRANT THE ACCURACY OR COMPLETENESS OF ANY MATERIALS 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p>
    <w:p>
      <w:pPr>
        <w:spacing w:after="0" w:line="3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PROVIDED BY THE CREDIT PARTIES (THE “</w:t>
      </w:r>
      <w:r>
        <w:rPr>
          <w:rFonts w:ascii="Arial" w:cs="Arial" w:eastAsia="Arial" w:hAnsi="Arial"/>
          <w:sz w:val="18"/>
          <w:szCs w:val="18"/>
          <w:b w:val="1"/>
          <w:bCs w:val="1"/>
          <w:color w:val="auto"/>
        </w:rPr>
        <w:t>BORROWER MATERIALS</w:t>
      </w:r>
      <w:r>
        <w:rPr>
          <w:rFonts w:ascii="Arial" w:cs="Arial" w:eastAsia="Arial" w:hAnsi="Arial"/>
          <w:sz w:val="18"/>
          <w:szCs w:val="18"/>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b w:val="1"/>
          <w:bCs w:val="1"/>
          <w:color w:val="auto"/>
        </w:rPr>
        <w:t>Agent Parties</w:t>
      </w:r>
      <w:r>
        <w:rPr>
          <w:rFonts w:ascii="Arial" w:cs="Arial" w:eastAsia="Arial" w:hAnsi="Arial"/>
          <w:sz w:val="18"/>
          <w:szCs w:val="18"/>
          <w:color w:val="auto"/>
        </w:rPr>
        <w:t>” and each an “</w:t>
      </w:r>
      <w:r>
        <w:rPr>
          <w:rFonts w:ascii="Arial" w:cs="Arial" w:eastAsia="Arial" w:hAnsi="Arial"/>
          <w:sz w:val="18"/>
          <w:szCs w:val="18"/>
          <w:b w:val="1"/>
          <w:bCs w:val="1"/>
          <w:color w:val="auto"/>
        </w:rPr>
        <w:t>Agent Party</w:t>
      </w:r>
      <w:r>
        <w:rPr>
          <w:rFonts w:ascii="Arial" w:cs="Arial" w:eastAsia="Arial" w:hAnsi="Arial"/>
          <w:sz w:val="18"/>
          <w:szCs w:val="18"/>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w:t>
      </w:r>
      <w:r>
        <w:rPr>
          <w:rFonts w:ascii="Arial" w:cs="Arial" w:eastAsia="Arial" w:hAnsi="Arial"/>
          <w:sz w:val="18"/>
          <w:szCs w:val="18"/>
          <w:u w:val="single" w:color="auto"/>
          <w:color w:val="0000FF"/>
        </w:rPr>
        <w:t>or notices through the Platform, any other electronic platform or electronic messaging service, or</w:t>
      </w:r>
      <w:r>
        <w:rPr>
          <w:rFonts w:ascii="Arial" w:cs="Arial" w:eastAsia="Arial" w:hAnsi="Arial"/>
          <w:sz w:val="18"/>
          <w:szCs w:val="18"/>
          <w:color w:val="auto"/>
        </w:rPr>
        <w:t xml:space="preserve">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spacing w:after="0" w:line="196" w:lineRule="exact"/>
        <w:rPr>
          <w:sz w:val="20"/>
          <w:szCs w:val="20"/>
          <w:color w:val="auto"/>
        </w:rPr>
      </w:pPr>
    </w:p>
    <w:p>
      <w:pPr>
        <w:ind w:firstLine="656"/>
        <w:spacing w:after="0" w:line="287" w:lineRule="auto"/>
        <w:tabs>
          <w:tab w:leader="none" w:pos="102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Each of Holdings and the Borrower and each Lender acknowledge that certain of the Lenders may be “public-side” Lenders (Lenders that do not wish to receive material non-public information with respect to Holdings, the Borrower, the Subsidiaries or their securities) and, if documents or notices required to be delivered pursuant to the Credit Documents or otherwise are being distributed through the Platform, any document or notice that Holdings or the Borrower has indicated contains only publicly available information with respect to Holdings or the Borrower may be posted on that portion of the Platform designated for such public-side Lenders. If Holdings or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Holdings, the Borrower, the Subsidiaries and their securities. Notwithstanding the foregoing, each of Holdings and the Borrower shall use commercially reasonable efforts to indicate whether any document or notice contains only publicly available information; provided however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17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each Credit Party that pursuant to the requirements of the USA Patriot Act (Title III of Pub. L.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8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13.20 </w:t>
      </w:r>
      <w:r>
        <w:rPr>
          <w:rFonts w:ascii="Arial" w:cs="Arial" w:eastAsia="Arial" w:hAnsi="Arial"/>
          <w:sz w:val="17"/>
          <w:szCs w:val="17"/>
          <w:u w:val="single" w:color="auto"/>
          <w:color w:val="auto"/>
        </w:rPr>
        <w:t>Payments Set Aside</w:t>
      </w:r>
      <w:r>
        <w:rPr>
          <w:rFonts w:ascii="Arial" w:cs="Arial" w:eastAsia="Arial" w:hAnsi="Arial"/>
          <w:sz w:val="17"/>
          <w:szCs w:val="17"/>
          <w:color w:val="auto"/>
        </w:rPr>
        <w:t>. To the extent that any payment by or on behalf of Holdings or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178"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 xml:space="preserve">13.21 </w:t>
      </w:r>
      <w:r>
        <w:rPr>
          <w:rFonts w:ascii="Arial" w:cs="Arial" w:eastAsia="Arial" w:hAnsi="Arial"/>
          <w:sz w:val="18"/>
          <w:szCs w:val="18"/>
          <w:u w:val="single" w:color="auto"/>
          <w:color w:val="auto"/>
        </w:rPr>
        <w:t>No Fiduciary Duty</w:t>
      </w:r>
      <w:r>
        <w:rPr>
          <w:rFonts w:ascii="Arial" w:cs="Arial" w:eastAsia="Arial" w:hAnsi="Arial"/>
          <w:sz w:val="18"/>
          <w:szCs w:val="18"/>
          <w:color w:val="auto"/>
        </w:rPr>
        <w:t>. Each Agent, each Syndication Agent, each Documentation Agent, each Joint Lead Arranger and Bookrunner, each Letter of Credit Issuer, each Lender and their Affiliates (collectively, the “</w:t>
      </w:r>
      <w:r>
        <w:rPr>
          <w:rFonts w:ascii="Arial" w:cs="Arial" w:eastAsia="Arial" w:hAnsi="Arial"/>
          <w:sz w:val="18"/>
          <w:szCs w:val="18"/>
          <w:b w:val="1"/>
          <w:bCs w:val="1"/>
          <w:color w:val="auto"/>
        </w:rPr>
        <w:t>Lender Parties</w:t>
      </w:r>
      <w:r>
        <w:rPr>
          <w:rFonts w:ascii="Arial" w:cs="Arial" w:eastAsia="Arial" w:hAnsi="Arial"/>
          <w:sz w:val="18"/>
          <w:szCs w:val="18"/>
          <w:color w:val="auto"/>
        </w:rPr>
        <w:t>”), may have economic interests that conflict with those of the Credit Parties, their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p>
    <w:p>
      <w:pPr>
        <w:spacing w:after="0" w:line="32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and/or their affiliates. Each Credit Party agrees that nothing in the Credit Documents or otherwise will be deemed to create an advisory, fiduciary or agency relationship or fiduciary or other implied duty between any Lender Party,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 Parties, on the one hand, and the Credit Parties, on the other, and (ii) in connection therewith and with the process leading thereto, (x) no Lender Party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Party has advised, is currently advising or will advise any Credit Party, its stockholders or its Affiliates on other matters) or any other obligation to any Credit Party except the obligations expressly set forth in the Credit Documents and (y) each Lender Party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Party has rendered advisory services of any nature or respect, or owes a fiduciary or similar duty to such Credit Party, in connection with such transaction or the process leading thereto.</w:t>
      </w:r>
    </w:p>
    <w:p>
      <w:pPr>
        <w:spacing w:after="0" w:line="186"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 xml:space="preserve">13.22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Solely to the extent any Lender that is an EEA Financial Institution is a party to this Agreement and notwithstanding anything to the contrary in any Credit Document or in any other agreement, arrangement or understanding among any such parties, each party hereto acknowledges that any liability of any Lender that is an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76" w:lineRule="exact"/>
        <w:rPr>
          <w:sz w:val="20"/>
          <w:szCs w:val="20"/>
          <w:color w:val="auto"/>
        </w:rPr>
      </w:pPr>
    </w:p>
    <w:p>
      <w:pPr>
        <w:ind w:left="660" w:right="320" w:firstLine="644"/>
        <w:spacing w:after="0" w:line="277" w:lineRule="auto"/>
        <w:tabs>
          <w:tab w:leader="none" w:pos="168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560" w:hanging="349"/>
        <w:spacing w:after="0"/>
        <w:tabs>
          <w:tab w:leader="none" w:pos="25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360" w:firstLine="911"/>
        <w:spacing w:after="0" w:line="259" w:lineRule="auto"/>
        <w:tabs>
          <w:tab w:leader="none" w:pos="260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6" w:lineRule="exact"/>
        <w:rPr>
          <w:rFonts w:ascii="Arial" w:cs="Arial" w:eastAsia="Arial" w:hAnsi="Arial"/>
          <w:sz w:val="18"/>
          <w:szCs w:val="18"/>
          <w:color w:val="auto"/>
        </w:rPr>
      </w:pPr>
    </w:p>
    <w:p>
      <w:pPr>
        <w:ind w:left="1300" w:right="180" w:firstLine="911"/>
        <w:spacing w:after="0" w:line="277" w:lineRule="auto"/>
        <w:tabs>
          <w:tab w:leader="none" w:pos="265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Credit Documents provide support, through a guarantee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otherwise, for any swap contract or any other agreement or instrument that is a QFC (such support, “</w:t>
      </w:r>
      <w:r>
        <w:rPr>
          <w:rFonts w:ascii="Arial" w:cs="Arial" w:eastAsia="Arial" w:hAnsi="Arial"/>
          <w:sz w:val="17"/>
          <w:szCs w:val="17"/>
          <w:b w:val="1"/>
          <w:bCs w:val="1"/>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Federal Deposit Insurance Act and Title II of the Dodd-Frank Wall Street Reform and Consumer Protection Act (together with the regulations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b w:val="1"/>
          <w:bCs w:val="1"/>
          <w:color w:val="auto"/>
        </w:rPr>
        <w:t>U.S.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notwithstanding that the Credit Documents and any Supported QFC may in fact be stated to be governed by the laws of the State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200" w:lineRule="exact"/>
        <w:rPr>
          <w:sz w:val="20"/>
          <w:szCs w:val="20"/>
          <w:color w:val="auto"/>
        </w:rPr>
      </w:pPr>
    </w:p>
    <w:p>
      <w:pPr>
        <w:spacing w:after="0" w:line="318" w:lineRule="exact"/>
        <w:rPr>
          <w:sz w:val="20"/>
          <w:szCs w:val="20"/>
          <w:color w:val="auto"/>
        </w:rPr>
      </w:pPr>
    </w:p>
    <w:p>
      <w:pPr>
        <w:ind w:left="-460" w:firstLine="644"/>
        <w:spacing w:after="0" w:line="269" w:lineRule="auto"/>
        <w:tabs>
          <w:tab w:leader="none" w:pos="56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b w:val="1"/>
          <w:bCs w:val="1"/>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rFonts w:ascii="Arial" w:cs="Arial" w:eastAsia="Arial" w:hAnsi="Arial"/>
          <w:sz w:val="17"/>
          <w:szCs w:val="17"/>
          <w:color w:val="auto"/>
        </w:rPr>
      </w:pPr>
    </w:p>
    <w:p>
      <w:pPr>
        <w:ind w:left="560" w:hanging="376"/>
        <w:spacing w:after="0"/>
        <w:tabs>
          <w:tab w:leader="none" w:pos="5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13.23</w:t>
      </w:r>
      <w:r>
        <w:rPr>
          <w:rFonts w:ascii="Arial" w:cs="Arial" w:eastAsia="Arial" w:hAnsi="Arial"/>
          <w:sz w:val="18"/>
          <w:szCs w:val="18"/>
          <w:color w:val="auto"/>
        </w:rPr>
        <w:t>, the following terms have the following meanings:</w:t>
      </w:r>
    </w:p>
    <w:p>
      <w:pPr>
        <w:spacing w:after="0" w:line="221" w:lineRule="exact"/>
        <w:rPr>
          <w:sz w:val="20"/>
          <w:szCs w:val="20"/>
          <w:color w:val="auto"/>
        </w:rPr>
      </w:pPr>
    </w:p>
    <w:p>
      <w:pPr>
        <w:ind w:left="180"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jc w:val="both"/>
        <w:ind w:left="180" w:right="2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58" w:lineRule="exact"/>
        <w:rPr>
          <w:sz w:val="20"/>
          <w:szCs w:val="20"/>
          <w:color w:val="auto"/>
        </w:rPr>
      </w:pPr>
    </w:p>
    <w:p>
      <w:pPr>
        <w:ind w:lef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180"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6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intentionally omitted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-163-</w:t>
      </w:r>
    </w:p>
    <w:sectPr>
      <w:pgSz w:w="11900" w:h="16838" w:orient="portrait"/>
      <w:cols w:equalWidth="0" w:num="1">
        <w:col w:w="10100"/>
      </w:cols>
      <w:pgMar w:left="14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1)"/>
      <w:numFmt w:val="lowerLetter"/>
      <w:start w:val="4"/>
    </w:lvl>
  </w:abstractNum>
  <w:abstractNum w:abstractNumId="2">
    <w:nsid w:val="1D545C4D"/>
    <w:multiLevelType w:val="hybridMultilevel"/>
    <w:lvl w:ilvl="0">
      <w:lvlJc w:val="left"/>
      <w:lvlText w:val="%1."/>
      <w:numFmt w:val="decimal"/>
      <w:start w:val="1"/>
    </w:lvl>
  </w:abstractNum>
  <w:abstractNum w:abstractNumId="3">
    <w:nsid w:val="59ADEA3D"/>
    <w:multiLevelType w:val="hybridMultilevel"/>
    <w:lvl w:ilvl="0">
      <w:lvlJc w:val="left"/>
      <w:lvlText w:val="%1."/>
      <w:numFmt w:val="decimal"/>
      <w:start w:val="1"/>
    </w:lvl>
    <w:lvl w:ilvl="1">
      <w:lvlJc w:val="left"/>
      <w:lvlText w:val="%2"/>
      <w:numFmt w:val="lowerLetter"/>
      <w:start w:val="1"/>
    </w:lvl>
  </w:abstractNum>
  <w:abstractNum w:abstractNumId="4">
    <w:nsid w:val="288F1A34"/>
    <w:multiLevelType w:val="hybridMultilevel"/>
    <w:lvl w:ilvl="0">
      <w:lvlJc w:val="left"/>
      <w:lvlText w:val="%1"/>
      <w:numFmt w:val="decimal"/>
      <w:start w:val="1"/>
    </w:lvl>
    <w:lvl w:ilvl="1">
      <w:lvlJc w:val="left"/>
      <w:lvlText w:val="%2."/>
      <w:numFmt w:val="lowerLetter"/>
      <w:start w:val="2"/>
    </w:lvl>
  </w:abstractNum>
  <w:abstractNum w:abstractNumId="5">
    <w:nsid w:val="2A155DBC"/>
    <w:multiLevelType w:val="hybridMultilevel"/>
    <w:lvl w:ilvl="0">
      <w:lvlJc w:val="left"/>
      <w:lvlText w:val="%1."/>
      <w:numFmt w:val="decimal"/>
      <w:start w:val="1"/>
    </w:lvl>
    <w:lvl w:ilvl="1">
      <w:lvlJc w:val="left"/>
      <w:lvlText w:val="%2."/>
      <w:numFmt w:val="lowerLetter"/>
      <w:start w:val="1"/>
    </w:lvl>
  </w:abstractNum>
  <w:abstractNum w:abstractNumId="6">
    <w:nsid w:val="1D9F6E5F"/>
    <w:multiLevelType w:val="hybridMultilevel"/>
    <w:lvl w:ilvl="0">
      <w:lvlJc w:val="left"/>
      <w:lvlText w:val="%1"/>
      <w:numFmt w:val="decimal"/>
      <w:start w:val="1"/>
    </w:lvl>
    <w:lvl w:ilvl="1">
      <w:lvlJc w:val="left"/>
      <w:lvlText w:val="%2."/>
      <w:numFmt w:val="lowerLetter"/>
      <w:start w:val="5"/>
    </w:lvl>
  </w:abstractNum>
  <w:abstractNum w:abstractNumId="7">
    <w:nsid w:val="97E1B4E"/>
    <w:multiLevelType w:val="hybridMultilevel"/>
    <w:lvl w:ilvl="0">
      <w:lvlJc w:val="left"/>
      <w:lvlText w:val="%1."/>
      <w:numFmt w:val="decimal"/>
      <w:start w:val="3"/>
    </w:lvl>
    <w:lvl w:ilvl="1">
      <w:lvlJc w:val="left"/>
      <w:lvlText w:val="%2"/>
      <w:numFmt w:val="lowerLetter"/>
      <w:start w:val="1"/>
    </w:lvl>
  </w:abstractNum>
  <w:abstractNum w:abstractNumId="8">
    <w:nsid w:val="51088277"/>
    <w:multiLevelType w:val="hybridMultilevel"/>
    <w:lvl w:ilvl="0">
      <w:lvlJc w:val="left"/>
      <w:lvlText w:val="%1."/>
      <w:numFmt w:val="decimal"/>
      <w:start w:val="7"/>
    </w:lvl>
  </w:abstractNum>
  <w:abstractNum w:abstractNumId="9">
    <w:nsid w:val="1CA0C5FA"/>
    <w:multiLevelType w:val="hybridMultilevel"/>
    <w:lvl w:ilvl="0">
      <w:lvlJc w:val="left"/>
      <w:lvlText w:val="%1"/>
      <w:numFmt w:val="decimal"/>
      <w:start w:val="1"/>
    </w:lvl>
    <w:lvl w:ilvl="1">
      <w:lvlJc w:val="left"/>
      <w:lvlText w:val="(%2)"/>
      <w:numFmt w:val="lowerLetter"/>
      <w:start w:val="1"/>
    </w:lvl>
  </w:abstractNum>
  <w:abstractNum w:abstractNumId="10">
    <w:nsid w:val="53584BCB"/>
    <w:multiLevelType w:val="hybridMultilevel"/>
    <w:lvl w:ilvl="0">
      <w:lvlJc w:val="left"/>
      <w:lvlText w:val="(%1)"/>
      <w:numFmt w:val="decimal"/>
      <w:start w:val="4"/>
    </w:lvl>
    <w:lvl w:ilvl="1">
      <w:lvlJc w:val="left"/>
      <w:lvlText w:val="(%2)"/>
      <w:numFmt w:val="lowerLetter"/>
      <w:start w:val="2"/>
    </w:lvl>
  </w:abstractNum>
  <w:abstractNum w:abstractNumId="11">
    <w:nsid w:val="415E286C"/>
    <w:multiLevelType w:val="hybridMultilevel"/>
    <w:lvl w:ilvl="0">
      <w:lvlJc w:val="left"/>
      <w:lvlText w:val="(%1)"/>
      <w:numFmt w:val="lowerRoman"/>
      <w:start w:val="1"/>
    </w:lvl>
    <w:lvl w:ilvl="1">
      <w:lvlJc w:val="left"/>
      <w:lvlText w:val="(%2)"/>
      <w:numFmt w:val="lowerLetter"/>
      <w:start w:val="1"/>
    </w:lvl>
  </w:abstractNum>
  <w:abstractNum w:abstractNumId="12">
    <w:nsid w:val="7C58FD05"/>
    <w:multiLevelType w:val="hybridMultilevel"/>
    <w:lvl w:ilvl="0">
      <w:lvlJc w:val="left"/>
      <w:lvlText w:val="(%1)"/>
      <w:numFmt w:val="lowerLetter"/>
      <w:start w:val="9"/>
    </w:lvl>
  </w:abstractNum>
  <w:abstractNum w:abstractNumId="13">
    <w:nsid w:val="23D86AAC"/>
    <w:multiLevelType w:val="hybridMultilevel"/>
    <w:lvl w:ilvl="0">
      <w:lvlJc w:val="left"/>
      <w:lvlText w:val="(%1)"/>
      <w:numFmt w:val="lowerLetter"/>
      <w:start w:val="23"/>
    </w:lvl>
  </w:abstractNum>
  <w:abstractNum w:abstractNumId="14">
    <w:nsid w:val="45E6D486"/>
    <w:multiLevelType w:val="hybridMultilevel"/>
    <w:lvl w:ilvl="0">
      <w:lvlJc w:val="left"/>
      <w:lvlText w:val="(%1)"/>
      <w:numFmt w:val="decimal"/>
      <w:start w:val="2"/>
    </w:lvl>
  </w:abstractNum>
  <w:abstractNum w:abstractNumId="15">
    <w:nsid w:val="5C10FE21"/>
    <w:multiLevelType w:val="hybridMultilevel"/>
    <w:lvl w:ilvl="0">
      <w:lvlJc w:val="left"/>
      <w:lvlText w:val="(%1)"/>
      <w:numFmt w:val="lowerRoman"/>
      <w:start w:val="1"/>
    </w:lvl>
  </w:abstractNum>
  <w:abstractNum w:abstractNumId="16">
    <w:nsid w:val="E7FFA2B"/>
    <w:multiLevelType w:val="hybridMultilevel"/>
    <w:lvl w:ilvl="0">
      <w:lvlJc w:val="left"/>
      <w:lvlText w:val="(%1)"/>
      <w:numFmt w:val="lowerRoman"/>
      <w:start w:val="7"/>
    </w:lvl>
  </w:abstractNum>
  <w:abstractNum w:abstractNumId="17">
    <w:nsid w:val="3C5991AA"/>
    <w:multiLevelType w:val="hybridMultilevel"/>
    <w:lvl w:ilvl="0">
      <w:lvlJc w:val="left"/>
      <w:lvlText w:val="(%1)"/>
      <w:numFmt w:val="lowerLetter"/>
      <w:start w:val="9"/>
    </w:lvl>
    <w:lvl w:ilvl="1">
      <w:lvlJc w:val="left"/>
      <w:lvlText w:val="(%2)"/>
      <w:numFmt w:val="lowerLetter"/>
      <w:start w:val="1"/>
    </w:lvl>
  </w:abstractNum>
  <w:abstractNum w:abstractNumId="18">
    <w:nsid w:val="4BD8591A"/>
    <w:multiLevelType w:val="hybridMultilevel"/>
    <w:lvl w:ilvl="0">
      <w:lvlJc w:val="left"/>
      <w:lvlText w:val="(%1)"/>
      <w:numFmt w:val="lowerLetter"/>
      <w:start w:val="4"/>
    </w:lvl>
  </w:abstractNum>
  <w:abstractNum w:abstractNumId="19">
    <w:nsid w:val="78DF6A55"/>
    <w:multiLevelType w:val="hybridMultilevel"/>
    <w:lvl w:ilvl="0">
      <w:lvlJc w:val="left"/>
      <w:lvlText w:val="(%1)"/>
      <w:numFmt w:val="lowerLetter"/>
      <w:start w:val="12"/>
    </w:lvl>
  </w:abstractNum>
  <w:abstractNum w:abstractNumId="20">
    <w:nsid w:val="39B7AAA2"/>
    <w:multiLevelType w:val="hybridMultilevel"/>
    <w:lvl w:ilvl="0">
      <w:lvlJc w:val="left"/>
      <w:lvlText w:val="%1"/>
      <w:numFmt w:val="lowerLetter"/>
      <w:start w:val="1"/>
    </w:lvl>
    <w:lvl w:ilvl="1">
      <w:lvlJc w:val="left"/>
      <w:lvlText w:val="(%2)"/>
      <w:numFmt w:val="lowerLetter"/>
      <w:start w:val="20"/>
    </w:lvl>
  </w:abstractNum>
  <w:abstractNum w:abstractNumId="21">
    <w:nsid w:val="2B0D8DBE"/>
    <w:multiLevelType w:val="hybridMultilevel"/>
    <w:lvl w:ilvl="0">
      <w:lvlJc w:val="left"/>
      <w:lvlText w:val="(%1)"/>
      <w:numFmt w:val="lowerLetter"/>
      <w:start w:val="35"/>
    </w:lvl>
    <w:lvl w:ilvl="1">
      <w:lvlJc w:val="left"/>
      <w:lvlText w:val="(%2)"/>
      <w:numFmt w:val="lowerLetter"/>
      <w:start w:val="1"/>
    </w:lvl>
  </w:abstractNum>
  <w:abstractNum w:abstractNumId="22">
    <w:nsid w:val="6C80EC70"/>
    <w:multiLevelType w:val="hybridMultilevel"/>
    <w:lvl w:ilvl="0">
      <w:lvlJc w:val="left"/>
      <w:lvlText w:val="(%1)"/>
      <w:numFmt w:val="lowerLetter"/>
      <w:start w:val="61"/>
    </w:lvl>
    <w:lvl w:ilvl="1">
      <w:lvlJc w:val="left"/>
      <w:lvlText w:val="(%2)"/>
      <w:numFmt w:val="lowerLetter"/>
      <w:start w:val="1"/>
    </w:lvl>
  </w:abstractNum>
  <w:abstractNum w:abstractNumId="23">
    <w:nsid w:val="379E21B5"/>
    <w:multiLevelType w:val="hybridMultilevel"/>
    <w:lvl w:ilvl="0">
      <w:lvlJc w:val="left"/>
      <w:lvlText w:val="(%1)"/>
      <w:numFmt w:val="lowerRoman"/>
      <w:start w:val="1"/>
    </w:lvl>
  </w:abstractNum>
  <w:abstractNum w:abstractNumId="24">
    <w:nsid w:val="69E373"/>
    <w:multiLevelType w:val="hybridMultilevel"/>
    <w:lvl w:ilvl="0">
      <w:lvlJc w:val="left"/>
      <w:lvlText w:val="(%1)"/>
      <w:numFmt w:val="lowerRoman"/>
      <w:start w:val="3"/>
    </w:lvl>
  </w:abstractNum>
  <w:abstractNum w:abstractNumId="25">
    <w:nsid w:val="2C27173B"/>
    <w:multiLevelType w:val="hybridMultilevel"/>
    <w:lvl w:ilvl="0">
      <w:lvlJc w:val="left"/>
      <w:lvlText w:val="(%1)"/>
      <w:numFmt w:val="lowerRoman"/>
      <w:start w:val="1"/>
    </w:lvl>
  </w:abstractNum>
  <w:abstractNum w:abstractNumId="26">
    <w:nsid w:val="4C9B0904"/>
    <w:multiLevelType w:val="hybridMultilevel"/>
    <w:lvl w:ilvl="0">
      <w:lvlJc w:val="left"/>
      <w:lvlText w:val="(%1)"/>
      <w:numFmt w:val="lowerRoman"/>
      <w:start w:val="1"/>
    </w:lvl>
  </w:abstractNum>
  <w:abstractNum w:abstractNumId="27">
    <w:nsid w:val="6AA7B75C"/>
    <w:multiLevelType w:val="hybridMultilevel"/>
    <w:lvl w:ilvl="0">
      <w:lvlJc w:val="left"/>
      <w:lvlText w:val="(%1)"/>
      <w:numFmt w:val="lowerRoman"/>
      <w:start w:val="7"/>
    </w:lvl>
  </w:abstractNum>
  <w:abstractNum w:abstractNumId="28">
    <w:nsid w:val="1DF029D3"/>
    <w:multiLevelType w:val="hybridMultilevel"/>
    <w:lvl w:ilvl="0">
      <w:lvlJc w:val="left"/>
      <w:lvlText w:val="(%1)"/>
      <w:numFmt w:val="lowerRoman"/>
      <w:start w:val="14"/>
    </w:lvl>
  </w:abstractNum>
  <w:abstractNum w:abstractNumId="29">
    <w:nsid w:val="5675FF36"/>
    <w:multiLevelType w:val="hybridMultilevel"/>
    <w:lvl w:ilvl="0">
      <w:lvlJc w:val="left"/>
      <w:lvlText w:val="(%1)"/>
      <w:numFmt w:val="lowerRoman"/>
      <w:start w:val="17"/>
    </w:lvl>
  </w:abstractNum>
  <w:abstractNum w:abstractNumId="30">
    <w:nsid w:val="3DD15094"/>
    <w:multiLevelType w:val="hybridMultilevel"/>
    <w:lvl w:ilvl="0">
      <w:lvlJc w:val="left"/>
      <w:lvlText w:val="(%1)"/>
      <w:numFmt w:val="lowerLetter"/>
      <w:start w:val="2"/>
    </w:lvl>
  </w:abstractNum>
  <w:abstractNum w:abstractNumId="31">
    <w:nsid w:val="3DB012B3"/>
    <w:multiLevelType w:val="hybridMultilevel"/>
    <w:lvl w:ilvl="0">
      <w:lvlJc w:val="left"/>
      <w:lvlText w:val="(%1)"/>
      <w:numFmt w:val="lowerRoman"/>
      <w:start w:val="1"/>
    </w:lvl>
  </w:abstractNum>
  <w:abstractNum w:abstractNumId="32">
    <w:nsid w:val="2708C9AF"/>
    <w:multiLevelType w:val="hybridMultilevel"/>
    <w:lvl w:ilvl="0">
      <w:lvlJc w:val="left"/>
      <w:lvlText w:val="(%1)"/>
      <w:numFmt w:val="lowerLetter"/>
      <w:start w:val="1"/>
    </w:lvl>
  </w:abstractNum>
  <w:abstractNum w:abstractNumId="33">
    <w:nsid w:val="5B25ACE2"/>
    <w:multiLevelType w:val="hybridMultilevel"/>
    <w:lvl w:ilvl="0">
      <w:lvlJc w:val="left"/>
      <w:lvlText w:val="(%1)"/>
      <w:numFmt w:val="lowerLetter"/>
      <w:start w:val="25"/>
    </w:lvl>
  </w:abstractNum>
  <w:abstractNum w:abstractNumId="34">
    <w:nsid w:val="175DFCF0"/>
    <w:multiLevelType w:val="hybridMultilevel"/>
    <w:lvl w:ilvl="0">
      <w:lvlJc w:val="left"/>
      <w:lvlText w:val="(%1)"/>
      <w:numFmt w:val="lowerLetter"/>
      <w:start w:val="22"/>
    </w:lvl>
  </w:abstractNum>
  <w:abstractNum w:abstractNumId="35">
    <w:nsid w:val="4F97E3E4"/>
    <w:multiLevelType w:val="hybridMultilevel"/>
    <w:lvl w:ilvl="0">
      <w:lvlJc w:val="left"/>
      <w:lvlText w:val="(%1)"/>
      <w:numFmt w:val="lowerRoman"/>
      <w:start w:val="1"/>
    </w:lvl>
  </w:abstractNum>
  <w:abstractNum w:abstractNumId="36">
    <w:nsid w:val="53B0A9E"/>
    <w:multiLevelType w:val="hybridMultilevel"/>
    <w:lvl w:ilvl="0">
      <w:lvlJc w:val="left"/>
      <w:lvlText w:val="(%1)"/>
      <w:numFmt w:val="lowerRoman"/>
      <w:start w:val="3"/>
    </w:lvl>
  </w:abstractNum>
  <w:abstractNum w:abstractNumId="37">
    <w:nsid w:val="34FD6B4F"/>
    <w:multiLevelType w:val="hybridMultilevel"/>
    <w:lvl w:ilvl="0">
      <w:lvlJc w:val="left"/>
      <w:lvlText w:val="(%1)"/>
      <w:numFmt w:val="lowerRoman"/>
      <w:start w:val="1"/>
    </w:lvl>
  </w:abstractNum>
  <w:abstractNum w:abstractNumId="38">
    <w:nsid w:val="5915FF32"/>
    <w:multiLevelType w:val="hybridMultilevel"/>
    <w:lvl w:ilvl="0">
      <w:lvlJc w:val="left"/>
      <w:lvlText w:val="(%1)"/>
      <w:numFmt w:val="lowerRoman"/>
      <w:start w:val="1"/>
    </w:lvl>
  </w:abstractNum>
  <w:abstractNum w:abstractNumId="39">
    <w:nsid w:val="56438D15"/>
    <w:multiLevelType w:val="hybridMultilevel"/>
    <w:lvl w:ilvl="0">
      <w:lvlJc w:val="left"/>
      <w:lvlText w:val="(%1)"/>
      <w:numFmt w:val="lowerRoman"/>
      <w:start w:val="1"/>
    </w:lvl>
  </w:abstractNum>
  <w:abstractNum w:abstractNumId="40">
    <w:nsid w:val="519E3149"/>
    <w:multiLevelType w:val="hybridMultilevel"/>
    <w:lvl w:ilvl="0">
      <w:lvlJc w:val="left"/>
      <w:lvlText w:val=";"/>
      <w:numFmt w:val="bullet"/>
      <w:start w:val="1"/>
    </w:lvl>
  </w:abstractNum>
  <w:abstractNum w:abstractNumId="41">
    <w:nsid w:val="2C6E4AFD"/>
    <w:multiLevelType w:val="hybridMultilevel"/>
    <w:lvl w:ilvl="0">
      <w:lvlJc w:val="left"/>
      <w:lvlText w:val="(%1)"/>
      <w:numFmt w:val="lowerLetter"/>
      <w:start w:val="1"/>
    </w:lvl>
  </w:abstractNum>
  <w:abstractNum w:abstractNumId="42">
    <w:nsid w:val="17A1B582"/>
    <w:multiLevelType w:val="hybridMultilevel"/>
    <w:lvl w:ilvl="0">
      <w:lvlJc w:val="left"/>
      <w:lvlText w:val="(%1)"/>
      <w:numFmt w:val="lowerLetter"/>
      <w:start w:val="2"/>
    </w:lvl>
  </w:abstractNum>
  <w:abstractNum w:abstractNumId="43">
    <w:nsid w:val="4DF72E4E"/>
    <w:multiLevelType w:val="hybridMultilevel"/>
    <w:lvl w:ilvl="0">
      <w:lvlJc w:val="left"/>
      <w:lvlText w:val="(%1)"/>
      <w:numFmt w:val="lowerRoman"/>
      <w:start w:val="1"/>
    </w:lvl>
  </w:abstractNum>
  <w:abstractNum w:abstractNumId="44">
    <w:nsid w:val="5046B5A9"/>
    <w:multiLevelType w:val="hybridMultilevel"/>
    <w:lvl w:ilvl="0">
      <w:lvlJc w:val="left"/>
      <w:lvlText w:val="(%1)"/>
      <w:numFmt w:val="lowerRoman"/>
      <w:start w:val="8"/>
    </w:lvl>
    <w:lvl w:ilvl="1">
      <w:lvlJc w:val="left"/>
      <w:lvlText w:val="(%2)"/>
      <w:numFmt w:val="lowerRoman"/>
      <w:start w:val="2"/>
    </w:lvl>
    <w:lvl w:ilvl="2">
      <w:lvlJc w:val="left"/>
      <w:lvlText w:val="(%3)"/>
      <w:numFmt w:val="lowerRoman"/>
      <w:start w:val="9"/>
    </w:lvl>
  </w:abstractNum>
  <w:abstractNum w:abstractNumId="45">
    <w:nsid w:val="5D888A0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0"/>
    </w:lvl>
  </w:abstractNum>
  <w:abstractNum w:abstractNumId="46">
    <w:nsid w:val="2A082C70"/>
    <w:multiLevelType w:val="hybridMultilevel"/>
    <w:lvl w:ilvl="0">
      <w:lvlJc w:val="left"/>
      <w:lvlText w:val="(%1)"/>
      <w:numFmt w:val="lowerRoman"/>
      <w:start w:val="18"/>
    </w:lvl>
    <w:lvl w:ilvl="1">
      <w:lvlJc w:val="left"/>
      <w:lvlText w:val="(%2)"/>
      <w:numFmt w:val="lowerRoman"/>
      <w:start w:val="23"/>
    </w:lvl>
  </w:abstractNum>
  <w:abstractNum w:abstractNumId="47">
    <w:nsid w:val="5EC6AFD4"/>
    <w:multiLevelType w:val="hybridMultilevel"/>
    <w:lvl w:ilvl="0">
      <w:lvlJc w:val="left"/>
      <w:lvlText w:val="(%1)"/>
      <w:numFmt w:val="lowerRoman"/>
      <w:start w:val="1"/>
    </w:lvl>
  </w:abstractNum>
  <w:abstractNum w:abstractNumId="48">
    <w:nsid w:val="19E21BB2"/>
    <w:multiLevelType w:val="hybridMultilevel"/>
    <w:lvl w:ilvl="0">
      <w:lvlJc w:val="left"/>
      <w:lvlText w:val="%1"/>
      <w:numFmt w:val="lowerLetter"/>
      <w:start w:val="1"/>
    </w:lvl>
    <w:lvl w:ilvl="1">
      <w:lvlJc w:val="left"/>
      <w:lvlText w:val="(%2)"/>
      <w:numFmt w:val="lowerRoman"/>
      <w:start w:val="4"/>
    </w:lvl>
  </w:abstractNum>
  <w:abstractNum w:abstractNumId="49">
    <w:nsid w:val="75E0858A"/>
    <w:multiLevelType w:val="hybridMultilevel"/>
    <w:lvl w:ilvl="0">
      <w:lvlJc w:val="left"/>
      <w:lvlText w:val="(%1)"/>
      <w:numFmt w:val="lowerLetter"/>
      <w:start w:val="1"/>
    </w:lvl>
    <w:lvl w:ilvl="1">
      <w:lvlJc w:val="left"/>
      <w:lvlText w:val="(%2)"/>
      <w:numFmt w:val="lowerRoman"/>
      <w:start w:val="7"/>
    </w:lvl>
  </w:abstractNum>
  <w:abstractNum w:abstractNumId="50">
    <w:nsid w:val="57A61A29"/>
    <w:multiLevelType w:val="hybridMultilevel"/>
    <w:lvl w:ilvl="0">
      <w:lvlJc w:val="left"/>
      <w:lvlText w:val="(%1)"/>
      <w:numFmt w:val="lowerRoman"/>
      <w:start w:val="8"/>
    </w:lvl>
  </w:abstractNum>
  <w:abstractNum w:abstractNumId="51">
    <w:nsid w:val="5399C654"/>
    <w:multiLevelType w:val="hybridMultilevel"/>
    <w:lvl w:ilvl="0">
      <w:lvlJc w:val="left"/>
      <w:lvlText w:val="(%1)"/>
      <w:numFmt w:val="lowerRoman"/>
      <w:start w:val="18"/>
    </w:lvl>
  </w:abstractNum>
  <w:abstractNum w:abstractNumId="52">
    <w:nsid w:val="20EE1348"/>
    <w:multiLevelType w:val="hybridMultilevel"/>
    <w:lvl w:ilvl="0">
      <w:lvlJc w:val="left"/>
      <w:lvlText w:val="(%1)"/>
      <w:numFmt w:val="lowerRoman"/>
      <w:start w:val="28"/>
    </w:lvl>
  </w:abstractNum>
  <w:abstractNum w:abstractNumId="53">
    <w:nsid w:val="4427069A"/>
    <w:multiLevelType w:val="hybridMultilevel"/>
    <w:lvl w:ilvl="0">
      <w:lvlJc w:val="left"/>
      <w:lvlText w:val="(%1)"/>
      <w:numFmt w:val="lowerLetter"/>
      <w:start w:val="1"/>
    </w:lvl>
  </w:abstractNum>
  <w:abstractNum w:abstractNumId="54">
    <w:nsid w:val="B37E80A"/>
    <w:multiLevelType w:val="hybridMultilevel"/>
    <w:lvl w:ilvl="0">
      <w:lvlJc w:val="left"/>
      <w:lvlText w:val="(%1)"/>
      <w:numFmt w:val="lowerLetter"/>
      <w:start w:val="1"/>
    </w:lvl>
  </w:abstractNum>
  <w:abstractNum w:abstractNumId="55">
    <w:nsid w:val="2157F6BC"/>
    <w:multiLevelType w:val="hybridMultilevel"/>
    <w:lvl w:ilvl="0">
      <w:lvlJc w:val="left"/>
      <w:lvlText w:val="(%1)"/>
      <w:numFmt w:val="lowerLetter"/>
      <w:start w:val="1"/>
    </w:lvl>
  </w:abstractNum>
  <w:abstractNum w:abstractNumId="56">
    <w:nsid w:val="704E1DD5"/>
    <w:multiLevelType w:val="hybridMultilevel"/>
    <w:lvl w:ilvl="0">
      <w:lvlJc w:val="left"/>
      <w:lvlText w:val="(%1)"/>
      <w:numFmt w:val="lowerRoman"/>
      <w:start w:val="1"/>
    </w:lvl>
  </w:abstractNum>
  <w:abstractNum w:abstractNumId="57">
    <w:nsid w:val="57D2F10E"/>
    <w:multiLevelType w:val="hybridMultilevel"/>
    <w:lvl w:ilvl="0">
      <w:lvlJc w:val="left"/>
      <w:lvlText w:val="(%1)"/>
      <w:numFmt w:val="lowerLetter"/>
      <w:start w:val="1"/>
    </w:lvl>
  </w:abstractNum>
  <w:abstractNum w:abstractNumId="58">
    <w:nsid w:val="BFFAE18"/>
    <w:multiLevelType w:val="hybridMultilevel"/>
    <w:lvl w:ilvl="0">
      <w:lvlJc w:val="left"/>
      <w:lvlText w:val="(%1)"/>
      <w:numFmt w:val="lowerLetter"/>
      <w:start w:val="1"/>
    </w:lvl>
  </w:abstractNum>
  <w:abstractNum w:abstractNumId="59">
    <w:nsid w:val="E3E47A8"/>
    <w:multiLevelType w:val="hybridMultilevel"/>
    <w:lvl w:ilvl="0">
      <w:lvlJc w:val="left"/>
      <w:lvlText w:val="(%1)"/>
      <w:numFmt w:val="lowerRoman"/>
      <w:start w:val="1"/>
    </w:lvl>
  </w:abstractNum>
  <w:abstractNum w:abstractNumId="60">
    <w:nsid w:val="2E48F044"/>
    <w:multiLevelType w:val="hybridMultilevel"/>
    <w:lvl w:ilvl="0">
      <w:lvlJc w:val="left"/>
      <w:lvlText w:val="(%1)"/>
      <w:numFmt w:val="lowerLetter"/>
      <w:start w:val="3"/>
    </w:lvl>
  </w:abstractNum>
  <w:abstractNum w:abstractNumId="61">
    <w:nsid w:val="49D0FEAC"/>
    <w:multiLevelType w:val="hybridMultilevel"/>
    <w:lvl w:ilvl="0">
      <w:lvlJc w:val="left"/>
      <w:lvlText w:val="(%1)"/>
      <w:numFmt w:val="lowerLetter"/>
      <w:start w:val="1"/>
    </w:lvl>
  </w:abstractNum>
  <w:abstractNum w:abstractNumId="62">
    <w:nsid w:val="4BEE5A5B"/>
    <w:multiLevelType w:val="hybridMultilevel"/>
    <w:lvl w:ilvl="0">
      <w:lvlJc w:val="left"/>
      <w:lvlText w:val="(%1)"/>
      <w:numFmt w:val="lowerLetter"/>
      <w:start w:val="5"/>
    </w:lvl>
  </w:abstractNum>
  <w:abstractNum w:abstractNumId="63">
    <w:nsid w:val="5551B9F3"/>
    <w:multiLevelType w:val="hybridMultilevel"/>
    <w:lvl w:ilvl="0">
      <w:lvlJc w:val="left"/>
      <w:lvlText w:val="(%1)"/>
      <w:numFmt w:val="lowerLetter"/>
      <w:start w:val="1"/>
    </w:lvl>
  </w:abstractNum>
  <w:abstractNum w:abstractNumId="64">
    <w:nsid w:val="24F6AB8E"/>
    <w:multiLevelType w:val="hybridMultilevel"/>
    <w:lvl w:ilvl="0">
      <w:lvlJc w:val="left"/>
      <w:lvlText w:val="(%1)"/>
      <w:numFmt w:val="lowerLetter"/>
      <w:start w:val="2"/>
    </w:lvl>
  </w:abstractNum>
  <w:abstractNum w:abstractNumId="65">
    <w:nsid w:val="634C574C"/>
    <w:multiLevelType w:val="hybridMultilevel"/>
    <w:lvl w:ilvl="0">
      <w:lvlJc w:val="left"/>
      <w:lvlText w:val="(%1)"/>
      <w:numFmt w:val="lowerLetter"/>
      <w:start w:val="1"/>
    </w:lvl>
  </w:abstractNum>
  <w:abstractNum w:abstractNumId="66">
    <w:nsid w:val="24E99DD7"/>
    <w:multiLevelType w:val="hybridMultilevel"/>
    <w:lvl w:ilvl="0">
      <w:lvlJc w:val="left"/>
      <w:lvlText w:val="(%1)"/>
      <w:numFmt w:val="lowerLetter"/>
      <w:start w:val="2"/>
    </w:lvl>
  </w:abstractNum>
  <w:abstractNum w:abstractNumId="67">
    <w:nsid w:val="2A31B62D"/>
    <w:multiLevelType w:val="hybridMultilevel"/>
    <w:lvl w:ilvl="0">
      <w:lvlJc w:val="left"/>
      <w:lvlText w:val="(%1)"/>
      <w:numFmt w:val="lowerLetter"/>
      <w:start w:val="1"/>
    </w:lvl>
  </w:abstractNum>
  <w:abstractNum w:abstractNumId="68">
    <w:nsid w:val="1849C29B"/>
    <w:multiLevelType w:val="hybridMultilevel"/>
    <w:lvl w:ilvl="0">
      <w:lvlJc w:val="left"/>
      <w:lvlText w:val="(%1)"/>
      <w:numFmt w:val="lowerLetter"/>
      <w:start w:val="3"/>
    </w:lvl>
  </w:abstractNum>
  <w:abstractNum w:abstractNumId="69">
    <w:nsid w:val="7DFF9D09"/>
    <w:multiLevelType w:val="hybridMultilevel"/>
    <w:lvl w:ilvl="0">
      <w:lvlJc w:val="left"/>
      <w:lvlText w:val="(%1)"/>
      <w:numFmt w:val="lowerLetter"/>
      <w:start w:val="7"/>
    </w:lvl>
  </w:abstractNum>
  <w:abstractNum w:abstractNumId="70">
    <w:nsid w:val="754342"/>
    <w:multiLevelType w:val="hybridMultilevel"/>
    <w:lvl w:ilvl="0">
      <w:lvlJc w:val="left"/>
      <w:lvlText w:val="(%1)"/>
      <w:numFmt w:val="lowerLetter"/>
      <w:start w:val="1"/>
    </w:lvl>
  </w:abstractNum>
  <w:abstractNum w:abstractNumId="71">
    <w:nsid w:val="69E7F3E5"/>
    <w:multiLevelType w:val="hybridMultilevel"/>
    <w:lvl w:ilvl="0">
      <w:lvlJc w:val="left"/>
      <w:lvlText w:val="(%1)"/>
      <w:numFmt w:val="lowerLetter"/>
      <w:start w:val="1"/>
    </w:lvl>
  </w:abstractNum>
  <w:abstractNum w:abstractNumId="72">
    <w:nsid w:val="2A6DE806"/>
    <w:multiLevelType w:val="hybridMultilevel"/>
    <w:lvl w:ilvl="0">
      <w:lvlJc w:val="left"/>
      <w:lvlText w:val="(%1)"/>
      <w:numFmt w:val="lowerLetter"/>
      <w:start w:val="1"/>
    </w:lvl>
  </w:abstractNum>
  <w:abstractNum w:abstractNumId="73">
    <w:nsid w:val="1816F8C4"/>
    <w:multiLevelType w:val="hybridMultilevel"/>
    <w:lvl w:ilvl="0">
      <w:lvlJc w:val="left"/>
      <w:lvlText w:val="(%1)"/>
      <w:numFmt w:val="lowerLetter"/>
      <w:start w:val="1"/>
    </w:lvl>
    <w:lvl w:ilvl="1">
      <w:lvlJc w:val="left"/>
      <w:lvlText w:val="(%2)"/>
      <w:numFmt w:val="lowerRoman"/>
      <w:start w:val="1"/>
    </w:lvl>
  </w:abstractNum>
  <w:abstractNum w:abstractNumId="74">
    <w:nsid w:val="37DF2233"/>
    <w:multiLevelType w:val="hybridMultilevel"/>
    <w:lvl w:ilvl="0">
      <w:lvlJc w:val="left"/>
      <w:lvlText w:val="%1"/>
      <w:numFmt w:val="lowerLetter"/>
      <w:start w:val="1"/>
    </w:lvl>
    <w:lvl w:ilvl="1">
      <w:lvlJc w:val="left"/>
      <w:lvlText w:val="(%2)"/>
      <w:numFmt w:val="lowerLetter"/>
      <w:start w:val="2"/>
    </w:lvl>
  </w:abstractNum>
  <w:abstractNum w:abstractNumId="75">
    <w:nsid w:val="7AB49DAF"/>
    <w:multiLevelType w:val="hybridMultilevel"/>
    <w:lvl w:ilvl="0">
      <w:lvlJc w:val="left"/>
      <w:lvlText w:val="(%1)"/>
      <w:numFmt w:val="lowerLetter"/>
      <w:start w:val="9"/>
    </w:lvl>
    <w:lvl w:ilvl="1">
      <w:lvlJc w:val="left"/>
      <w:lvlText w:val="%2"/>
      <w:numFmt w:val="lowerLetter"/>
      <w:start w:val="1"/>
    </w:lvl>
  </w:abstractNum>
  <w:abstractNum w:abstractNumId="76">
    <w:nsid w:val="759F82CD"/>
    <w:multiLevelType w:val="hybridMultilevel"/>
    <w:lvl w:ilvl="0">
      <w:lvlJc w:val="left"/>
      <w:lvlText w:val="(%1)"/>
      <w:numFmt w:val="lowerLetter"/>
      <w:start w:val="4"/>
    </w:lvl>
    <w:lvl w:ilvl="1">
      <w:lvlJc w:val="left"/>
      <w:lvlText w:val="(%2)"/>
      <w:numFmt w:val="lowerRoman"/>
      <w:start w:val="1"/>
    </w:lvl>
  </w:abstractNum>
  <w:abstractNum w:abstractNumId="77">
    <w:nsid w:val="61E74EA3"/>
    <w:multiLevelType w:val="hybridMultilevel"/>
    <w:lvl w:ilvl="0">
      <w:lvlJc w:val="left"/>
      <w:lvlText w:val="(%1)"/>
      <w:numFmt w:val="lowerRoman"/>
      <w:start w:val="2"/>
    </w:lvl>
  </w:abstractNum>
  <w:abstractNum w:abstractNumId="78">
    <w:nsid w:val="597B4D84"/>
    <w:multiLevelType w:val="hybridMultilevel"/>
    <w:lvl w:ilvl="0">
      <w:lvlJc w:val="left"/>
      <w:lvlText w:val="%1"/>
      <w:numFmt w:val="lowerRoman"/>
      <w:start w:val="1"/>
    </w:lvl>
    <w:lvl w:ilvl="1">
      <w:lvlJc w:val="left"/>
      <w:lvlText w:val="(%2)"/>
      <w:numFmt w:val="lowerLetter"/>
      <w:start w:val="25"/>
    </w:lvl>
  </w:abstractNum>
  <w:abstractNum w:abstractNumId="79">
    <w:nsid w:val="F819E7F"/>
    <w:multiLevelType w:val="hybridMultilevel"/>
    <w:lvl w:ilvl="0">
      <w:lvlJc w:val="left"/>
      <w:lvlText w:val="(%1)"/>
      <w:numFmt w:val="lowerRoman"/>
      <w:start w:val="3"/>
    </w:lvl>
    <w:lvl w:ilvl="1">
      <w:lvlJc w:val="left"/>
      <w:lvlText w:val="%2"/>
      <w:numFmt w:val="lowerLetter"/>
      <w:start w:val="1"/>
    </w:lvl>
  </w:abstractNum>
  <w:abstractNum w:abstractNumId="80">
    <w:nsid w:val="57C7D42D"/>
    <w:multiLevelType w:val="hybridMultilevel"/>
    <w:lvl w:ilvl="0">
      <w:lvlJc w:val="left"/>
      <w:lvlText w:val="(%1)"/>
      <w:numFmt w:val="lowerLetter"/>
      <w:start w:val="1"/>
    </w:lvl>
  </w:abstractNum>
  <w:abstractNum w:abstractNumId="81">
    <w:nsid w:val="312167AD"/>
    <w:multiLevelType w:val="hybridMultilevel"/>
    <w:lvl w:ilvl="0">
      <w:lvlJc w:val="left"/>
      <w:lvlText w:val="(%1)"/>
      <w:numFmt w:val="lowerLetter"/>
      <w:start w:val="2"/>
    </w:lvl>
  </w:abstractNum>
  <w:abstractNum w:abstractNumId="82">
    <w:nsid w:val="631B64D4"/>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35"/>
    </w:lvl>
  </w:abstractNum>
  <w:abstractNum w:abstractNumId="83">
    <w:nsid w:val="78B5E77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84">
    <w:nsid w:val="75486E47"/>
    <w:multiLevelType w:val="hybridMultilevel"/>
    <w:lvl w:ilvl="0">
      <w:lvlJc w:val="left"/>
      <w:lvlText w:val="(%1)"/>
      <w:numFmt w:val="lowerRoman"/>
      <w:start w:val="3"/>
    </w:lvl>
  </w:abstractNum>
  <w:abstractNum w:abstractNumId="85">
    <w:nsid w:val="6E534CDE"/>
    <w:multiLevelType w:val="hybridMultilevel"/>
    <w:lvl w:ilvl="0">
      <w:lvlJc w:val="left"/>
      <w:lvlText w:val="(%1)"/>
      <w:numFmt w:val="lowerRoman"/>
      <w:start w:val="5"/>
    </w:lvl>
  </w:abstractNum>
  <w:abstractNum w:abstractNumId="86">
    <w:nsid w:val="1A0DDE32"/>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87">
    <w:nsid w:val="65968C1C"/>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88">
    <w:nsid w:val="46263DEC"/>
    <w:multiLevelType w:val="hybridMultilevel"/>
    <w:lvl w:ilvl="0">
      <w:lvlJc w:val="left"/>
      <w:lvlText w:val="(%1)"/>
      <w:numFmt w:val="lowerLetter"/>
      <w:start w:val="25"/>
    </w:lvl>
    <w:lvl w:ilvl="1">
      <w:lvlJc w:val="left"/>
      <w:lvlText w:val="%2"/>
      <w:numFmt w:val="upperLetter"/>
      <w:start w:val="1"/>
    </w:lvl>
    <w:lvl w:ilvl="2">
      <w:lvlJc w:val="left"/>
      <w:lvlText w:val="(%3)"/>
      <w:numFmt w:val="lowerRoman"/>
      <w:start w:val="4"/>
    </w:lvl>
  </w:abstractNum>
  <w:abstractNum w:abstractNumId="89">
    <w:nsid w:val="260D8C4A"/>
    <w:multiLevelType w:val="hybridMultilevel"/>
    <w:lvl w:ilvl="0">
      <w:lvlJc w:val="left"/>
      <w:lvlText w:val="(%1)"/>
      <w:numFmt w:val="lowerLetter"/>
      <w:start w:val="2"/>
    </w:lvl>
  </w:abstractNum>
  <w:abstractNum w:abstractNumId="90">
    <w:nsid w:val="73D4D3C4"/>
    <w:multiLevelType w:val="hybridMultilevel"/>
    <w:lvl w:ilvl="0">
      <w:lvlJc w:val="left"/>
      <w:lvlText w:val="(%1)"/>
      <w:numFmt w:val="lowerLetter"/>
      <w:start w:val="1"/>
    </w:lvl>
  </w:abstractNum>
  <w:abstractNum w:abstractNumId="91">
    <w:nsid w:val="746F2E3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2">
    <w:nsid w:val="6FDE8AF6"/>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93">
    <w:nsid w:val="3FC32E20"/>
    <w:multiLevelType w:val="hybridMultilevel"/>
    <w:lvl w:ilvl="0">
      <w:lvlJc w:val="left"/>
      <w:lvlText w:val="%1"/>
      <w:numFmt w:val="lowerLetter"/>
      <w:start w:val="1"/>
    </w:lvl>
    <w:lvl w:ilvl="1">
      <w:lvlJc w:val="left"/>
      <w:lvlText w:val="(%2)"/>
      <w:numFmt w:val="lowerRoman"/>
      <w:start w:val="6"/>
    </w:lvl>
  </w:abstractNum>
  <w:abstractNum w:abstractNumId="94">
    <w:nsid w:val="49C0E823"/>
    <w:multiLevelType w:val="hybridMultilevel"/>
    <w:lvl w:ilvl="0">
      <w:lvlJc w:val="left"/>
      <w:lvlText w:val="(%1)"/>
      <w:numFmt w:val="lowerLetter"/>
      <w:start w:val="6"/>
    </w:lvl>
    <w:lvl w:ilvl="1">
      <w:lvlJc w:val="left"/>
      <w:lvlText w:val="%2"/>
      <w:numFmt w:val="lowerRoman"/>
      <w:start w:val="1"/>
    </w:lvl>
  </w:abstractNum>
  <w:abstractNum w:abstractNumId="95">
    <w:nsid w:val="14D53685"/>
    <w:multiLevelType w:val="hybridMultilevel"/>
    <w:lvl w:ilvl="0">
      <w:lvlJc w:val="left"/>
      <w:lvlText w:val="(%1)"/>
      <w:numFmt w:val="lowerLetter"/>
      <w:start w:val="1"/>
    </w:lvl>
  </w:abstractNum>
  <w:abstractNum w:abstractNumId="96">
    <w:nsid w:val="230F856C"/>
    <w:multiLevelType w:val="hybridMultilevel"/>
    <w:lvl w:ilvl="0">
      <w:lvlJc w:val="left"/>
      <w:lvlText w:val="(%1)"/>
      <w:numFmt w:val="lowerLetter"/>
      <w:start w:val="4"/>
    </w:lvl>
  </w:abstractNum>
  <w:abstractNum w:abstractNumId="97">
    <w:nsid w:val="6EAA85FB"/>
    <w:multiLevelType w:val="hybridMultilevel"/>
    <w:lvl w:ilvl="0">
      <w:lvlJc w:val="left"/>
      <w:lvlText w:val="(%1)"/>
      <w:numFmt w:val="lowerLetter"/>
      <w:start w:val="1"/>
    </w:lvl>
  </w:abstractNum>
  <w:abstractNum w:abstractNumId="98">
    <w:nsid w:val="3F06ECB2"/>
    <w:multiLevelType w:val="hybridMultilevel"/>
    <w:lvl w:ilvl="0">
      <w:lvlJc w:val="left"/>
      <w:lvlText w:val="(%1)"/>
      <w:numFmt w:val="lowerLetter"/>
      <w:start w:val="3"/>
    </w:lvl>
  </w:abstractNum>
  <w:abstractNum w:abstractNumId="99">
    <w:nsid w:val="3B594807"/>
    <w:multiLevelType w:val="hybridMultilevel"/>
    <w:lvl w:ilvl="0">
      <w:lvlJc w:val="left"/>
      <w:lvlText w:val="(%1)"/>
      <w:numFmt w:val="lowerLetter"/>
      <w:start w:val="1"/>
    </w:lvl>
  </w:abstractNum>
  <w:abstractNum w:abstractNumId="100">
    <w:nsid w:val="6CAA2304"/>
    <w:multiLevelType w:val="hybridMultilevel"/>
    <w:lvl w:ilvl="0">
      <w:lvlJc w:val="left"/>
      <w:lvlText w:val="(%1)"/>
      <w:numFmt w:val="lowerLetter"/>
      <w:start w:val="2"/>
    </w:lvl>
    <w:lvl w:ilvl="1">
      <w:lvlJc w:val="left"/>
      <w:lvlText w:val="(%2)"/>
      <w:numFmt w:val="lowerRoman"/>
      <w:start w:val="1"/>
    </w:lvl>
  </w:abstractNum>
  <w:abstractNum w:abstractNumId="101">
    <w:nsid w:val="3F7C2FF4"/>
    <w:multiLevelType w:val="hybridMultilevel"/>
    <w:lvl w:ilvl="0">
      <w:lvlJc w:val="left"/>
      <w:lvlText w:val="(%1)"/>
      <w:numFmt w:val="lowerRoman"/>
      <w:start w:val="5"/>
    </w:lvl>
  </w:abstractNum>
  <w:abstractNum w:abstractNumId="102">
    <w:nsid w:val="25413BEC"/>
    <w:multiLevelType w:val="hybridMultilevel"/>
    <w:lvl w:ilvl="0">
      <w:lvlJc w:val="left"/>
      <w:lvlText w:val="(%1)"/>
      <w:numFmt w:val="lowerLetter"/>
      <w:start w:val="3"/>
    </w:lvl>
  </w:abstractNum>
  <w:abstractNum w:abstractNumId="103">
    <w:nsid w:val="17180B0B"/>
    <w:multiLevelType w:val="hybridMultilevel"/>
    <w:lvl w:ilvl="0">
      <w:lvlJc w:val="left"/>
      <w:lvlText w:val="(%1)"/>
      <w:numFmt w:val="lowerLetter"/>
      <w:start w:val="1"/>
    </w:lvl>
  </w:abstractNum>
  <w:abstractNum w:abstractNumId="104">
    <w:nsid w:val="579328B9"/>
    <w:multiLevelType w:val="hybridMultilevel"/>
    <w:lvl w:ilvl="0">
      <w:lvlJc w:val="left"/>
      <w:lvlText w:val="(%1)"/>
      <w:numFmt w:val="lowerLetter"/>
      <w:start w:val="1"/>
    </w:lvl>
  </w:abstractNum>
  <w:abstractNum w:abstractNumId="105">
    <w:nsid w:val="5D205E20"/>
    <w:multiLevelType w:val="hybridMultilevel"/>
    <w:lvl w:ilvl="0">
      <w:lvlJc w:val="left"/>
      <w:lvlText w:val="(%1)"/>
      <w:numFmt w:val="lowerLetter"/>
      <w:start w:val="3"/>
    </w:lvl>
  </w:abstractNum>
  <w:abstractNum w:abstractNumId="106">
    <w:nsid w:val="11CCA8BA"/>
    <w:multiLevelType w:val="hybridMultilevel"/>
    <w:lvl w:ilvl="0">
      <w:lvlJc w:val="left"/>
      <w:lvlText w:val="(%1)"/>
      <w:numFmt w:val="lowerLetter"/>
      <w:start w:val="1"/>
    </w:lvl>
  </w:abstractNum>
  <w:abstractNum w:abstractNumId="107">
    <w:nsid w:val="4D32AB86"/>
    <w:multiLevelType w:val="hybridMultilevel"/>
    <w:lvl w:ilvl="0">
      <w:lvlJc w:val="left"/>
      <w:lvlText w:val="(%1)"/>
      <w:numFmt w:val="lowerLetter"/>
      <w:start w:val="3"/>
    </w:lvl>
  </w:abstractNum>
  <w:abstractNum w:abstractNumId="108">
    <w:nsid w:val="3F07ACC3"/>
    <w:multiLevelType w:val="hybridMultilevel"/>
    <w:lvl w:ilvl="0">
      <w:lvlJc w:val="left"/>
      <w:lvlText w:val="(%1)"/>
      <w:numFmt w:val="lowerLetter"/>
      <w:start w:val="1"/>
    </w:lvl>
  </w:abstractNum>
  <w:abstractNum w:abstractNumId="109">
    <w:nsid w:val="6B47F63E"/>
    <w:multiLevelType w:val="hybridMultilevel"/>
    <w:lvl w:ilvl="0">
      <w:lvlJc w:val="left"/>
      <w:lvlText w:val="(%1)"/>
      <w:numFmt w:val="lowerLetter"/>
      <w:start w:val="1"/>
    </w:lvl>
    <w:lvl w:ilvl="1">
      <w:lvlJc w:val="left"/>
      <w:lvlText w:val="(%2)"/>
      <w:numFmt w:val="lowerRoman"/>
      <w:start w:val="1"/>
    </w:lvl>
  </w:abstractNum>
  <w:abstractNum w:abstractNumId="110">
    <w:nsid w:val="5CB44A05"/>
    <w:multiLevelType w:val="hybridMultilevel"/>
    <w:lvl w:ilvl="0">
      <w:lvlJc w:val="left"/>
      <w:lvlText w:val="%1"/>
      <w:numFmt w:val="lowerLetter"/>
      <w:start w:val="1"/>
    </w:lvl>
    <w:lvl w:ilvl="1">
      <w:lvlJc w:val="left"/>
      <w:lvlText w:val="(%2)"/>
      <w:numFmt w:val="lowerRoman"/>
      <w:start w:val="4"/>
    </w:lvl>
  </w:abstractNum>
  <w:abstractNum w:abstractNumId="111">
    <w:nsid w:val="16CF80F1"/>
    <w:multiLevelType w:val="hybridMultilevel"/>
    <w:lvl w:ilvl="0">
      <w:lvlJc w:val="left"/>
      <w:lvlText w:val="(%1)"/>
      <w:numFmt w:val="lowerLetter"/>
      <w:start w:val="2"/>
    </w:lvl>
    <w:lvl w:ilvl="1">
      <w:lvlJc w:val="left"/>
      <w:lvlText w:val="%2"/>
      <w:numFmt w:val="lowerRoman"/>
      <w:start w:val="1"/>
    </w:lvl>
  </w:abstractNum>
  <w:abstractNum w:abstractNumId="112">
    <w:nsid w:val="1C695DEC"/>
    <w:multiLevelType w:val="hybridMultilevel"/>
    <w:lvl w:ilvl="0">
      <w:lvlJc w:val="left"/>
      <w:lvlText w:val="(%1)"/>
      <w:numFmt w:val="lowerLetter"/>
      <w:start w:val="4"/>
    </w:lvl>
  </w:abstractNum>
  <w:abstractNum w:abstractNumId="113">
    <w:nsid w:val="3FCFAED9"/>
    <w:multiLevelType w:val="hybridMultilevel"/>
    <w:lvl w:ilvl="0">
      <w:lvlJc w:val="left"/>
      <w:lvlText w:val="(%1)"/>
      <w:numFmt w:val="lowerLetter"/>
      <w:start w:val="1"/>
    </w:lvl>
  </w:abstractNum>
  <w:abstractNum w:abstractNumId="114">
    <w:nsid w:val="F856867"/>
    <w:multiLevelType w:val="hybridMultilevel"/>
    <w:lvl w:ilvl="0">
      <w:lvlJc w:val="left"/>
      <w:lvlText w:val="(%1)"/>
      <w:numFmt w:val="lowerLetter"/>
      <w:start w:val="2"/>
    </w:lvl>
  </w:abstractNum>
  <w:abstractNum w:abstractNumId="115">
    <w:nsid w:val="11B1CC33"/>
    <w:multiLevelType w:val="hybridMultilevel"/>
    <w:lvl w:ilvl="0">
      <w:lvlJc w:val="left"/>
      <w:lvlText w:val="(%1)"/>
      <w:numFmt w:val="lowerLetter"/>
      <w:start w:val="1"/>
    </w:lvl>
    <w:lvl w:ilvl="1">
      <w:lvlJc w:val="left"/>
      <w:lvlText w:val="(%2)"/>
      <w:numFmt w:val="lowerRoman"/>
      <w:start w:val="1"/>
    </w:lvl>
  </w:abstractNum>
  <w:abstractNum w:abstractNumId="116">
    <w:nsid w:val="2E22FBB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17">
    <w:nsid w:val="2993469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5"/>
    </w:lvl>
  </w:abstractNum>
  <w:abstractNum w:abstractNumId="118">
    <w:nsid w:val="7748585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19">
    <w:nsid w:val="744939A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120">
    <w:nsid w:val="4FA0D2E3"/>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21">
    <w:nsid w:val="6B1D2C14"/>
    <w:multiLevelType w:val="hybridMultilevel"/>
    <w:lvl w:ilvl="0">
      <w:lvlJc w:val="left"/>
      <w:lvlText w:val="(%1)"/>
      <w:numFmt w:val="lowerLetter"/>
      <w:start w:val="7"/>
    </w:lvl>
  </w:abstractNum>
  <w:abstractNum w:abstractNumId="122">
    <w:nsid w:val="68B867D3"/>
    <w:multiLevelType w:val="hybridMultilevel"/>
    <w:lvl w:ilvl="0">
      <w:lvlJc w:val="left"/>
      <w:lvlText w:val="(%1)"/>
      <w:numFmt w:val="lowerLetter"/>
      <w:start w:val="1"/>
    </w:lvl>
  </w:abstractNum>
  <w:abstractNum w:abstractNumId="123">
    <w:nsid w:val="3F7F5DD9"/>
    <w:multiLevelType w:val="hybridMultilevel"/>
    <w:lvl w:ilvl="0">
      <w:lvlJc w:val="left"/>
      <w:lvlText w:val="(%1)"/>
      <w:numFmt w:val="lowerLetter"/>
      <w:start w:val="1"/>
    </w:lvl>
  </w:abstractNum>
  <w:abstractNum w:abstractNumId="124">
    <w:nsid w:val="2AE05A34"/>
    <w:multiLevelType w:val="hybridMultilevel"/>
    <w:lvl w:ilvl="0">
      <w:lvlJc w:val="left"/>
      <w:lvlText w:val="(%1)"/>
      <w:numFmt w:val="lowerLetter"/>
      <w:start w:val="1"/>
    </w:lvl>
  </w:abstractNum>
  <w:abstractNum w:abstractNumId="125">
    <w:nsid w:val="32794FF7"/>
    <w:multiLevelType w:val="hybridMultilevel"/>
    <w:lvl w:ilvl="0">
      <w:lvlJc w:val="left"/>
      <w:lvlText w:val="(%1)"/>
      <w:numFmt w:val="lowerLetter"/>
      <w:start w:val="1"/>
    </w:lvl>
  </w:abstractNum>
  <w:abstractNum w:abstractNumId="126">
    <w:nsid w:val="5454945E"/>
    <w:multiLevelType w:val="hybridMultilevel"/>
    <w:lvl w:ilvl="0">
      <w:lvlJc w:val="left"/>
      <w:lvlText w:val="(%1)"/>
      <w:numFmt w:val="lowerLetter"/>
      <w:start w:val="1"/>
    </w:lvl>
  </w:abstractNum>
  <w:abstractNum w:abstractNumId="127">
    <w:nsid w:val="4DEFDFA0"/>
    <w:multiLevelType w:val="hybridMultilevel"/>
    <w:lvl w:ilvl="0">
      <w:lvlJc w:val="left"/>
      <w:lvlText w:val="(%1)"/>
      <w:numFmt w:val="lowerLetter"/>
      <w:start w:val="1"/>
    </w:lvl>
  </w:abstractNum>
  <w:abstractNum w:abstractNumId="128">
    <w:nsid w:val="2123D5F2"/>
    <w:multiLevelType w:val="hybridMultilevel"/>
    <w:lvl w:ilvl="0">
      <w:lvlJc w:val="left"/>
      <w:lvlText w:val="(%1)"/>
      <w:numFmt w:val="lowerLetter"/>
      <w:start w:val="1"/>
    </w:lvl>
  </w:abstractNum>
  <w:abstractNum w:abstractNumId="129">
    <w:nsid w:val="135B8110"/>
    <w:multiLevelType w:val="hybridMultilevel"/>
    <w:lvl w:ilvl="0">
      <w:lvlJc w:val="left"/>
      <w:lvlText w:val="(%1)"/>
      <w:numFmt w:val="lowerLetter"/>
      <w:start w:val="2"/>
    </w:lvl>
  </w:abstractNum>
  <w:abstractNum w:abstractNumId="130">
    <w:nsid w:val="94927A8"/>
    <w:multiLevelType w:val="hybridMultilevel"/>
    <w:lvl w:ilvl="0">
      <w:lvlJc w:val="left"/>
      <w:lvlText w:val="%1"/>
      <w:numFmt w:val="lowerLetter"/>
      <w:start w:val="1"/>
    </w:lvl>
    <w:lvl w:ilvl="1">
      <w:lvlJc w:val="left"/>
      <w:lvlText w:val="(%2)"/>
      <w:numFmt w:val="lowerLetter"/>
      <w:start w:val="1"/>
    </w:lvl>
  </w:abstractNum>
  <w:abstractNum w:abstractNumId="131">
    <w:nsid w:val="DCDF8F6"/>
    <w:multiLevelType w:val="hybridMultilevel"/>
    <w:lvl w:ilvl="0">
      <w:lvlJc w:val="left"/>
      <w:lvlText w:val="(%1)"/>
      <w:numFmt w:val="lowerLetter"/>
      <w:start w:val="35"/>
    </w:lvl>
    <w:lvl w:ilvl="1">
      <w:lvlJc w:val="left"/>
      <w:lvlText w:val="(%2)"/>
      <w:numFmt w:val="lowerLetter"/>
      <w:start w:val="2"/>
    </w:lvl>
  </w:abstractNum>
  <w:abstractNum w:abstractNumId="132">
    <w:nsid w:val="52D7B105"/>
    <w:multiLevelType w:val="hybridMultilevel"/>
    <w:lvl w:ilvl="0">
      <w:lvlJc w:val="left"/>
      <w:lvlText w:val="(%1)"/>
      <w:numFmt w:val="lowerLetter"/>
      <w:start w:val="1"/>
    </w:lvl>
  </w:abstractNum>
  <w:abstractNum w:abstractNumId="133">
    <w:nsid w:val="2E8A6394"/>
    <w:multiLevelType w:val="hybridMultilevel"/>
    <w:lvl w:ilvl="0">
      <w:lvlJc w:val="left"/>
      <w:lvlText w:val="(%1)"/>
      <w:numFmt w:val="lowerLetter"/>
      <w:start w:val="2"/>
    </w:lvl>
  </w:abstractNum>
  <w:abstractNum w:abstractNumId="134">
    <w:nsid w:val="24E60401"/>
    <w:multiLevelType w:val="hybridMultilevel"/>
    <w:lvl w:ilvl="0">
      <w:lvlJc w:val="left"/>
      <w:lvlText w:val="(%1)"/>
      <w:numFmt w:val="lowerLetter"/>
      <w:start w:val="1"/>
    </w:lvl>
  </w:abstractNum>
  <w:abstractNum w:abstractNumId="135">
    <w:nsid w:val="2A6AD9BE"/>
    <w:multiLevelType w:val="hybridMultilevel"/>
    <w:lvl w:ilvl="0">
      <w:lvlJc w:val="left"/>
      <w:lvlText w:val="(%1)"/>
      <w:numFmt w:val="lowerLetter"/>
      <w:start w:val="3"/>
    </w:lvl>
    <w:lvl w:ilvl="1">
      <w:lvlJc w:val="left"/>
      <w:lvlText w:val="(%2)"/>
      <w:numFmt w:val="lowerLetter"/>
      <w:start w:val="9"/>
    </w:lvl>
  </w:abstractNum>
  <w:abstractNum w:abstractNumId="136">
    <w:nsid w:val="BAAC1B4"/>
    <w:multiLevelType w:val="hybridMultilevel"/>
    <w:lvl w:ilvl="0">
      <w:lvlJc w:val="left"/>
      <w:lvlText w:val="(%1)"/>
      <w:numFmt w:val="lowerRoman"/>
      <w:start w:val="2"/>
    </w:lvl>
  </w:abstractNum>
  <w:abstractNum w:abstractNumId="137">
    <w:nsid w:val="36B2ACBC"/>
    <w:multiLevelType w:val="hybridMultilevel"/>
    <w:lvl w:ilvl="0">
      <w:lvlJc w:val="left"/>
      <w:lvlText w:val="(%1)"/>
      <w:numFmt w:val="lowerLetter"/>
      <w:start w:val="7"/>
    </w:lvl>
  </w:abstractNum>
  <w:abstractNum w:abstractNumId="138">
    <w:nsid w:val="779D8544"/>
    <w:multiLevelType w:val="hybridMultilevel"/>
    <w:lvl w:ilvl="0">
      <w:lvlJc w:val="left"/>
      <w:lvlText w:val="(%1)"/>
      <w:numFmt w:val="lowerLetter"/>
      <w:start w:val="1"/>
    </w:lvl>
  </w:abstractNum>
  <w:abstractNum w:abstractNumId="139">
    <w:nsid w:val="4AB26E78"/>
    <w:multiLevelType w:val="hybridMultilevel"/>
    <w:lvl w:ilvl="0">
      <w:lvlJc w:val="left"/>
      <w:lvlText w:val="(%1)"/>
      <w:numFmt w:val="lowerLetter"/>
      <w:start w:val="3"/>
    </w:lvl>
  </w:abstractNum>
  <w:abstractNum w:abstractNumId="140">
    <w:nsid w:val="21FAA2FA"/>
    <w:multiLevelType w:val="hybridMultilevel"/>
    <w:lvl w:ilvl="0">
      <w:lvlJc w:val="left"/>
      <w:lvlText w:val="(%1)"/>
      <w:numFmt w:val="lowerLetter"/>
      <w:start w:val="1"/>
    </w:lvl>
  </w:abstractNum>
  <w:abstractNum w:abstractNumId="141">
    <w:nsid w:val="5451CF49"/>
    <w:multiLevelType w:val="hybridMultilevel"/>
    <w:lvl w:ilvl="0">
      <w:lvlJc w:val="left"/>
      <w:lvlText w:val="(%1)"/>
      <w:numFmt w:val="lowerLetter"/>
      <w:start w:val="3"/>
    </w:lvl>
  </w:abstractNum>
  <w:abstractNum w:abstractNumId="142">
    <w:nsid w:val="6181EF69"/>
    <w:multiLevelType w:val="hybridMultilevel"/>
    <w:lvl w:ilvl="0">
      <w:lvlJc w:val="left"/>
      <w:lvlText w:val="(%1)"/>
      <w:numFmt w:val="lowerLetter"/>
      <w:start w:val="1"/>
    </w:lvl>
  </w:abstractNum>
  <w:abstractNum w:abstractNumId="143">
    <w:nsid w:val="3E6400E6"/>
    <w:multiLevelType w:val="hybridMultilevel"/>
    <w:lvl w:ilvl="0">
      <w:lvlJc w:val="left"/>
      <w:lvlText w:val="(%1)"/>
      <w:numFmt w:val="lowerLetter"/>
      <w:start w:val="4"/>
    </w:lvl>
  </w:abstractNum>
  <w:abstractNum w:abstractNumId="144">
    <w:nsid w:val="14217E23"/>
    <w:multiLevelType w:val="hybridMultilevel"/>
    <w:lvl w:ilvl="0">
      <w:lvlJc w:val="left"/>
      <w:lvlText w:val="(%1)"/>
      <w:numFmt w:val="lowerLetter"/>
      <w:start w:val="1"/>
    </w:lvl>
  </w:abstractNum>
  <w:abstractNum w:abstractNumId="145">
    <w:nsid w:val="710757D0"/>
    <w:multiLevelType w:val="hybridMultilevel"/>
    <w:lvl w:ilvl="0">
      <w:lvlJc w:val="left"/>
      <w:lvlText w:val="(%1)"/>
      <w:numFmt w:val="lowerLetter"/>
      <w:start w:val="4"/>
    </w:lvl>
  </w:abstractNum>
  <w:abstractNum w:abstractNumId="146">
    <w:nsid w:val="5015CD1A"/>
    <w:multiLevelType w:val="hybridMultilevel"/>
    <w:lvl w:ilvl="0">
      <w:lvlJc w:val="left"/>
      <w:lvlText w:val="(%1)"/>
      <w:numFmt w:val="lowerLetter"/>
      <w:start w:val="10"/>
    </w:lvl>
  </w:abstractNum>
  <w:abstractNum w:abstractNumId="147">
    <w:nsid w:val="424479DA"/>
    <w:multiLevelType w:val="hybridMultilevel"/>
    <w:lvl w:ilvl="0">
      <w:lvlJc w:val="left"/>
      <w:lvlText w:val="(%1)"/>
      <w:numFmt w:val="lowerLetter"/>
      <w:start w:val="12"/>
    </w:lvl>
  </w:abstractNum>
  <w:abstractNum w:abstractNumId="148">
    <w:nsid w:val="1A9A9E69"/>
    <w:multiLevelType w:val="hybridMultilevel"/>
    <w:lvl w:ilvl="0">
      <w:lvlJc w:val="left"/>
      <w:lvlText w:val="(%1)"/>
      <w:numFmt w:val="lowerLetter"/>
      <w:start w:val="15"/>
    </w:lvl>
  </w:abstractNum>
  <w:abstractNum w:abstractNumId="149">
    <w:nsid w:val="475E256A"/>
    <w:multiLevelType w:val="hybridMultilevel"/>
    <w:lvl w:ilvl="0">
      <w:lvlJc w:val="left"/>
      <w:lvlText w:val="(%1)"/>
      <w:numFmt w:val="lowerLetter"/>
      <w:start w:val="23"/>
    </w:lvl>
  </w:abstractNum>
  <w:abstractNum w:abstractNumId="150">
    <w:nsid w:val="368DB37E"/>
    <w:multiLevelType w:val="hybridMultilevel"/>
    <w:lvl w:ilvl="0">
      <w:lvlJc w:val="left"/>
      <w:lvlText w:val="%1"/>
      <w:numFmt w:val="upperLetter"/>
      <w:start w:val="1"/>
    </w:lvl>
    <w:lvl w:ilvl="1">
      <w:lvlJc w:val="left"/>
      <w:lvlText w:val="(%2)"/>
      <w:numFmt w:val="lowerRoman"/>
      <w:start w:val="1"/>
    </w:lvl>
  </w:abstractNum>
  <w:abstractNum w:abstractNumId="151">
    <w:nsid w:val="6A3B714C"/>
    <w:multiLevelType w:val="hybridMultilevel"/>
    <w:lvl w:ilvl="0">
      <w:lvlJc w:val="left"/>
      <w:lvlText w:val="(%1)"/>
      <w:numFmt w:val="upperLetter"/>
      <w:start w:val="2"/>
    </w:lvl>
    <w:lvl w:ilvl="1">
      <w:lvlJc w:val="left"/>
      <w:lvlText w:val="%2"/>
      <w:numFmt w:val="lowerRoman"/>
      <w:start w:val="1"/>
    </w:lvl>
  </w:abstractNum>
  <w:abstractNum w:abstractNumId="152">
    <w:nsid w:val="327B517E"/>
    <w:multiLevelType w:val="hybridMultilevel"/>
    <w:lvl w:ilvl="0">
      <w:lvlJc w:val="left"/>
      <w:lvlText w:val="(%1)"/>
      <w:numFmt w:val="lowerLetter"/>
      <w:start w:val="1"/>
    </w:lvl>
  </w:abstractNum>
  <w:abstractNum w:abstractNumId="153">
    <w:nsid w:val="1F461B51"/>
    <w:multiLevelType w:val="hybridMultilevel"/>
    <w:lvl w:ilvl="0">
      <w:lvlJc w:val="left"/>
      <w:lvlText w:val="(%1)"/>
      <w:numFmt w:val="decimal"/>
      <w:start w:val="5"/>
    </w:lvl>
    <w:lvl w:ilvl="1">
      <w:lvlJc w:val="left"/>
      <w:lvlText w:val="(%2)"/>
      <w:numFmt w:val="lowerLetter"/>
      <w:start w:val="2"/>
    </w:lvl>
  </w:abstractNum>
  <w:abstractNum w:abstractNumId="154">
    <w:nsid w:val="29BACF25"/>
    <w:multiLevelType w:val="hybridMultilevel"/>
    <w:lvl w:ilvl="0">
      <w:lvlJc w:val="left"/>
      <w:lvlText w:val="(%1)"/>
      <w:numFmt w:val="lowerLetter"/>
      <w:start w:val="7"/>
    </w:lvl>
  </w:abstractNum>
  <w:abstractNum w:abstractNumId="155">
    <w:nsid w:val="5D5BABB3"/>
    <w:multiLevelType w:val="hybridMultilevel"/>
    <w:lvl w:ilvl="0">
      <w:lvlJc w:val="left"/>
      <w:lvlText w:val="(%1)"/>
      <w:numFmt w:val="lowerLetter"/>
      <w:start w:val="1"/>
    </w:lvl>
    <w:lvl w:ilvl="1">
      <w:lvlJc w:val="left"/>
      <w:lvlText w:val="(%2)"/>
      <w:numFmt w:val="lowerRoman"/>
      <w:start w:val="1"/>
    </w:lvl>
  </w:abstractNum>
  <w:abstractNum w:abstractNumId="156">
    <w:nsid w:val="51BF6B48"/>
    <w:multiLevelType w:val="hybridMultilevel"/>
    <w:lvl w:ilvl="0">
      <w:lvlJc w:val="left"/>
      <w:lvlText w:val="(%1)"/>
      <w:numFmt w:val="lowerRoman"/>
      <w:start w:val="1"/>
    </w:lvl>
  </w:abstractNum>
  <w:abstractNum w:abstractNumId="157">
    <w:nsid w:val="7E0F6384"/>
    <w:multiLevelType w:val="hybridMultilevel"/>
    <w:lvl w:ilvl="0">
      <w:lvlJc w:val="left"/>
      <w:lvlText w:val="(%1)"/>
      <w:numFmt w:val="lowerLetter"/>
      <w:start w:val="3"/>
    </w:lvl>
  </w:abstractNum>
  <w:abstractNum w:abstractNumId="158">
    <w:nsid w:val="2B4B8B5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59">
    <w:nsid w:val="72E3413A"/>
    <w:multiLevelType w:val="hybridMultilevel"/>
    <w:lvl w:ilvl="0">
      <w:lvlJc w:val="left"/>
      <w:lvlText w:val="(%1)"/>
      <w:numFmt w:val="decimal"/>
      <w:start w:val="4"/>
    </w:lvl>
  </w:abstractNum>
  <w:abstractNum w:abstractNumId="160">
    <w:nsid w:val="116AE49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61">
    <w:nsid w:val="3494B2FB"/>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3"/>
    </w:lvl>
  </w:abstractNum>
  <w:abstractNum w:abstractNumId="162">
    <w:nsid w:val="B13A3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4"/>
    </w:lvl>
  </w:abstractNum>
  <w:abstractNum w:abstractNumId="163">
    <w:nsid w:val="64429599"/>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64">
    <w:nsid w:val="631F1690"/>
    <w:multiLevelType w:val="hybridMultilevel"/>
    <w:lvl w:ilvl="0">
      <w:lvlJc w:val="left"/>
      <w:lvlText w:val="(%1)"/>
      <w:numFmt w:val="decimal"/>
      <w:start w:val="4"/>
    </w:lvl>
  </w:abstractNum>
  <w:abstractNum w:abstractNumId="165">
    <w:nsid w:val="25973E32"/>
    <w:multiLevelType w:val="hybridMultilevel"/>
    <w:lvl w:ilvl="0">
      <w:lvlJc w:val="left"/>
      <w:lvlText w:val="%1"/>
      <w:numFmt w:val="lowerLetter"/>
      <w:start w:val="1"/>
    </w:lvl>
    <w:lvl w:ilvl="1">
      <w:lvlJc w:val="left"/>
      <w:lvlText w:val="(%2)"/>
      <w:numFmt w:val="decimal"/>
      <w:start w:val="7"/>
    </w:lvl>
  </w:abstractNum>
  <w:abstractNum w:abstractNumId="166">
    <w:nsid w:val="EAD6F57"/>
    <w:multiLevelType w:val="hybridMultilevel"/>
    <w:lvl w:ilvl="0">
      <w:lvlJc w:val="left"/>
      <w:lvlText w:val="(%1)"/>
      <w:numFmt w:val="lowerLetter"/>
      <w:start w:val="25"/>
    </w:lvl>
    <w:lvl w:ilvl="1">
      <w:lvlJc w:val="left"/>
      <w:lvlText w:val="(%2)"/>
      <w:numFmt w:val="decimal"/>
      <w:start w:val="8"/>
    </w:lvl>
  </w:abstractNum>
  <w:abstractNum w:abstractNumId="167">
    <w:nsid w:val="6EC9D844"/>
    <w:multiLevelType w:val="hybridMultilevel"/>
    <w:lvl w:ilvl="0">
      <w:lvlJc w:val="left"/>
      <w:lvlText w:val="%1"/>
      <w:numFmt w:val="lowerRoman"/>
      <w:start w:val="1"/>
    </w:lvl>
    <w:lvl w:ilvl="1">
      <w:lvlJc w:val="left"/>
      <w:lvlText w:val="(%2)"/>
      <w:numFmt w:val="decimal"/>
      <w:start w:val="14"/>
    </w:lvl>
  </w:abstractNum>
  <w:abstractNum w:abstractNumId="168">
    <w:nsid w:val="5C49EAEE"/>
    <w:multiLevelType w:val="hybridMultilevel"/>
    <w:lvl w:ilvl="0">
      <w:lvlJc w:val="left"/>
      <w:lvlText w:val="(%1)"/>
      <w:numFmt w:val="lowerRoman"/>
      <w:start w:val="11"/>
    </w:lvl>
    <w:lvl w:ilvl="1">
      <w:lvlJc w:val="left"/>
      <w:lvlText w:val="(%2)"/>
      <w:numFmt w:val="decimal"/>
      <w:start w:val="16"/>
    </w:lvl>
  </w:abstractNum>
  <w:abstractNum w:abstractNumId="169">
    <w:nsid w:val="64AF49B"/>
    <w:multiLevelType w:val="hybridMultilevel"/>
    <w:lvl w:ilvl="0">
      <w:lvlJc w:val="left"/>
      <w:lvlText w:val="(%1)"/>
      <w:numFmt w:val="lowerLetter"/>
      <w:start w:val="1"/>
    </w:lvl>
  </w:abstractNum>
  <w:abstractNum w:abstractNumId="170">
    <w:nsid w:val="397C46BC"/>
    <w:multiLevelType w:val="hybridMultilevel"/>
    <w:lvl w:ilvl="0">
      <w:lvlJc w:val="left"/>
      <w:lvlText w:val="(%1)"/>
      <w:numFmt w:val="lowerRoman"/>
      <w:start w:val="1"/>
    </w:lvl>
  </w:abstractNum>
  <w:abstractNum w:abstractNumId="171">
    <w:nsid w:val="7E448DE9"/>
    <w:multiLevelType w:val="hybridMultilevel"/>
    <w:lvl w:ilvl="0">
      <w:lvlJc w:val="left"/>
      <w:lvlText w:val="(%1)"/>
      <w:numFmt w:val="lowerRoman"/>
      <w:start w:val="5"/>
    </w:lvl>
  </w:abstractNum>
  <w:abstractNum w:abstractNumId="172">
    <w:nsid w:val="5A9CC3E5"/>
    <w:multiLevelType w:val="hybridMultilevel"/>
    <w:lvl w:ilvl="0">
      <w:lvlJc w:val="left"/>
      <w:lvlText w:val="(%1)"/>
      <w:numFmt w:val="lowerRoman"/>
      <w:start w:val="1"/>
    </w:lvl>
  </w:abstractNum>
  <w:abstractNum w:abstractNumId="173">
    <w:nsid w:val="1AFE3625"/>
    <w:multiLevelType w:val="hybridMultilevel"/>
    <w:lvl w:ilvl="0">
      <w:lvlJc w:val="left"/>
      <w:lvlText w:val="(%1)"/>
      <w:numFmt w:val="upperLetter"/>
      <w:start w:val="35"/>
    </w:lvl>
    <w:lvl w:ilvl="1">
      <w:lvlJc w:val="left"/>
      <w:lvlText w:val="(%2)"/>
      <w:numFmt w:val="lowerRoman"/>
      <w:start w:val="2"/>
    </w:lvl>
  </w:abstractNum>
  <w:abstractNum w:abstractNumId="174">
    <w:nsid w:val="3CA88ECF"/>
    <w:multiLevelType w:val="hybridMultilevel"/>
    <w:lvl w:ilvl="0">
      <w:lvlJc w:val="left"/>
      <w:lvlText w:val="(%1)"/>
      <w:numFmt w:val="lowerRoman"/>
      <w:start w:val="2"/>
    </w:lvl>
  </w:abstractNum>
  <w:abstractNum w:abstractNumId="175">
    <w:nsid w:val="6EBE4208"/>
    <w:multiLevelType w:val="hybridMultilevel"/>
    <w:lvl w:ilvl="0">
      <w:lvlJc w:val="left"/>
      <w:lvlText w:val="(%1)"/>
      <w:numFmt w:val="lowerLetter"/>
      <w:start w:val="1"/>
    </w:lvl>
  </w:abstractNum>
  <w:abstractNum w:abstractNumId="176">
    <w:nsid w:val="C058DF5"/>
    <w:multiLevelType w:val="hybridMultilevel"/>
    <w:lvl w:ilvl="0">
      <w:lvlJc w:val="left"/>
      <w:lvlText w:val="(%1)"/>
      <w:numFmt w:val="lowerLetter"/>
      <w:start w:val="1"/>
    </w:lvl>
  </w:abstractNum>
  <w:abstractNum w:abstractNumId="177">
    <w:nsid w:val="CBE5BE9"/>
    <w:multiLevelType w:val="hybridMultilevel"/>
    <w:lvl w:ilvl="0">
      <w:lvlJc w:val="left"/>
      <w:lvlText w:val="(%1)"/>
      <w:numFmt w:val="lowerRoman"/>
      <w:start w:val="1"/>
    </w:lvl>
  </w:abstractNum>
  <w:abstractNum w:abstractNumId="178">
    <w:nsid w:val="3102BBE2"/>
    <w:multiLevelType w:val="hybridMultilevel"/>
    <w:lvl w:ilvl="0">
      <w:lvlJc w:val="left"/>
      <w:lvlText w:val="(%1)"/>
      <w:numFmt w:val="lowerLetter"/>
      <w:start w:val="1"/>
    </w:lvl>
  </w:abstractNum>
  <w:abstractNum w:abstractNumId="179">
    <w:nsid w:val="26A02C5E"/>
    <w:multiLevelType w:val="hybridMultilevel"/>
    <w:lvl w:ilvl="0">
      <w:lvlJc w:val="left"/>
      <w:lvlText w:val="(%1)"/>
      <w:numFmt w:val="lowerLetter"/>
      <w:start w:val="1"/>
    </w:lvl>
  </w:abstractNum>
  <w:abstractNum w:abstractNumId="180">
    <w:nsid w:val="541C8153"/>
    <w:multiLevelType w:val="hybridMultilevel"/>
    <w:lvl w:ilvl="0">
      <w:lvlJc w:val="left"/>
      <w:lvlText w:val="(%1)"/>
      <w:numFmt w:val="lowerLetter"/>
      <w:start w:val="2"/>
    </w:lvl>
  </w:abstractNum>
  <w:abstractNum w:abstractNumId="181">
    <w:nsid w:val="67906F60"/>
    <w:multiLevelType w:val="hybridMultilevel"/>
    <w:lvl w:ilvl="0">
      <w:lvlJc w:val="left"/>
      <w:lvlText w:val="(%1)"/>
      <w:numFmt w:val="lowerLetter"/>
      <w:start w:val="1"/>
    </w:lvl>
  </w:abstractNum>
  <w:abstractNum w:abstractNumId="182">
    <w:nsid w:val="10DB9DAA"/>
    <w:multiLevelType w:val="hybridMultilevel"/>
    <w:lvl w:ilvl="0">
      <w:lvlJc w:val="left"/>
      <w:lvlText w:val="(%1)"/>
      <w:numFmt w:val="lowerLetter"/>
      <w:start w:val="4"/>
    </w:lvl>
  </w:abstractNum>
  <w:abstractNum w:abstractNumId="183">
    <w:nsid w:val="697D2D2"/>
    <w:multiLevelType w:val="hybridMultilevel"/>
    <w:lvl w:ilvl="0">
      <w:lvlJc w:val="left"/>
      <w:lvlText w:val="(%1)"/>
      <w:numFmt w:val="lowerLetter"/>
      <w:start w:val="4"/>
    </w:lvl>
  </w:abstractNum>
  <w:abstractNum w:abstractNumId="184">
    <w:nsid w:val="6D68AB2"/>
    <w:multiLevelType w:val="hybridMultilevel"/>
    <w:lvl w:ilvl="0">
      <w:lvlJc w:val="left"/>
      <w:lvlText w:val="(%1)"/>
      <w:numFmt w:val="lowerLetter"/>
      <w:start w:val="1"/>
    </w:lvl>
    <w:lvl w:ilvl="1">
      <w:lvlJc w:val="left"/>
      <w:lvlText w:val="(%2)"/>
      <w:numFmt w:val="lowerRoman"/>
      <w:start w:val="1"/>
    </w:lvl>
  </w:abstractNum>
  <w:abstractNum w:abstractNumId="185">
    <w:nsid w:val="3A966CD0"/>
    <w:multiLevelType w:val="hybridMultilevel"/>
    <w:lvl w:ilvl="0">
      <w:lvlJc w:val="left"/>
      <w:lvlText w:val="(%1)"/>
      <w:numFmt w:val="lowerLetter"/>
      <w:start w:val="2"/>
    </w:lvl>
  </w:abstractNum>
  <w:abstractNum w:abstractNumId="186">
    <w:nsid w:val="63F37E85"/>
    <w:multiLevelType w:val="hybridMultilevel"/>
    <w:lvl w:ilvl="0">
      <w:lvlJc w:val="left"/>
      <w:lvlText w:val="(%1)"/>
      <w:numFmt w:val="lowerLetter"/>
      <w:start w:val="1"/>
    </w:lvl>
  </w:abstractNum>
  <w:abstractNum w:abstractNumId="187">
    <w:nsid w:val="5895F5FA"/>
    <w:multiLevelType w:val="hybridMultilevel"/>
    <w:lvl w:ilvl="0">
      <w:lvlJc w:val="left"/>
      <w:lvlText w:val="(%1)"/>
      <w:numFmt w:val="lowerLetter"/>
      <w:start w:val="1"/>
    </w:lvl>
  </w:abstractNum>
  <w:abstractNum w:abstractNumId="188">
    <w:nsid w:val="38A5D054"/>
    <w:multiLevelType w:val="hybridMultilevel"/>
    <w:lvl w:ilvl="0">
      <w:lvlJc w:val="left"/>
      <w:lvlText w:val="(%1)"/>
      <w:numFmt w:val="lowerLetter"/>
      <w:start w:val="2"/>
    </w:lvl>
  </w:abstractNum>
  <w:abstractNum w:abstractNumId="189">
    <w:nsid w:val="F3F09D8"/>
    <w:multiLevelType w:val="hybridMultilevel"/>
    <w:lvl w:ilvl="0">
      <w:lvlJc w:val="left"/>
      <w:lvlText w:val="(%1)"/>
      <w:numFmt w:val="lowerLetter"/>
      <w:start w:val="1"/>
    </w:lvl>
  </w:abstractNum>
  <w:abstractNum w:abstractNumId="190">
    <w:nsid w:val="4B793735"/>
    <w:multiLevelType w:val="hybridMultilevel"/>
    <w:lvl w:ilvl="0">
      <w:lvlJc w:val="left"/>
      <w:lvlText w:val="(%1)"/>
      <w:numFmt w:val="lowerLetter"/>
      <w:start w:val="2"/>
    </w:lvl>
    <w:lvl w:ilvl="1">
      <w:lvlJc w:val="left"/>
      <w:lvlText w:val="(%2)"/>
      <w:numFmt w:val="upperLetter"/>
      <w:start w:val="1"/>
    </w:lvl>
  </w:abstractNum>
  <w:abstractNum w:abstractNumId="191">
    <w:nsid w:val="4A10B4E8"/>
    <w:multiLevelType w:val="hybridMultilevel"/>
    <w:lvl w:ilvl="0">
      <w:lvlJc w:val="left"/>
      <w:lvlText w:val="(%1)"/>
      <w:numFmt w:val="lowerRoman"/>
      <w:start w:val="2"/>
    </w:lvl>
    <w:lvl w:ilvl="1">
      <w:lvlJc w:val="left"/>
      <w:lvlText w:val="(%2)"/>
      <w:numFmt w:val="upperLetter"/>
      <w:start w:val="1"/>
    </w:lvl>
  </w:abstractNum>
  <w:abstractNum w:abstractNumId="192">
    <w:nsid w:val="43D3BC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93">
    <w:nsid w:val="4C2A7166"/>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94">
    <w:nsid w:val="2E534A8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5">
    <w:nsid w:val="26F2D364"/>
    <w:multiLevelType w:val="hybridMultilevel"/>
    <w:lvl w:ilvl="0">
      <w:lvlJc w:val="left"/>
      <w:lvlText w:val="%1"/>
      <w:numFmt w:val="lowerLetter"/>
      <w:start w:val="1"/>
    </w:lvl>
    <w:lvl w:ilvl="1">
      <w:lvlJc w:val="left"/>
      <w:lvlText w:val="(%2)"/>
      <w:numFmt w:val="lowerLetter"/>
      <w:start w:val="35"/>
    </w:lvl>
  </w:abstractNum>
  <w:abstractNum w:abstractNumId="196">
    <w:nsid w:val="71C1AF98"/>
    <w:multiLevelType w:val="hybridMultilevel"/>
    <w:lvl w:ilvl="0">
      <w:lvlJc w:val="left"/>
      <w:lvlText w:val="(%1)"/>
      <w:numFmt w:val="lowerLetter"/>
      <w:start w:val="4"/>
    </w:lvl>
    <w:lvl w:ilvl="1">
      <w:lvlJc w:val="left"/>
      <w:lvlText w:val="%2"/>
      <w:numFmt w:val="lowerLetter"/>
      <w:start w:val="1"/>
    </w:lvl>
  </w:abstractNum>
  <w:abstractNum w:abstractNumId="197">
    <w:nsid w:val="3D00B9D9"/>
    <w:multiLevelType w:val="hybridMultilevel"/>
    <w:lvl w:ilvl="0">
      <w:lvlJc w:val="left"/>
      <w:lvlText w:val="(%1)"/>
      <w:numFmt w:val="lowerLetter"/>
      <w:start w:val="7"/>
    </w:lvl>
  </w:abstractNum>
  <w:abstractNum w:abstractNumId="198">
    <w:nsid w:val="15BCABA8"/>
    <w:multiLevelType w:val="hybridMultilevel"/>
    <w:lvl w:ilvl="0">
      <w:lvlJc w:val="left"/>
      <w:lvlText w:val="(%1)"/>
      <w:numFmt w:val="lowerLetter"/>
      <w:start w:val="1"/>
    </w:lvl>
  </w:abstractNum>
  <w:abstractNum w:abstractNumId="199">
    <w:nsid w:val="4E0B9A87"/>
    <w:multiLevelType w:val="hybridMultilevel"/>
    <w:lvl w:ilvl="0">
      <w:lvlJc w:val="left"/>
      <w:lvlText w:val="(%1)"/>
      <w:numFmt w:val="lowerLetter"/>
      <w:start w:val="2"/>
    </w:lvl>
  </w:abstractNum>
  <w:abstractNum w:abstractNumId="200">
    <w:nsid w:val="434BAE75"/>
    <w:multiLevelType w:val="hybridMultilevel"/>
    <w:lvl w:ilvl="0">
      <w:lvlJc w:val="left"/>
      <w:lvlText w:val="(%1)"/>
      <w:numFmt w:val="lowerLetter"/>
      <w:start w:val="1"/>
    </w:lvl>
  </w:abstractNum>
  <w:abstractNum w:abstractNumId="201">
    <w:nsid w:val="4F38F265"/>
    <w:multiLevelType w:val="hybridMultilevel"/>
    <w:lvl w:ilvl="0">
      <w:lvlJc w:val="left"/>
      <w:lvlText w:val="(%1)"/>
      <w:numFmt w:val="lowerLetter"/>
      <w:start w:val="2"/>
    </w:lvl>
  </w:abstractNum>
  <w:abstractNum w:abstractNumId="202">
    <w:nsid w:val="4C502870"/>
    <w:multiLevelType w:val="hybridMultilevel"/>
    <w:lvl w:ilvl="0">
      <w:lvlJc w:val="left"/>
      <w:lvlText w:val="(%1)"/>
      <w:numFmt w:val="lowerLetter"/>
      <w:start w:val="1"/>
    </w:lvl>
  </w:abstractNum>
  <w:abstractNum w:abstractNumId="203">
    <w:nsid w:val="1DE8725A"/>
    <w:multiLevelType w:val="hybridMultilevel"/>
    <w:lvl w:ilvl="0">
      <w:lvlJc w:val="left"/>
      <w:lvlText w:val="(%1)"/>
      <w:numFmt w:val="lowerLetter"/>
      <w:start w:val="4"/>
    </w:lvl>
  </w:abstractNum>
  <w:abstractNum w:abstractNumId="204">
    <w:nsid w:val="6A37288A"/>
    <w:multiLevelType w:val="hybridMultilevel"/>
    <w:lvl w:ilvl="0">
      <w:lvlJc w:val="left"/>
      <w:lvlText w:val="(%1)"/>
      <w:numFmt w:val="lowerLetter"/>
      <w:start w:val="1"/>
    </w:lvl>
    <w:lvl w:ilvl="1">
      <w:lvlJc w:val="left"/>
      <w:lvlText w:val="(%2)"/>
      <w:numFmt w:val="lowerRoman"/>
      <w:start w:val="2"/>
    </w:lvl>
  </w:abstractNum>
  <w:abstractNum w:abstractNumId="205">
    <w:nsid w:val="8F8B73F"/>
    <w:multiLevelType w:val="hybridMultilevel"/>
    <w:lvl w:ilvl="0">
      <w:lvlJc w:val="left"/>
      <w:lvlText w:val="(%1)"/>
      <w:numFmt w:val="lowerLetter"/>
      <w:start w:val="3"/>
    </w:lvl>
  </w:abstractNum>
  <w:abstractNum w:abstractNumId="206">
    <w:nsid w:val="CA6B462"/>
    <w:multiLevelType w:val="hybridMultilevel"/>
    <w:lvl w:ilvl="0">
      <w:lvlJc w:val="left"/>
      <w:lvlText w:val="(%1)"/>
      <w:numFmt w:val="lowerRoman"/>
      <w:start w:val="4"/>
    </w:lvl>
  </w:abstractNum>
  <w:abstractNum w:abstractNumId="207">
    <w:nsid w:val="763CB680"/>
    <w:multiLevelType w:val="hybridMultilevel"/>
    <w:lvl w:ilvl="0">
      <w:lvlJc w:val="left"/>
      <w:lvlText w:val="(%1)"/>
      <w:numFmt w:val="lowerLetter"/>
      <w:start w:val="1"/>
    </w:lvl>
  </w:abstractNum>
  <w:abstractNum w:abstractNumId="208">
    <w:nsid w:val="15B71329"/>
    <w:multiLevelType w:val="hybridMultilevel"/>
    <w:lvl w:ilvl="0">
      <w:lvlJc w:val="left"/>
      <w:lvlText w:val="(%1)"/>
      <w:numFmt w:val="lowerLetter"/>
      <w:start w:val="3"/>
    </w:lvl>
  </w:abstractNum>
  <w:abstractNum w:abstractNumId="209">
    <w:nsid w:val="3DA97044"/>
    <w:multiLevelType w:val="hybridMultilevel"/>
    <w:lvl w:ilvl="0">
      <w:lvlJc w:val="left"/>
      <w:lvlText w:val="(%1)"/>
      <w:numFmt w:val="lowerLetter"/>
      <w:start w:val="1"/>
    </w:lvl>
    <w:lvl w:ilvl="1">
      <w:lvlJc w:val="left"/>
      <w:lvlText w:val="(%2)"/>
      <w:numFmt w:val="lowerRoman"/>
      <w:start w:val="1"/>
    </w:lvl>
  </w:abstractNum>
  <w:abstractNum w:abstractNumId="210">
    <w:nsid w:val="1CDCE2D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2021-06-03T15:49:07Z</dcterms:created>
  <dcterms:modified xsi:type="dcterms:W3CDTF">2021-06-03T15:49:07Z</dcterms:modified>
</cp:coreProperties>
</file>