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ind w:left="38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-242570</wp:posOffset>
            </wp:positionV>
            <wp:extent cx="135890" cy="135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90" cy="135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540" w:type="dxa"/>
            <w:vAlign w:val="bottom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21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5469890</wp:posOffset>
            </wp:positionH>
            <wp:positionV relativeFrom="paragraph">
              <wp:posOffset>-647700</wp:posOffset>
            </wp:positionV>
            <wp:extent cx="59055" cy="6610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4138930</wp:posOffset>
            </wp:positionH>
            <wp:positionV relativeFrom="paragraph">
              <wp:posOffset>-647700</wp:posOffset>
            </wp:positionV>
            <wp:extent cx="59055" cy="6610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61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-1709420</wp:posOffset>
            </wp:positionH>
            <wp:positionV relativeFrom="paragraph">
              <wp:posOffset>19685</wp:posOffset>
            </wp:positionV>
            <wp:extent cx="7323455" cy="473900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739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40"/>
            <w:col w:w="884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Moore Patrick R.</w:t>
        </w:r>
      </w:hyperlink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 w:right="520"/>
        <w:spacing w:after="0" w:line="35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C/O NATIONAL VISION HOLDINGS, INC., 2435 COMMERCE AVENUE, BLDG. 2200</w:t>
      </w:r>
    </w:p>
    <w:p>
      <w:pPr>
        <w:spacing w:after="0" w:line="1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30096-4980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980" w:type="dxa"/>
            <w:vAlign w:val="bottom"/>
            <w:gridSpan w:val="4"/>
          </w:tcPr>
          <w:p>
            <w:pPr>
              <w:ind w:left="60"/>
              <w:spacing w:after="0" w:line="142" w:lineRule="exact"/>
              <w:rPr>
                <w:rFonts w:ascii="Arial" w:cs="Arial" w:eastAsia="Arial" w:hAnsi="Arial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[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EYE</w:t>
            </w:r>
            <w:r>
              <w:rPr>
                <w:rFonts w:ascii="Arial" w:cs="Arial" w:eastAsia="Arial" w:hAnsi="Arial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00"/>
              </w:rPr>
              <w:t>]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SVP, 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08/02/2018</w:t>
            </w: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3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5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720" w:type="dxa"/>
            <w:vAlign w:val="bottom"/>
          </w:tcPr>
          <w:p>
            <w:pPr>
              <w:ind w:left="6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8,010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09/16/2024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4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8,010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4.27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128,160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 w:right="44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On September 16, 2014, the reporting person was granted stock options, subject to time-based and performance-based vesting. On August 2, 2018, a liquidity event with respect to such performance-based stock options occurred as a result of sales by the Issuer's sponsor stockholders and 8,010 stock options which had previously not been reported were deemed earned.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320" w:firstLine="7"/>
        <w:spacing w:after="0" w:line="270" w:lineRule="auto"/>
        <w:tabs>
          <w:tab w:leader="none" w:pos="174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Of the 128,160 stock options reported herein, 106,800 are vested and the remaining 21,360 time-based stock options will vest on March 13, 2019. An additional 96,121 stock options which remain subject to liquidity-event performance-based vesting conditions are not included in the table above.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08/02/2018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Attorney-in-Fact</w:t>
            </w: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both"/>
        <w:ind w:left="40" w:right="376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19844" TargetMode="External"/><Relationship Id="rId13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2019-12-24T09:18:45Z</dcterms:created>
  <dcterms:modified xsi:type="dcterms:W3CDTF">2019-12-24T09:18:45Z</dcterms:modified>
</cp:coreProperties>
</file>