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63845R107</w:t>
      </w:r>
      <w:r>
        <w:rPr>
          <w:rFonts w:ascii="Arial" w:cs="Arial" w:eastAsia="Arial" w:hAnsi="Arial"/>
          <w:sz w:val="18"/>
          <w:szCs w:val="18"/>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27,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3" w:lineRule="exact"/>
        <w:rPr>
          <w:sz w:val="24"/>
          <w:szCs w:val="24"/>
          <w:color w:val="auto"/>
        </w:rPr>
      </w:pPr>
    </w:p>
    <w:p>
      <w:pPr>
        <w:jc w:val="both"/>
        <w:ind w:left="640" w:right="7960" w:firstLine="4"/>
        <w:spacing w:after="0" w:line="242" w:lineRule="exact"/>
        <w:tabs>
          <w:tab w:leader="none" w:pos="847"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 xml:space="preserve">Rule 13d-1(b) </w:t>
      </w:r>
      <w:r>
        <w:rPr>
          <w:rFonts w:ascii="MS PGothic" w:cs="MS PGothic" w:eastAsia="MS PGothic" w:hAnsi="MS PGothic"/>
          <w:sz w:val="15"/>
          <w:szCs w:val="15"/>
          <w:color w:val="auto"/>
        </w:rPr>
        <w:t>☐</w:t>
      </w:r>
      <w:r>
        <w:rPr>
          <w:rFonts w:ascii="Arial" w:cs="Arial" w:eastAsia="Arial" w:hAnsi="Arial"/>
          <w:sz w:val="18"/>
          <w:szCs w:val="18"/>
          <w:color w:val="auto"/>
        </w:rPr>
        <w:t xml:space="preserve"> Rule 13d-1(c) </w:t>
      </w:r>
      <w:r>
        <w:rPr>
          <w:rFonts w:ascii="MS PGothic" w:cs="MS PGothic" w:eastAsia="MS PGothic" w:hAnsi="MS PGothic"/>
          <w:sz w:val="15"/>
          <w:szCs w:val="15"/>
          <w:color w:val="auto"/>
        </w:rPr>
        <w:t>☐</w:t>
      </w:r>
      <w:r>
        <w:rPr>
          <w:rFonts w:ascii="Arial" w:cs="Arial" w:eastAsia="Arial" w:hAnsi="Arial"/>
          <w:sz w:val="18"/>
          <w:szCs w:val="18"/>
          <w:color w:val="auto"/>
        </w:rPr>
        <w:t xml:space="preserve"> Rule 13d-1(d)</w:t>
      </w:r>
    </w:p>
    <w:p>
      <w:pPr>
        <w:spacing w:after="0" w:line="183"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20"/>
          </w:cols>
          <w:pgMar w:left="980" w:top="702"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CUSIP No. 63845R107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86"/>
        </w:trPr>
        <w:tc>
          <w:tcPr>
            <w:tcW w:w="40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20"/>
                <w:szCs w:val="20"/>
                <w:b w:val="1"/>
                <w:bCs w:val="1"/>
                <w:color w:val="auto"/>
              </w:rPr>
              <w:t>1</w:t>
            </w:r>
          </w:p>
        </w:tc>
        <w:tc>
          <w:tcPr>
            <w:tcW w:w="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Durable Capital Partners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ind w:left="200"/>
              <w:spacing w:after="0" w:line="169" w:lineRule="exact"/>
              <w:rPr>
                <w:sz w:val="20"/>
                <w:szCs w:val="20"/>
                <w:color w:val="auto"/>
              </w:rPr>
            </w:pPr>
            <w:r>
              <w:rPr>
                <w:rFonts w:ascii="Arial" w:cs="Arial" w:eastAsia="Arial" w:hAnsi="Arial"/>
                <w:sz w:val="19"/>
                <w:szCs w:val="19"/>
                <w:b w:val="1"/>
                <w:bCs w:val="1"/>
                <w:color w:val="auto"/>
              </w:rPr>
              <w:t>2</w:t>
            </w:r>
          </w:p>
        </w:tc>
        <w:tc>
          <w:tcPr>
            <w:tcW w:w="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3"/>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10"/>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40" w:type="dxa"/>
            <w:vAlign w:val="bottom"/>
            <w:tcBorders>
              <w:right w:val="single" w:sz="8" w:color="auto"/>
            </w:tcBorders>
          </w:tcPr>
          <w:p>
            <w:pPr>
              <w:ind w:left="44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37"/>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40" w:type="dxa"/>
            <w:vAlign w:val="bottom"/>
            <w:tcBorders>
              <w:right w:val="single" w:sz="8" w:color="auto"/>
            </w:tcBorders>
          </w:tcPr>
          <w:p>
            <w:pPr>
              <w:ind w:left="44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71"/>
        </w:trPr>
        <w:tc>
          <w:tcPr>
            <w:tcW w:w="400" w:type="dxa"/>
            <w:vAlign w:val="bottom"/>
            <w:tcBorders>
              <w:left w:val="single" w:sz="8" w:color="auto"/>
              <w:bottom w:val="single" w:sz="8" w:color="auto"/>
            </w:tcBorders>
          </w:tcPr>
          <w:p>
            <w:pPr>
              <w:spacing w:after="0"/>
              <w:rPr>
                <w:sz w:val="23"/>
                <w:szCs w:val="23"/>
                <w:color w:val="auto"/>
              </w:rPr>
            </w:pPr>
          </w:p>
        </w:tc>
        <w:tc>
          <w:tcPr>
            <w:tcW w:w="8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ind w:left="200"/>
              <w:spacing w:after="0"/>
              <w:rPr>
                <w:sz w:val="20"/>
                <w:szCs w:val="20"/>
                <w:color w:val="auto"/>
              </w:rPr>
            </w:pPr>
            <w:r>
              <w:rPr>
                <w:rFonts w:ascii="Arial" w:cs="Arial" w:eastAsia="Arial" w:hAnsi="Arial"/>
                <w:sz w:val="20"/>
                <w:szCs w:val="20"/>
                <w:b w:val="1"/>
                <w:bCs w:val="1"/>
                <w:color w:val="auto"/>
              </w:rPr>
              <w:t>3</w:t>
            </w:r>
          </w:p>
        </w:tc>
        <w:tc>
          <w:tcPr>
            <w:tcW w:w="80" w:type="dxa"/>
            <w:vAlign w:val="bottom"/>
            <w:tcBorders>
              <w:right w:val="single" w:sz="8" w:color="auto"/>
            </w:tcBorders>
          </w:tcPr>
          <w:p>
            <w:pPr>
              <w:spacing w:after="0"/>
              <w:rPr>
                <w:sz w:val="21"/>
                <w:szCs w:val="21"/>
                <w:color w:val="auto"/>
              </w:rPr>
            </w:pPr>
          </w:p>
        </w:tc>
        <w:tc>
          <w:tcPr>
            <w:tcW w:w="1460" w:type="dxa"/>
            <w:vAlign w:val="bottom"/>
            <w:tcBorders>
              <w:right w:val="single" w:sz="8" w:color="F2F2F2"/>
            </w:tcBorders>
            <w:shd w:val="clear" w:color="auto" w:fill="F2F2F2"/>
          </w:tcPr>
          <w:p>
            <w:pPr>
              <w:ind w:left="100"/>
              <w:spacing w:after="0"/>
              <w:rPr>
                <w:sz w:val="20"/>
                <w:szCs w:val="20"/>
                <w:color w:val="auto"/>
              </w:rPr>
            </w:pPr>
            <w:r>
              <w:rPr>
                <w:rFonts w:ascii="Arial" w:cs="Arial" w:eastAsia="Arial" w:hAnsi="Arial"/>
                <w:sz w:val="18"/>
                <w:szCs w:val="18"/>
                <w:color w:val="auto"/>
                <w:w w:val="99"/>
              </w:rPr>
              <w:t>SEC USE ONLY</w:t>
            </w:r>
          </w:p>
        </w:tc>
        <w:tc>
          <w:tcPr>
            <w:tcW w:w="460" w:type="dxa"/>
            <w:vAlign w:val="bottom"/>
            <w:tcBorders>
              <w:right w:val="single" w:sz="8" w:color="F2F2F2"/>
            </w:tcBorders>
            <w:shd w:val="clear" w:color="auto" w:fill="F2F2F2"/>
          </w:tcPr>
          <w:p>
            <w:pPr>
              <w:spacing w:after="0"/>
              <w:rPr>
                <w:sz w:val="21"/>
                <w:szCs w:val="21"/>
                <w:color w:val="auto"/>
              </w:rPr>
            </w:pPr>
          </w:p>
        </w:tc>
        <w:tc>
          <w:tcPr>
            <w:tcW w:w="8840" w:type="dxa"/>
            <w:vAlign w:val="bottom"/>
            <w:tcBorders>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F2F2F2"/>
            </w:tcBorders>
            <w:shd w:val="clear" w:color="auto" w:fill="F2F2F2"/>
          </w:tcPr>
          <w:p>
            <w:pPr>
              <w:spacing w:after="0"/>
              <w:rPr>
                <w:sz w:val="24"/>
                <w:szCs w:val="24"/>
                <w:color w:val="auto"/>
              </w:rPr>
            </w:pPr>
          </w:p>
        </w:tc>
        <w:tc>
          <w:tcPr>
            <w:tcW w:w="460" w:type="dxa"/>
            <w:vAlign w:val="bottom"/>
            <w:tcBorders>
              <w:bottom w:val="single" w:sz="8" w:color="auto"/>
              <w:right w:val="single" w:sz="8" w:color="F2F2F2"/>
            </w:tcBorders>
            <w:shd w:val="clear" w:color="auto" w:fill="F2F2F2"/>
          </w:tcPr>
          <w:p>
            <w:pPr>
              <w:spacing w:after="0"/>
              <w:rPr>
                <w:sz w:val="24"/>
                <w:szCs w:val="24"/>
                <w:color w:val="auto"/>
              </w:rPr>
            </w:pPr>
          </w:p>
        </w:tc>
        <w:tc>
          <w:tcPr>
            <w:tcW w:w="884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ind w:left="200"/>
              <w:spacing w:after="0"/>
              <w:rPr>
                <w:sz w:val="20"/>
                <w:szCs w:val="20"/>
                <w:color w:val="auto"/>
              </w:rPr>
            </w:pPr>
            <w:r>
              <w:rPr>
                <w:rFonts w:ascii="Arial" w:cs="Arial" w:eastAsia="Arial" w:hAnsi="Arial"/>
                <w:sz w:val="20"/>
                <w:szCs w:val="20"/>
                <w:b w:val="1"/>
                <w:bCs w:val="1"/>
                <w:color w:val="auto"/>
              </w:rPr>
              <w:t>4</w:t>
            </w:r>
          </w:p>
        </w:tc>
        <w:tc>
          <w:tcPr>
            <w:tcW w:w="80" w:type="dxa"/>
            <w:vAlign w:val="bottom"/>
            <w:tcBorders>
              <w:right w:val="single" w:sz="8" w:color="auto"/>
            </w:tcBorders>
          </w:tcPr>
          <w:p>
            <w:pPr>
              <w:spacing w:after="0"/>
              <w:rPr>
                <w:sz w:val="21"/>
                <w:szCs w:val="21"/>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92"/>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8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spacing w:after="0"/>
              <w:rPr>
                <w:sz w:val="21"/>
                <w:szCs w:val="21"/>
                <w:color w:val="auto"/>
              </w:rPr>
            </w:pPr>
          </w:p>
        </w:tc>
        <w:tc>
          <w:tcPr>
            <w:tcW w:w="1540" w:type="dxa"/>
            <w:vAlign w:val="bottom"/>
            <w:tcBorders>
              <w:right w:val="single" w:sz="8" w:color="auto"/>
            </w:tcBorders>
            <w:gridSpan w:val="2"/>
            <w:vMerge w:val="restart"/>
          </w:tcPr>
          <w:p>
            <w:pPr>
              <w:jc w:val="center"/>
              <w:ind w:right="309"/>
              <w:spacing w:after="0"/>
              <w:rPr>
                <w:sz w:val="20"/>
                <w:szCs w:val="20"/>
                <w:color w:val="auto"/>
              </w:rPr>
            </w:pPr>
            <w:r>
              <w:rPr>
                <w:rFonts w:ascii="Arial" w:cs="Arial" w:eastAsia="Arial" w:hAnsi="Arial"/>
                <w:sz w:val="20"/>
                <w:szCs w:val="20"/>
                <w:color w:val="auto"/>
                <w:w w:val="94"/>
              </w:rPr>
              <w:t>NUMBER OF</w:t>
            </w:r>
          </w:p>
        </w:tc>
        <w:tc>
          <w:tcPr>
            <w:tcW w:w="460" w:type="dxa"/>
            <w:vAlign w:val="bottom"/>
            <w:tcBorders>
              <w:right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5</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540" w:type="dxa"/>
            <w:vAlign w:val="bottom"/>
            <w:tcBorders>
              <w:right w:val="single" w:sz="8" w:color="auto"/>
            </w:tcBorders>
            <w:gridSpan w:val="2"/>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8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40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4,544,452</w:t>
            </w: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right w:val="single" w:sz="8" w:color="auto"/>
            </w:tcBorders>
            <w:vMerge w:val="restart"/>
          </w:tcPr>
          <w:p>
            <w:pPr>
              <w:jc w:val="center"/>
              <w:ind w:right="389"/>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0" w:type="dxa"/>
            <w:vAlign w:val="bottom"/>
            <w:tcBorders>
              <w:lef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Borders>
              <w:right w:val="single" w:sz="8" w:color="auto"/>
            </w:tcBorders>
            <w:vMerge w:val="continue"/>
          </w:tcPr>
          <w:p>
            <w:pPr>
              <w:spacing w:after="0"/>
              <w:rPr>
                <w:sz w:val="21"/>
                <w:szCs w:val="21"/>
                <w:color w:val="auto"/>
              </w:rPr>
            </w:pPr>
          </w:p>
        </w:tc>
        <w:tc>
          <w:tcPr>
            <w:tcW w:w="460" w:type="dxa"/>
            <w:vAlign w:val="bottom"/>
            <w:tcBorders>
              <w:right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6</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Borders>
              <w:right w:val="single" w:sz="8" w:color="auto"/>
            </w:tcBorders>
          </w:tcPr>
          <w:p>
            <w:pPr>
              <w:spacing w:after="0"/>
              <w:rPr>
                <w:sz w:val="20"/>
                <w:szCs w:val="20"/>
                <w:color w:val="auto"/>
              </w:rPr>
            </w:pPr>
          </w:p>
        </w:tc>
        <w:tc>
          <w:tcPr>
            <w:tcW w:w="8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4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right w:val="single" w:sz="8" w:color="auto"/>
            </w:tcBorders>
            <w:vMerge w:val="restart"/>
          </w:tcPr>
          <w:p>
            <w:pPr>
              <w:jc w:val="center"/>
              <w:ind w:right="369"/>
              <w:spacing w:after="0"/>
              <w:rPr>
                <w:sz w:val="20"/>
                <w:szCs w:val="20"/>
                <w:color w:val="auto"/>
              </w:rPr>
            </w:pPr>
            <w:r>
              <w:rPr>
                <w:rFonts w:ascii="Arial" w:cs="Arial" w:eastAsia="Arial" w:hAnsi="Arial"/>
                <w:sz w:val="18"/>
                <w:szCs w:val="18"/>
                <w:color w:val="auto"/>
                <w:w w:val="97"/>
              </w:rPr>
              <w:t>OWNED BY</w:t>
            </w:r>
          </w:p>
        </w:tc>
        <w:tc>
          <w:tcPr>
            <w:tcW w:w="460" w:type="dxa"/>
            <w:vAlign w:val="bottom"/>
            <w:tcBorders>
              <w:right w:val="single" w:sz="8" w:color="auto"/>
            </w:tcBorders>
          </w:tcPr>
          <w:p>
            <w:pPr>
              <w:spacing w:after="0"/>
              <w:rPr>
                <w:sz w:val="14"/>
                <w:szCs w:val="14"/>
                <w:color w:val="auto"/>
              </w:rPr>
            </w:pPr>
          </w:p>
        </w:tc>
        <w:tc>
          <w:tcPr>
            <w:tcW w:w="8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8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00" w:type="dxa"/>
            <w:vAlign w:val="bottom"/>
            <w:tcBorders>
              <w:lef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Borders>
              <w:right w:val="single" w:sz="8" w:color="auto"/>
            </w:tcBorders>
          </w:tcPr>
          <w:p>
            <w:pPr>
              <w:jc w:val="center"/>
              <w:ind w:right="389"/>
              <w:spacing w:after="0"/>
              <w:rPr>
                <w:sz w:val="20"/>
                <w:szCs w:val="20"/>
                <w:color w:val="auto"/>
              </w:rPr>
            </w:pPr>
            <w:r>
              <w:rPr>
                <w:rFonts w:ascii="Arial" w:cs="Arial" w:eastAsia="Arial" w:hAnsi="Arial"/>
                <w:sz w:val="18"/>
                <w:szCs w:val="18"/>
                <w:color w:val="auto"/>
                <w:w w:val="99"/>
              </w:rPr>
              <w:t>EACH</w:t>
            </w:r>
          </w:p>
        </w:tc>
        <w:tc>
          <w:tcPr>
            <w:tcW w:w="460" w:type="dxa"/>
            <w:vAlign w:val="bottom"/>
            <w:tcBorders>
              <w:right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7</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right w:val="single" w:sz="8" w:color="auto"/>
            </w:tcBorders>
          </w:tcPr>
          <w:p>
            <w:pPr>
              <w:jc w:val="center"/>
              <w:ind w:right="369"/>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tcPr>
          <w:p>
            <w:pPr>
              <w:spacing w:after="0"/>
              <w:rPr>
                <w:sz w:val="20"/>
                <w:szCs w:val="20"/>
                <w:color w:val="auto"/>
              </w:rPr>
            </w:pPr>
          </w:p>
        </w:tc>
        <w:tc>
          <w:tcPr>
            <w:tcW w:w="8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4,544,452</w:t>
            </w:r>
          </w:p>
        </w:tc>
        <w:tc>
          <w:tcPr>
            <w:tcW w:w="0" w:type="dxa"/>
            <w:vAlign w:val="bottom"/>
          </w:tcPr>
          <w:p>
            <w:pPr>
              <w:spacing w:after="0"/>
              <w:rPr>
                <w:sz w:val="1"/>
                <w:szCs w:val="1"/>
                <w:color w:val="auto"/>
              </w:rPr>
            </w:pPr>
          </w:p>
        </w:tc>
      </w:tr>
      <w:tr>
        <w:trPr>
          <w:trHeight w:val="162"/>
        </w:trPr>
        <w:tc>
          <w:tcPr>
            <w:tcW w:w="4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right w:val="single" w:sz="8" w:color="auto"/>
            </w:tcBorders>
            <w:vMerge w:val="restart"/>
          </w:tcPr>
          <w:p>
            <w:pPr>
              <w:jc w:val="center"/>
              <w:ind w:right="389"/>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4"/>
                <w:szCs w:val="14"/>
                <w:color w:val="auto"/>
              </w:rPr>
            </w:pPr>
          </w:p>
        </w:tc>
        <w:tc>
          <w:tcPr>
            <w:tcW w:w="8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Borders>
              <w:right w:val="single" w:sz="8" w:color="auto"/>
            </w:tcBorders>
            <w:vMerge w:val="restart"/>
          </w:tcPr>
          <w:p>
            <w:pPr>
              <w:jc w:val="center"/>
              <w:ind w:right="389"/>
              <w:spacing w:after="0"/>
              <w:rPr>
                <w:sz w:val="20"/>
                <w:szCs w:val="20"/>
                <w:color w:val="auto"/>
              </w:rPr>
            </w:pPr>
            <w:r>
              <w:rPr>
                <w:rFonts w:ascii="Arial" w:cs="Arial" w:eastAsia="Arial" w:hAnsi="Arial"/>
                <w:sz w:val="20"/>
                <w:szCs w:val="20"/>
                <w:color w:val="auto"/>
              </w:rPr>
              <w:t>WITH:</w:t>
            </w:r>
          </w:p>
        </w:tc>
        <w:tc>
          <w:tcPr>
            <w:tcW w:w="460" w:type="dxa"/>
            <w:vAlign w:val="bottom"/>
            <w:tcBorders>
              <w:bottom w:val="single" w:sz="8" w:color="auto"/>
              <w:right w:val="single" w:sz="8" w:color="auto"/>
            </w:tcBorders>
          </w:tcPr>
          <w:p>
            <w:pPr>
              <w:spacing w:after="0"/>
              <w:rPr>
                <w:sz w:val="7"/>
                <w:szCs w:val="7"/>
                <w:color w:val="auto"/>
              </w:rPr>
            </w:pPr>
          </w:p>
        </w:tc>
        <w:tc>
          <w:tcPr>
            <w:tcW w:w="8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Borders>
              <w:right w:val="single" w:sz="8" w:color="auto"/>
            </w:tcBorders>
            <w:vMerge w:val="continue"/>
          </w:tcPr>
          <w:p>
            <w:pPr>
              <w:spacing w:after="0"/>
              <w:rPr>
                <w:sz w:val="21"/>
                <w:szCs w:val="21"/>
                <w:color w:val="auto"/>
              </w:rPr>
            </w:pPr>
          </w:p>
        </w:tc>
        <w:tc>
          <w:tcPr>
            <w:tcW w:w="460" w:type="dxa"/>
            <w:vAlign w:val="bottom"/>
            <w:tcBorders>
              <w:right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8</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ind w:left="200"/>
              <w:spacing w:after="0"/>
              <w:rPr>
                <w:sz w:val="20"/>
                <w:szCs w:val="20"/>
                <w:color w:val="auto"/>
              </w:rPr>
            </w:pPr>
            <w:r>
              <w:rPr>
                <w:rFonts w:ascii="Arial" w:cs="Arial" w:eastAsia="Arial" w:hAnsi="Arial"/>
                <w:sz w:val="20"/>
                <w:szCs w:val="20"/>
                <w:b w:val="1"/>
                <w:bCs w:val="1"/>
                <w:color w:val="auto"/>
              </w:rPr>
              <w:t>9</w:t>
            </w:r>
          </w:p>
        </w:tc>
        <w:tc>
          <w:tcPr>
            <w:tcW w:w="80" w:type="dxa"/>
            <w:vAlign w:val="bottom"/>
            <w:tcBorders>
              <w:right w:val="single" w:sz="8" w:color="auto"/>
            </w:tcBorders>
          </w:tcPr>
          <w:p>
            <w:pPr>
              <w:spacing w:after="0"/>
              <w:rPr>
                <w:sz w:val="21"/>
                <w:szCs w:val="21"/>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92"/>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4,544,452</w:t>
            </w:r>
          </w:p>
        </w:tc>
        <w:tc>
          <w:tcPr>
            <w:tcW w:w="460" w:type="dxa"/>
            <w:vAlign w:val="bottom"/>
          </w:tcPr>
          <w:p>
            <w:pPr>
              <w:spacing w:after="0"/>
              <w:rPr>
                <w:sz w:val="24"/>
                <w:szCs w:val="24"/>
                <w:color w:val="auto"/>
              </w:rPr>
            </w:pPr>
          </w:p>
        </w:tc>
        <w:tc>
          <w:tcPr>
            <w:tcW w:w="8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auto"/>
            </w:tcBorders>
          </w:tcPr>
          <w:p>
            <w:pPr>
              <w:ind w:left="200"/>
              <w:spacing w:after="0"/>
              <w:rPr>
                <w:sz w:val="20"/>
                <w:szCs w:val="20"/>
                <w:color w:val="auto"/>
              </w:rPr>
            </w:pPr>
            <w:r>
              <w:rPr>
                <w:rFonts w:ascii="Arial" w:cs="Arial" w:eastAsia="Arial" w:hAnsi="Arial"/>
                <w:sz w:val="20"/>
                <w:szCs w:val="20"/>
                <w:b w:val="1"/>
                <w:bCs w:val="1"/>
                <w:color w:val="auto"/>
                <w:w w:val="80"/>
              </w:rPr>
              <w:t>10</w:t>
            </w:r>
          </w:p>
        </w:tc>
        <w:tc>
          <w:tcPr>
            <w:tcW w:w="8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3"/>
          </w:tcPr>
          <w:p>
            <w:pPr>
              <w:ind w:left="100"/>
              <w:spacing w:after="0" w:line="230" w:lineRule="exact"/>
              <w:rPr>
                <w:sz w:val="20"/>
                <w:szCs w:val="20"/>
                <w:color w:val="auto"/>
              </w:rPr>
            </w:pPr>
            <w:r>
              <w:rPr>
                <w:rFonts w:ascii="Arial" w:cs="Arial" w:eastAsia="Arial" w:hAnsi="Arial"/>
                <w:sz w:val="20"/>
                <w:szCs w:val="20"/>
                <w:color w:val="auto"/>
              </w:rPr>
              <w:t xml:space="preserve">CHECK BOX IF THE AGGREGATE AMOUNT IN ROW (9) EXCLUDES CERTAIN SHARES (SEE INSTRUCTIONS)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811"/>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ind w:left="200"/>
              <w:spacing w:after="0"/>
              <w:rPr>
                <w:sz w:val="20"/>
                <w:szCs w:val="20"/>
                <w:color w:val="auto"/>
              </w:rPr>
            </w:pPr>
            <w:r>
              <w:rPr>
                <w:rFonts w:ascii="Arial" w:cs="Arial" w:eastAsia="Arial" w:hAnsi="Arial"/>
                <w:sz w:val="20"/>
                <w:szCs w:val="20"/>
                <w:b w:val="1"/>
                <w:bCs w:val="1"/>
                <w:color w:val="auto"/>
                <w:w w:val="80"/>
              </w:rPr>
              <w:t>11</w:t>
            </w:r>
          </w:p>
        </w:tc>
        <w:tc>
          <w:tcPr>
            <w:tcW w:w="80" w:type="dxa"/>
            <w:vAlign w:val="bottom"/>
            <w:tcBorders>
              <w:right w:val="single" w:sz="8" w:color="auto"/>
            </w:tcBorders>
          </w:tcPr>
          <w:p>
            <w:pPr>
              <w:spacing w:after="0"/>
              <w:rPr>
                <w:sz w:val="21"/>
                <w:szCs w:val="21"/>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92"/>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4"/>
                <w:szCs w:val="24"/>
                <w:color w:val="auto"/>
              </w:rPr>
            </w:pPr>
          </w:p>
        </w:tc>
        <w:tc>
          <w:tcPr>
            <w:tcW w:w="8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ind w:left="200"/>
              <w:spacing w:after="0"/>
              <w:rPr>
                <w:sz w:val="20"/>
                <w:szCs w:val="20"/>
                <w:color w:val="auto"/>
              </w:rPr>
            </w:pPr>
            <w:r>
              <w:rPr>
                <w:rFonts w:ascii="Arial" w:cs="Arial" w:eastAsia="Arial" w:hAnsi="Arial"/>
                <w:sz w:val="20"/>
                <w:szCs w:val="20"/>
                <w:b w:val="1"/>
                <w:bCs w:val="1"/>
                <w:color w:val="auto"/>
                <w:w w:val="80"/>
              </w:rPr>
              <w:t>12</w:t>
            </w:r>
          </w:p>
        </w:tc>
        <w:tc>
          <w:tcPr>
            <w:tcW w:w="80" w:type="dxa"/>
            <w:vAlign w:val="bottom"/>
            <w:tcBorders>
              <w:right w:val="single" w:sz="8" w:color="auto"/>
            </w:tcBorders>
          </w:tcPr>
          <w:p>
            <w:pPr>
              <w:spacing w:after="0"/>
              <w:rPr>
                <w:sz w:val="21"/>
                <w:szCs w:val="21"/>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92"/>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IA, PN</w:t>
            </w:r>
          </w:p>
        </w:tc>
        <w:tc>
          <w:tcPr>
            <w:tcW w:w="460" w:type="dxa"/>
            <w:vAlign w:val="bottom"/>
          </w:tcPr>
          <w:p>
            <w:pPr>
              <w:spacing w:after="0"/>
              <w:rPr>
                <w:sz w:val="24"/>
                <w:szCs w:val="24"/>
                <w:color w:val="auto"/>
              </w:rPr>
            </w:pPr>
          </w:p>
        </w:tc>
        <w:tc>
          <w:tcPr>
            <w:tcW w:w="8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90"/>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6"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National Vision Holdings,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2435 Commerce Avenue, Building 2200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Duluth, GA 30096</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Names of Person Filing</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person filing this report is: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Durable Capital Partners LP (the “Reporting Person”)</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the Reporting Person is: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5425 Wisconsin Avenue, Suite 802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Chevy Chase, Maryland 20815</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 or Place of Organization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Reporting Person is a limited partnership organized under the laws of the State of Delaware.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$0.01 per share (“Common Stock”)</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63845R107</w:t>
      </w:r>
    </w:p>
    <w:p>
      <w:pPr>
        <w:spacing w:after="0" w:line="275" w:lineRule="exact"/>
        <w:rPr>
          <w:sz w:val="20"/>
          <w:szCs w:val="20"/>
          <w:color w:val="auto"/>
        </w:rPr>
      </w:pPr>
    </w:p>
    <w:p>
      <w:pPr>
        <w:ind w:left="980" w:right="3660" w:hanging="1511"/>
        <w:spacing w:after="0" w:line="282" w:lineRule="auto"/>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u w:val="single" w:color="auto"/>
          <w:color w:val="auto"/>
        </w:rPr>
        <w:t>If this statement is filed pursuant to §§ 240.13d-1(b) or 240.13d-2(b) or (c), check whether the person filing is a:</w:t>
      </w:r>
    </w:p>
    <w:p>
      <w:pPr>
        <w:spacing w:after="0" w:line="146" w:lineRule="exact"/>
        <w:rPr>
          <w:sz w:val="20"/>
          <w:szCs w:val="20"/>
          <w:color w:val="auto"/>
        </w:rPr>
      </w:pPr>
    </w:p>
    <w:p>
      <w:pPr>
        <w:ind w:left="2120" w:hanging="1140"/>
        <w:spacing w:after="0" w:line="230" w:lineRule="exact"/>
        <w:tabs>
          <w:tab w:leader="none" w:pos="2120" w:val="left"/>
        </w:tabs>
        <w:numPr>
          <w:ilvl w:val="0"/>
          <w:numId w:val="2"/>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Broker or dealer registered under section 15 of the Act (15 U.S.C. 78o).</w:t>
      </w:r>
    </w:p>
    <w:p>
      <w:pPr>
        <w:spacing w:after="0" w:line="215" w:lineRule="exact"/>
        <w:rPr>
          <w:rFonts w:ascii="Arial" w:cs="Arial" w:eastAsia="Arial" w:hAnsi="Arial"/>
          <w:sz w:val="20"/>
          <w:szCs w:val="20"/>
          <w:color w:val="auto"/>
        </w:rPr>
      </w:pPr>
    </w:p>
    <w:p>
      <w:pPr>
        <w:ind w:left="2120" w:hanging="1140"/>
        <w:spacing w:after="0" w:line="230" w:lineRule="exact"/>
        <w:tabs>
          <w:tab w:leader="none" w:pos="2120" w:val="left"/>
        </w:tabs>
        <w:numPr>
          <w:ilvl w:val="0"/>
          <w:numId w:val="2"/>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Bank as defined in section 3(a)(6) of the Act (15 U.S.C. 78c).</w:t>
      </w:r>
    </w:p>
    <w:p>
      <w:pPr>
        <w:spacing w:after="0" w:line="215" w:lineRule="exact"/>
        <w:rPr>
          <w:rFonts w:ascii="Arial" w:cs="Arial" w:eastAsia="Arial" w:hAnsi="Arial"/>
          <w:sz w:val="20"/>
          <w:szCs w:val="20"/>
          <w:color w:val="auto"/>
        </w:rPr>
      </w:pPr>
    </w:p>
    <w:p>
      <w:pPr>
        <w:ind w:left="2120" w:hanging="1140"/>
        <w:spacing w:after="0" w:line="230" w:lineRule="exact"/>
        <w:tabs>
          <w:tab w:leader="none" w:pos="2120" w:val="left"/>
        </w:tabs>
        <w:numPr>
          <w:ilvl w:val="0"/>
          <w:numId w:val="2"/>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Insurance company as defined in section 3(a)(19) of the Act (15 U.S.C. 78c).</w:t>
      </w:r>
    </w:p>
    <w:p>
      <w:pPr>
        <w:spacing w:after="0" w:line="215" w:lineRule="exact"/>
        <w:rPr>
          <w:rFonts w:ascii="Arial" w:cs="Arial" w:eastAsia="Arial" w:hAnsi="Arial"/>
          <w:sz w:val="20"/>
          <w:szCs w:val="20"/>
          <w:color w:val="auto"/>
        </w:rPr>
      </w:pPr>
    </w:p>
    <w:p>
      <w:pPr>
        <w:ind w:left="2120" w:hanging="1140"/>
        <w:spacing w:after="0" w:line="184" w:lineRule="exact"/>
        <w:tabs>
          <w:tab w:leader="none" w:pos="2120" w:val="left"/>
        </w:tabs>
        <w:numPr>
          <w:ilvl w:val="0"/>
          <w:numId w:val="2"/>
        </w:numPr>
        <w:rPr>
          <w:rFonts w:ascii="Arial" w:cs="Arial" w:eastAsia="Arial" w:hAnsi="Arial"/>
          <w:sz w:val="16"/>
          <w:szCs w:val="16"/>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261" w:lineRule="exact"/>
        <w:rPr>
          <w:rFonts w:ascii="Arial" w:cs="Arial" w:eastAsia="Arial" w:hAnsi="Arial"/>
          <w:sz w:val="16"/>
          <w:szCs w:val="16"/>
          <w:color w:val="auto"/>
        </w:rPr>
      </w:pPr>
    </w:p>
    <w:p>
      <w:pPr>
        <w:ind w:left="2120" w:hanging="1140"/>
        <w:spacing w:after="0" w:line="230" w:lineRule="exact"/>
        <w:tabs>
          <w:tab w:leader="none" w:pos="2120" w:val="left"/>
        </w:tabs>
        <w:numPr>
          <w:ilvl w:val="0"/>
          <w:numId w:val="2"/>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An investment advisor in accordance with §240.13d-1(b)(1)(ii)(E).</w:t>
      </w:r>
    </w:p>
    <w:p>
      <w:pPr>
        <w:spacing w:after="0" w:line="215" w:lineRule="exact"/>
        <w:rPr>
          <w:rFonts w:ascii="Arial" w:cs="Arial" w:eastAsia="Arial" w:hAnsi="Arial"/>
          <w:sz w:val="20"/>
          <w:szCs w:val="20"/>
          <w:color w:val="auto"/>
        </w:rPr>
      </w:pPr>
    </w:p>
    <w:p>
      <w:pPr>
        <w:ind w:left="2120" w:right="2440" w:hanging="1140"/>
        <w:spacing w:after="0" w:line="249" w:lineRule="exact"/>
        <w:tabs>
          <w:tab w:leader="none" w:pos="2120" w:val="left"/>
        </w:tabs>
        <w:numPr>
          <w:ilvl w:val="0"/>
          <w:numId w:val="2"/>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An employee benefit plan or endowment fund in accordance with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0"/>
          </w:cols>
          <w:pgMar w:left="320" w:top="688" w:right="759" w:bottom="1440" w:gutter="0" w:footer="0" w:header="0"/>
        </w:sectPr>
      </w:pPr>
    </w:p>
    <w:bookmarkStart w:id="3" w:name="page4"/>
    <w:bookmarkEnd w:id="3"/>
    <w:p>
      <w:pPr>
        <w:ind w:left="2120" w:right="2900" w:hanging="1140"/>
        <w:spacing w:after="0" w:line="249" w:lineRule="exact"/>
        <w:tabs>
          <w:tab w:leader="none" w:pos="2120" w:val="left"/>
        </w:tabs>
        <w:numPr>
          <w:ilvl w:val="0"/>
          <w:numId w:val="3"/>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A parent holding company or control person in accordance with §240.13d-1(b)(1)(ii)(G).</w:t>
      </w:r>
    </w:p>
    <w:p>
      <w:pPr>
        <w:spacing w:after="0" w:line="178" w:lineRule="exact"/>
        <w:rPr>
          <w:rFonts w:ascii="Arial" w:cs="Arial" w:eastAsia="Arial" w:hAnsi="Arial"/>
          <w:sz w:val="20"/>
          <w:szCs w:val="20"/>
          <w:color w:val="auto"/>
        </w:rPr>
      </w:pPr>
    </w:p>
    <w:p>
      <w:pPr>
        <w:ind w:left="2120" w:right="3200" w:hanging="1140"/>
        <w:spacing w:after="0" w:line="249" w:lineRule="exact"/>
        <w:tabs>
          <w:tab w:leader="none" w:pos="2120" w:val="left"/>
        </w:tabs>
        <w:numPr>
          <w:ilvl w:val="0"/>
          <w:numId w:val="3"/>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A savings association as defined in Section 3(b) of the Federal Deposit Insurance Act (12 U.S.C. 1813).</w:t>
      </w:r>
    </w:p>
    <w:p>
      <w:pPr>
        <w:spacing w:after="0" w:line="178" w:lineRule="exact"/>
        <w:rPr>
          <w:rFonts w:ascii="Arial" w:cs="Arial" w:eastAsia="Arial" w:hAnsi="Arial"/>
          <w:sz w:val="20"/>
          <w:szCs w:val="20"/>
          <w:color w:val="auto"/>
        </w:rPr>
      </w:pPr>
    </w:p>
    <w:p>
      <w:pPr>
        <w:ind w:left="2120" w:right="2480" w:hanging="1140"/>
        <w:spacing w:after="0" w:line="248" w:lineRule="exact"/>
        <w:tabs>
          <w:tab w:leader="none" w:pos="2120" w:val="left"/>
        </w:tabs>
        <w:numPr>
          <w:ilvl w:val="0"/>
          <w:numId w:val="3"/>
        </w:numPr>
        <w:rPr>
          <w:rFonts w:ascii="Arial" w:cs="Arial" w:eastAsia="Arial" w:hAnsi="Arial"/>
          <w:sz w:val="18"/>
          <w:szCs w:val="18"/>
          <w:color w:val="auto"/>
        </w:rPr>
      </w:pPr>
      <w:r>
        <w:rPr>
          <w:rFonts w:ascii="MS PGothic" w:cs="MS PGothic" w:eastAsia="MS PGothic" w:hAnsi="MS PGothic"/>
          <w:sz w:val="15"/>
          <w:szCs w:val="15"/>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9" w:lineRule="exact"/>
        <w:rPr>
          <w:rFonts w:ascii="Arial" w:cs="Arial" w:eastAsia="Arial" w:hAnsi="Arial"/>
          <w:sz w:val="18"/>
          <w:szCs w:val="18"/>
          <w:color w:val="auto"/>
        </w:rPr>
      </w:pPr>
    </w:p>
    <w:p>
      <w:pPr>
        <w:ind w:left="2120" w:hanging="1140"/>
        <w:spacing w:after="0" w:line="207" w:lineRule="exact"/>
        <w:tabs>
          <w:tab w:leader="none" w:pos="2120" w:val="left"/>
        </w:tabs>
        <w:numPr>
          <w:ilvl w:val="0"/>
          <w:numId w:val="3"/>
        </w:numPr>
        <w:rPr>
          <w:rFonts w:ascii="Arial" w:cs="Arial" w:eastAsia="Arial" w:hAnsi="Arial"/>
          <w:sz w:val="18"/>
          <w:szCs w:val="18"/>
          <w:color w:val="auto"/>
        </w:rPr>
      </w:pPr>
      <w:r>
        <w:rPr>
          <w:rFonts w:ascii="MS PGothic" w:cs="MS PGothic" w:eastAsia="MS PGothic" w:hAnsi="MS PGothic"/>
          <w:sz w:val="15"/>
          <w:szCs w:val="15"/>
          <w:color w:val="auto"/>
        </w:rPr>
        <w:t>☐</w:t>
      </w:r>
      <w:r>
        <w:rPr>
          <w:rFonts w:ascii="Arial" w:cs="Arial" w:eastAsia="Arial" w:hAnsi="Arial"/>
          <w:sz w:val="18"/>
          <w:szCs w:val="18"/>
          <w:color w:val="auto"/>
        </w:rPr>
        <w:t xml:space="preserve"> A non-U.S. institution that is the functional equivalent of any of the institutions listed in § 240.13d-1 (b)(1)(ii)</w:t>
      </w:r>
    </w:p>
    <w:p>
      <w:pPr>
        <w:spacing w:after="0" w:line="55" w:lineRule="exact"/>
        <w:rPr>
          <w:rFonts w:ascii="Arial" w:cs="Arial" w:eastAsia="Arial" w:hAnsi="Arial"/>
          <w:sz w:val="18"/>
          <w:szCs w:val="18"/>
          <w:color w:val="auto"/>
        </w:rPr>
      </w:pPr>
    </w:p>
    <w:p>
      <w:pPr>
        <w:ind w:left="2120" w:right="820"/>
        <w:spacing w:after="0" w:line="269" w:lineRule="auto"/>
        <w:rPr>
          <w:rFonts w:ascii="Arial" w:cs="Arial" w:eastAsia="Arial" w:hAnsi="Arial"/>
          <w:sz w:val="18"/>
          <w:szCs w:val="18"/>
          <w:color w:val="auto"/>
        </w:rPr>
      </w:pPr>
      <w:r>
        <w:rPr>
          <w:rFonts w:ascii="Arial" w:cs="Arial" w:eastAsia="Arial" w:hAnsi="Arial"/>
          <w:sz w:val="19"/>
          <w:szCs w:val="19"/>
          <w:color w:val="auto"/>
        </w:rPr>
        <w:t>(A) through (I), so long as the non-U.S. institution is subject to a regulatory scheme that is substantially comparable to the regulatory scheme applicable to the equivalent U.S. institution.</w:t>
      </w:r>
    </w:p>
    <w:p>
      <w:pPr>
        <w:spacing w:after="0" w:line="152" w:lineRule="exact"/>
        <w:rPr>
          <w:rFonts w:ascii="Arial" w:cs="Arial" w:eastAsia="Arial" w:hAnsi="Arial"/>
          <w:sz w:val="18"/>
          <w:szCs w:val="18"/>
          <w:color w:val="auto"/>
        </w:rPr>
      </w:pPr>
    </w:p>
    <w:p>
      <w:pPr>
        <w:ind w:left="2120" w:hanging="1140"/>
        <w:spacing w:after="0" w:line="230" w:lineRule="exact"/>
        <w:tabs>
          <w:tab w:leader="none" w:pos="2120" w:val="left"/>
        </w:tabs>
        <w:numPr>
          <w:ilvl w:val="0"/>
          <w:numId w:val="3"/>
        </w:numPr>
        <w:rPr>
          <w:rFonts w:ascii="Arial" w:cs="Arial" w:eastAsia="Arial" w:hAnsi="Arial"/>
          <w:sz w:val="20"/>
          <w:szCs w:val="20"/>
          <w:color w:val="auto"/>
        </w:rPr>
      </w:pPr>
      <w:r>
        <w:rPr>
          <w:rFonts w:ascii="MS PGothic" w:cs="MS PGothic" w:eastAsia="MS PGothic" w:hAnsi="MS PGothic"/>
          <w:sz w:val="17"/>
          <w:szCs w:val="17"/>
          <w:color w:val="auto"/>
        </w:rPr>
        <w:t>☐</w:t>
      </w:r>
      <w:r>
        <w:rPr>
          <w:rFonts w:ascii="Arial" w:cs="Arial" w:eastAsia="Arial" w:hAnsi="Arial"/>
          <w:sz w:val="20"/>
          <w:szCs w:val="20"/>
          <w:color w:val="auto"/>
        </w:rPr>
        <w:t xml:space="preserve"> Group, in accordance with §240.13d-1(b)(1)(ii)(K).</w:t>
      </w:r>
    </w:p>
    <w:p>
      <w:pPr>
        <w:spacing w:after="0" w:line="200" w:lineRule="exact"/>
        <w:rPr>
          <w:sz w:val="20"/>
          <w:szCs w:val="20"/>
          <w:color w:val="auto"/>
        </w:rPr>
      </w:pP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160"/>
        <w:spacing w:after="0" w:line="263" w:lineRule="auto"/>
        <w:rPr>
          <w:sz w:val="20"/>
          <w:szCs w:val="20"/>
          <w:color w:val="auto"/>
        </w:rPr>
      </w:pPr>
      <w:r>
        <w:rPr>
          <w:rFonts w:ascii="Arial" w:cs="Arial" w:eastAsia="Arial" w:hAnsi="Arial"/>
          <w:sz w:val="18"/>
          <w:szCs w:val="18"/>
          <w:color w:val="auto"/>
        </w:rPr>
        <w:t>The information required by this item with respect to the Reporting Person is set forth in Rows 5 through 9 and 11 of the cover page to this Schedule 13G. The ownership percentages reported are based on 81,596,628 outstanding shares of voting Common Stock as of April 18, 2022, as reported in the Issuer’s Schedule 14A filed on April 26, 2022.</w:t>
      </w:r>
    </w:p>
    <w:p>
      <w:pPr>
        <w:spacing w:after="0" w:line="184"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Durable Capital Master Fund LP directly holds 4,544,452 shares of Common Stock (the “Shares”). The Reporting Person, as the investment adviser to Durable Capital Master Fund LP, has sole power to direct the vote and disposition of the Shares. Durable Capital Partners GP LLC (“Durable GP”) is the general partner of the Reporting Person, and Henry Ellenbogen is the chief investment officer of the Reporting Person and the managing member of Durable GP.</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100"/>
        <w:spacing w:after="0" w:line="277" w:lineRule="auto"/>
        <w:rPr>
          <w:sz w:val="20"/>
          <w:szCs w:val="20"/>
          <w:color w:val="auto"/>
        </w:rPr>
      </w:pPr>
      <w:r>
        <w:rPr>
          <w:rFonts w:ascii="Arial" w:cs="Arial" w:eastAsia="Arial" w:hAnsi="Arial"/>
          <w:sz w:val="18"/>
          <w:szCs w:val="18"/>
          <w:color w:val="auto"/>
        </w:rPr>
        <w:t>See disclosure of relationships among parties under Item 4. The economic benefits of the Shares are shared based on agreements among the parties.</w:t>
      </w:r>
    </w:p>
    <w:p>
      <w:pPr>
        <w:spacing w:after="0" w:line="166" w:lineRule="exact"/>
        <w:rPr>
          <w:sz w:val="20"/>
          <w:szCs w:val="20"/>
          <w:color w:val="auto"/>
        </w:rPr>
      </w:pPr>
    </w:p>
    <w:p>
      <w:pPr>
        <w:ind w:left="980" w:right="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control and Shares holding disclosure in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73" w:right="4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DURABLE CAPITAL PARTNERS 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Julie Jack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126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Julie Jack</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2022-05-09T17:03:33Z</dcterms:created>
  <dcterms:modified xsi:type="dcterms:W3CDTF">2022-05-09T17:03:33Z</dcterms:modified>
</cp:coreProperties>
</file>