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3" w:lineRule="exact"/>
        <w:rPr>
          <w:sz w:val="24"/>
          <w:szCs w:val="24"/>
          <w:color w:val="auto"/>
        </w:rPr>
      </w:pPr>
    </w:p>
    <w:p>
      <w:pPr>
        <w:jc w:val="both"/>
        <w:ind w:left="7"/>
        <w:spacing w:after="0" w:line="228" w:lineRule="auto"/>
        <w:rPr>
          <w:sz w:val="20"/>
          <w:szCs w:val="20"/>
          <w:color w:val="auto"/>
        </w:rPr>
      </w:pPr>
      <w:r>
        <w:rPr>
          <w:rFonts w:ascii="Arial" w:cs="Arial" w:eastAsia="Arial" w:hAnsi="Arial"/>
          <w:sz w:val="18"/>
          <w:szCs w:val="18"/>
          <w:b w:val="1"/>
          <w:bCs w:val="1"/>
          <w:color w:val="FC0014"/>
        </w:rPr>
        <w:t>The information in this preliminary prospectus supplement is not complete and may be changed. This preliminary prospectus supplement and the accompanying prospectus are not an offer to sell these securities nor are they soliciting offers to buy these securities in any jurisdiction where the offer or sale is not permitted.</w:t>
      </w:r>
    </w:p>
    <w:p>
      <w:pPr>
        <w:spacing w:after="0" w:line="6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333-228382</w:t>
      </w:r>
    </w:p>
    <w:p>
      <w:pPr>
        <w:spacing w:after="0" w:line="200" w:lineRule="exact"/>
        <w:rPr>
          <w:sz w:val="24"/>
          <w:szCs w:val="24"/>
          <w:color w:val="auto"/>
        </w:rPr>
      </w:pPr>
    </w:p>
    <w:p>
      <w:pPr>
        <w:spacing w:after="0" w:line="331" w:lineRule="exact"/>
        <w:rPr>
          <w:sz w:val="24"/>
          <w:szCs w:val="24"/>
          <w:color w:val="auto"/>
        </w:rPr>
      </w:pPr>
    </w:p>
    <w:p>
      <w:pPr>
        <w:ind w:left="3047"/>
        <w:spacing w:after="0"/>
        <w:rPr>
          <w:sz w:val="20"/>
          <w:szCs w:val="20"/>
          <w:color w:val="auto"/>
        </w:rPr>
      </w:pPr>
      <w:r>
        <w:rPr>
          <w:rFonts w:ascii="Arial" w:cs="Arial" w:eastAsia="Arial" w:hAnsi="Arial"/>
          <w:sz w:val="18"/>
          <w:szCs w:val="18"/>
          <w:b w:val="1"/>
          <w:bCs w:val="1"/>
          <w:color w:val="FC0014"/>
        </w:rPr>
        <w:t>Subject to Completion, dated August 7, 2019.</w:t>
      </w:r>
    </w:p>
    <w:p>
      <w:pPr>
        <w:spacing w:after="0" w:line="225" w:lineRule="exact"/>
        <w:rPr>
          <w:sz w:val="24"/>
          <w:szCs w:val="24"/>
          <w:color w:val="auto"/>
        </w:rPr>
      </w:pPr>
    </w:p>
    <w:p>
      <w:pPr>
        <w:ind w:left="7"/>
        <w:spacing w:after="0"/>
        <w:rPr>
          <w:sz w:val="20"/>
          <w:szCs w:val="20"/>
          <w:color w:val="auto"/>
        </w:rPr>
      </w:pPr>
      <w:r>
        <w:rPr>
          <w:rFonts w:ascii="Arial" w:cs="Arial" w:eastAsia="Arial" w:hAnsi="Arial"/>
          <w:sz w:val="18"/>
          <w:szCs w:val="18"/>
          <w:b w:val="1"/>
          <w:bCs w:val="1"/>
          <w:color w:val="auto"/>
        </w:rPr>
        <w:t>PRELIMINARY PROSPECTUS SUPPLEMENT</w:t>
      </w:r>
    </w:p>
    <w:p>
      <w:pPr>
        <w:spacing w:after="0" w:line="16" w:lineRule="exact"/>
        <w:rPr>
          <w:sz w:val="24"/>
          <w:szCs w:val="24"/>
          <w:color w:val="auto"/>
        </w:rPr>
      </w:pPr>
    </w:p>
    <w:p>
      <w:pPr>
        <w:ind w:left="7"/>
        <w:spacing w:after="0"/>
        <w:rPr>
          <w:sz w:val="20"/>
          <w:szCs w:val="20"/>
          <w:color w:val="auto"/>
        </w:rPr>
      </w:pPr>
      <w:r>
        <w:rPr>
          <w:rFonts w:ascii="Arial" w:cs="Arial" w:eastAsia="Arial" w:hAnsi="Arial"/>
          <w:sz w:val="18"/>
          <w:szCs w:val="18"/>
          <w:b w:val="1"/>
          <w:bCs w:val="1"/>
          <w:color w:val="auto"/>
        </w:rPr>
        <w:t>(To Prospectus dated November 14, 2018)</w:t>
      </w:r>
    </w:p>
    <w:p>
      <w:pPr>
        <w:spacing w:after="0" w:line="187"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9,149,908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2414270</wp:posOffset>
            </wp:positionH>
            <wp:positionV relativeFrom="paragraph">
              <wp:posOffset>158115</wp:posOffset>
            </wp:positionV>
            <wp:extent cx="1217930" cy="934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793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6"/>
        <w:spacing w:after="0"/>
        <w:rPr>
          <w:sz w:val="20"/>
          <w:szCs w:val="20"/>
          <w:color w:val="auto"/>
        </w:rPr>
      </w:pPr>
      <w:r>
        <w:rPr>
          <w:rFonts w:ascii="Arial" w:cs="Arial" w:eastAsia="Arial" w:hAnsi="Arial"/>
          <w:sz w:val="29"/>
          <w:szCs w:val="29"/>
          <w:b w:val="1"/>
          <w:bCs w:val="1"/>
          <w:color w:val="auto"/>
        </w:rPr>
        <w:t>National Vision Holdings, Inc.</w:t>
      </w:r>
    </w:p>
    <w:p>
      <w:pPr>
        <w:spacing w:after="0" w:line="225"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Common Stock</w:t>
      </w:r>
    </w:p>
    <w:p>
      <w:pPr>
        <w:spacing w:after="0" w:line="314" w:lineRule="exact"/>
        <w:rPr>
          <w:sz w:val="24"/>
          <w:szCs w:val="24"/>
          <w:color w:val="auto"/>
        </w:rPr>
      </w:pPr>
    </w:p>
    <w:p>
      <w:pPr>
        <w:ind w:left="7" w:right="100" w:firstLine="360"/>
        <w:spacing w:after="0" w:line="308" w:lineRule="auto"/>
        <w:rPr>
          <w:sz w:val="20"/>
          <w:szCs w:val="20"/>
          <w:color w:val="auto"/>
        </w:rPr>
      </w:pPr>
      <w:r>
        <w:rPr>
          <w:rFonts w:ascii="Arial" w:cs="Arial" w:eastAsia="Arial" w:hAnsi="Arial"/>
          <w:sz w:val="17"/>
          <w:szCs w:val="17"/>
          <w:color w:val="auto"/>
        </w:rPr>
        <w:t>The selling stockholder named in this prospectus supplement is offering 9,149,908 shares of common stock of National Vision Holdings, Inc. We will not receive any proceeds from the sale of our common stock by the selling stockholder.</w:t>
      </w:r>
    </w:p>
    <w:p>
      <w:pPr>
        <w:spacing w:after="0" w:line="93" w:lineRule="exact"/>
        <w:rPr>
          <w:sz w:val="24"/>
          <w:szCs w:val="24"/>
          <w:color w:val="auto"/>
        </w:rPr>
      </w:pPr>
    </w:p>
    <w:p>
      <w:pPr>
        <w:ind w:left="7" w:right="380" w:firstLine="360"/>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“EYE.” On August 6, 2019, the closing sales price of our common stock as reported on the NASDAQ was $29.79 per share.</w:t>
      </w:r>
    </w:p>
    <w:p>
      <w:pPr>
        <w:spacing w:after="0" w:line="116" w:lineRule="exact"/>
        <w:rPr>
          <w:sz w:val="24"/>
          <w:szCs w:val="24"/>
          <w:color w:val="auto"/>
        </w:rPr>
      </w:pPr>
    </w:p>
    <w:p>
      <w:pPr>
        <w:ind w:left="7" w:right="200" w:firstLine="360"/>
        <w:spacing w:after="0" w:line="257" w:lineRule="auto"/>
        <w:rPr>
          <w:sz w:val="20"/>
          <w:szCs w:val="20"/>
          <w:color w:val="auto"/>
        </w:rPr>
      </w:pPr>
      <w:r>
        <w:rPr>
          <w:rFonts w:ascii="Arial" w:cs="Arial" w:eastAsia="Arial" w:hAnsi="Arial"/>
          <w:sz w:val="18"/>
          <w:szCs w:val="18"/>
          <w:color w:val="auto"/>
        </w:rPr>
        <w:t>Subject to the completion of the offering, we intend to concurrently repurchase from the underwriter, out of the aggregate 9,149,908 shares of our common stock that are the subject of the offering, a number of shares (rounded down to the nearest whole share) having an aggregate purchase price of $25.0 million. The price per share to be paid by us will equal the price at which the underwriter will purchase the shares from the selling stockholder in the offering. The offering is not conditioned upon the completion of the share repurchase.</w:t>
      </w:r>
    </w:p>
    <w:p>
      <w:pPr>
        <w:spacing w:after="0" w:line="134" w:lineRule="exact"/>
        <w:rPr>
          <w:sz w:val="24"/>
          <w:szCs w:val="24"/>
          <w:color w:val="auto"/>
        </w:rPr>
      </w:pPr>
    </w:p>
    <w:p>
      <w:pPr>
        <w:ind w:left="7" w:right="140" w:firstLine="360"/>
        <w:spacing w:after="0" w:line="302"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Investing in our common stock involves risk. See “Risk Factors” beginning on page S-</w:t>
      </w:r>
      <w:hyperlink w:anchor="page14">
        <w:r>
          <w:rPr>
            <w:rFonts w:ascii="Arial" w:cs="Arial" w:eastAsia="Arial" w:hAnsi="Arial"/>
            <w:sz w:val="16"/>
            <w:szCs w:val="16"/>
            <w:b w:val="1"/>
            <w:bCs w:val="1"/>
            <w:i w:val="1"/>
            <w:iCs w:val="1"/>
            <w:u w:val="single" w:color="auto"/>
            <w:color w:val="0000EE"/>
          </w:rPr>
          <w:t>9</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b w:val="1"/>
          <w:bCs w:val="1"/>
          <w:i w:val="1"/>
          <w:iCs w:val="1"/>
          <w:color w:val="auto"/>
        </w:rPr>
        <w:t>of this prospectus supplement and in the reports we file with the Securities and Exchange Commission, or the SEC, pursuant to the Securities Exchange Act of 1934, as amended, or the Exchange Act, incorporated by reference in this prospectus supplement or the accompanying prospectus, to read about factors you should consider before buying shares of our common stock.</w:t>
      </w:r>
    </w:p>
    <w:p>
      <w:pPr>
        <w:spacing w:after="0" w:line="100" w:lineRule="exact"/>
        <w:rPr>
          <w:sz w:val="24"/>
          <w:szCs w:val="24"/>
          <w:color w:val="auto"/>
        </w:rPr>
      </w:pPr>
    </w:p>
    <w:p>
      <w:pPr>
        <w:jc w:val="both"/>
        <w:ind w:left="7" w:right="320" w:firstLine="360"/>
        <w:spacing w:after="0" w:line="264" w:lineRule="auto"/>
        <w:rPr>
          <w:sz w:val="20"/>
          <w:szCs w:val="20"/>
          <w:color w:val="auto"/>
        </w:rPr>
      </w:pPr>
      <w:r>
        <w:rPr>
          <w:rFonts w:ascii="Arial" w:cs="Arial" w:eastAsia="Arial" w:hAnsi="Arial"/>
          <w:sz w:val="18"/>
          <w:szCs w:val="18"/>
          <w:b w:val="1"/>
          <w:bCs w:val="1"/>
          <w:i w:val="1"/>
          <w:iCs w:val="1"/>
          <w:color w:val="auto"/>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38" w:lineRule="exact"/>
        <w:rPr>
          <w:sz w:val="24"/>
          <w:szCs w:val="24"/>
          <w:color w:val="auto"/>
        </w:rPr>
      </w:pPr>
    </w:p>
    <w:tbl>
      <w:tblPr>
        <w:tblLayout w:type="fixed"/>
        <w:tblInd w:w="7"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3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23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Public offering price</w:t>
            </w:r>
            <w:r>
              <w:rPr>
                <w:rFonts w:ascii="Arial" w:cs="Arial" w:eastAsia="Arial" w:hAnsi="Arial"/>
                <w:sz w:val="28"/>
                <w:szCs w:val="28"/>
                <w:color w:val="auto"/>
                <w:vertAlign w:val="superscript"/>
              </w:rPr>
              <w:t>(1)</w:t>
            </w:r>
          </w:p>
        </w:tc>
        <w:tc>
          <w:tcPr>
            <w:tcW w:w="4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57"/>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80" w:type="dxa"/>
            <w:vAlign w:val="bottom"/>
            <w:gridSpan w:val="3"/>
          </w:tcPr>
          <w:p>
            <w:pPr>
              <w:spacing w:after="0" w:line="243"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8"/>
                <w:szCs w:val="28"/>
                <w:color w:val="auto"/>
                <w:vertAlign w:val="superscript"/>
              </w:rPr>
              <w:t>(2)(3)</w:t>
            </w:r>
          </w:p>
        </w:tc>
        <w:tc>
          <w:tcPr>
            <w:tcW w:w="1340" w:type="dxa"/>
            <w:vAlign w:val="bottom"/>
          </w:tcPr>
          <w:p>
            <w:pPr>
              <w:jc w:val="right"/>
              <w:ind w:right="1157"/>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w:t>
            </w:r>
          </w:p>
        </w:tc>
        <w:tc>
          <w:tcPr>
            <w:tcW w:w="1340" w:type="dxa"/>
            <w:vAlign w:val="bottom"/>
            <w:shd w:val="clear" w:color="auto" w:fill="CCEEFF"/>
          </w:tcPr>
          <w:p>
            <w:pPr>
              <w:jc w:val="right"/>
              <w:ind w:right="1157"/>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960" w:type="dxa"/>
            <w:vAlign w:val="bottom"/>
            <w:gridSpan w:val="4"/>
          </w:tcPr>
          <w:p>
            <w:pPr>
              <w:spacing w:after="0"/>
              <w:rPr>
                <w:sz w:val="15"/>
                <w:szCs w:val="15"/>
                <w:color w:val="auto"/>
              </w:rPr>
            </w:pPr>
          </w:p>
        </w:tc>
      </w:tr>
      <w:tr>
        <w:trPr>
          <w:trHeight w:val="258"/>
        </w:trPr>
        <w:tc>
          <w:tcPr>
            <w:tcW w:w="2400" w:type="dxa"/>
            <w:vAlign w:val="bottom"/>
            <w:gridSpan w:val="3"/>
          </w:tcPr>
          <w:p>
            <w:pPr>
              <w:spacing w:after="0"/>
              <w:rPr>
                <w:sz w:val="20"/>
                <w:szCs w:val="20"/>
                <w:color w:val="auto"/>
              </w:rPr>
            </w:pPr>
            <w:r>
              <w:rPr>
                <w:rFonts w:ascii="Arial" w:cs="Arial" w:eastAsia="Arial" w:hAnsi="Arial"/>
                <w:sz w:val="14"/>
                <w:szCs w:val="14"/>
                <w:color w:val="auto"/>
              </w:rPr>
              <w:t>(1)   The public offering price for the</w:t>
            </w:r>
          </w:p>
        </w:tc>
        <w:tc>
          <w:tcPr>
            <w:tcW w:w="4200" w:type="dxa"/>
            <w:vAlign w:val="bottom"/>
          </w:tcPr>
          <w:p>
            <w:pPr>
              <w:ind w:left="200"/>
              <w:spacing w:after="0"/>
              <w:rPr>
                <w:sz w:val="20"/>
                <w:szCs w:val="20"/>
                <w:color w:val="auto"/>
              </w:rPr>
            </w:pPr>
            <w:r>
              <w:rPr>
                <w:rFonts w:ascii="Arial" w:cs="Arial" w:eastAsia="Arial" w:hAnsi="Arial"/>
                <w:sz w:val="14"/>
                <w:szCs w:val="14"/>
                <w:color w:val="auto"/>
              </w:rPr>
              <w:t>shares offered to the public was $  per share. The price for the</w:t>
            </w:r>
          </w:p>
        </w:tc>
        <w:tc>
          <w:tcPr>
            <w:tcW w:w="2960" w:type="dxa"/>
            <w:vAlign w:val="bottom"/>
            <w:gridSpan w:val="4"/>
          </w:tcPr>
          <w:p>
            <w:pPr>
              <w:ind w:left="20"/>
              <w:spacing w:after="0"/>
              <w:rPr>
                <w:sz w:val="20"/>
                <w:szCs w:val="20"/>
                <w:color w:val="auto"/>
              </w:rPr>
            </w:pPr>
            <w:r>
              <w:rPr>
                <w:rFonts w:ascii="Arial" w:cs="Arial" w:eastAsia="Arial" w:hAnsi="Arial"/>
                <w:sz w:val="14"/>
                <w:szCs w:val="14"/>
                <w:color w:val="auto"/>
              </w:rPr>
              <w:t>shares we intend to repurchase from the</w:t>
            </w:r>
          </w:p>
        </w:tc>
      </w:tr>
      <w:tr>
        <w:trPr>
          <w:trHeight w:val="182"/>
        </w:trPr>
        <w:tc>
          <w:tcPr>
            <w:tcW w:w="20" w:type="dxa"/>
            <w:vAlign w:val="bottom"/>
          </w:tcPr>
          <w:p>
            <w:pPr>
              <w:spacing w:after="0"/>
              <w:rPr>
                <w:sz w:val="15"/>
                <w:szCs w:val="15"/>
                <w:color w:val="auto"/>
              </w:rPr>
            </w:pPr>
          </w:p>
        </w:tc>
        <w:tc>
          <w:tcPr>
            <w:tcW w:w="2380" w:type="dxa"/>
            <w:vAlign w:val="bottom"/>
            <w:gridSpan w:val="2"/>
          </w:tcPr>
          <w:p>
            <w:pPr>
              <w:ind w:left="320"/>
              <w:spacing w:after="0"/>
              <w:rPr>
                <w:sz w:val="20"/>
                <w:szCs w:val="20"/>
                <w:color w:val="auto"/>
              </w:rPr>
            </w:pPr>
            <w:r>
              <w:rPr>
                <w:rFonts w:ascii="Arial" w:cs="Arial" w:eastAsia="Arial" w:hAnsi="Arial"/>
                <w:sz w:val="14"/>
                <w:szCs w:val="14"/>
                <w:color w:val="auto"/>
              </w:rPr>
              <w:t>underwriter was $  per share.</w:t>
            </w:r>
          </w:p>
        </w:tc>
        <w:tc>
          <w:tcPr>
            <w:tcW w:w="4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88" w:lineRule="exact"/>
        <w:rPr>
          <w:sz w:val="24"/>
          <w:szCs w:val="24"/>
          <w:color w:val="auto"/>
        </w:rPr>
      </w:pPr>
    </w:p>
    <w:p>
      <w:pPr>
        <w:sectPr>
          <w:pgSz w:w="11900" w:h="16838" w:orient="portrait"/>
          <w:cols w:equalWidth="0" w:num="1">
            <w:col w:w="9567"/>
          </w:cols>
          <w:pgMar w:left="1173" w:top="238" w:right="1159" w:bottom="1440" w:gutter="0" w:footer="0" w:header="0"/>
        </w:sectPr>
      </w:pPr>
    </w:p>
    <w:p>
      <w:pPr>
        <w:ind w:left="347" w:hanging="347"/>
        <w:spacing w:after="0" w:line="312" w:lineRule="auto"/>
        <w:tabs>
          <w:tab w:leader="none" w:pos="347"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underwriting discount for the underwriter with respect to the</w:t>
      </w:r>
    </w:p>
    <w:p>
      <w:pPr>
        <w:spacing w:after="0" w:line="20" w:lineRule="exact"/>
        <w:rPr>
          <w:sz w:val="24"/>
          <w:szCs w:val="24"/>
          <w:color w:val="auto"/>
        </w:rPr>
      </w:pPr>
      <w:r>
        <w:rPr>
          <w:sz w:val="24"/>
          <w:szCs w:val="24"/>
          <w:color w:val="auto"/>
        </w:rPr>
        <w:br w:type="column"/>
      </w:r>
    </w:p>
    <w:p>
      <w:pPr>
        <w:ind w:right="700" w:firstLine="176"/>
        <w:spacing w:after="0" w:line="273" w:lineRule="auto"/>
        <w:rPr>
          <w:sz w:val="20"/>
          <w:szCs w:val="20"/>
          <w:color w:val="auto"/>
        </w:rPr>
      </w:pPr>
      <w:r>
        <w:rPr>
          <w:rFonts w:ascii="Arial" w:cs="Arial" w:eastAsia="Arial" w:hAnsi="Arial"/>
          <w:sz w:val="14"/>
          <w:szCs w:val="14"/>
          <w:color w:val="auto"/>
        </w:rPr>
        <w:t>shares offered to the public was $ per share. No underwriting discount or commissions will be paid to the shares we intend to repurchase.</w:t>
      </w:r>
    </w:p>
    <w:p>
      <w:pPr>
        <w:spacing w:after="0" w:line="65" w:lineRule="exact"/>
        <w:rPr>
          <w:sz w:val="24"/>
          <w:szCs w:val="24"/>
          <w:color w:val="auto"/>
        </w:rPr>
      </w:pPr>
    </w:p>
    <w:p>
      <w:pPr>
        <w:sectPr>
          <w:pgSz w:w="11900" w:h="16838" w:orient="portrait"/>
          <w:cols w:equalWidth="0" w:num="2">
            <w:col w:w="2287" w:space="220"/>
            <w:col w:w="7060"/>
          </w:cols>
          <w:pgMar w:left="1173" w:top="238" w:right="1159" w:bottom="1440" w:gutter="0" w:footer="0" w:header="0"/>
          <w:type w:val="continuous"/>
        </w:sectPr>
      </w:pPr>
    </w:p>
    <w:p>
      <w:pPr>
        <w:ind w:left="7"/>
        <w:spacing w:after="0"/>
        <w:tabs>
          <w:tab w:leader="none" w:pos="326" w:val="left"/>
        </w:tabs>
        <w:rPr>
          <w:sz w:val="20"/>
          <w:szCs w:val="20"/>
          <w:color w:val="auto"/>
        </w:rPr>
      </w:pPr>
      <w:r>
        <w:rPr>
          <w:rFonts w:ascii="Arial" w:cs="Arial" w:eastAsia="Arial" w:hAnsi="Arial"/>
          <w:sz w:val="14"/>
          <w:szCs w:val="14"/>
          <w:color w:val="auto"/>
        </w:rPr>
        <w:t>(3)</w:t>
        <w:tab/>
        <w:t>See “Underwriting” for additional information regarding underwriting compensation.</w:t>
      </w:r>
    </w:p>
    <w:p>
      <w:pPr>
        <w:spacing w:after="0" w:line="154" w:lineRule="exact"/>
        <w:rPr>
          <w:sz w:val="24"/>
          <w:szCs w:val="24"/>
          <w:color w:val="auto"/>
        </w:rPr>
      </w:pPr>
    </w:p>
    <w:p>
      <w:pPr>
        <w:ind w:left="367"/>
        <w:spacing w:after="0"/>
        <w:tabs>
          <w:tab w:leader="none" w:pos="9446" w:val="left"/>
        </w:tabs>
        <w:rPr>
          <w:sz w:val="20"/>
          <w:szCs w:val="20"/>
          <w:color w:val="auto"/>
        </w:rPr>
      </w:pPr>
      <w:r>
        <w:rPr>
          <w:rFonts w:ascii="Arial" w:cs="Arial" w:eastAsia="Arial" w:hAnsi="Arial"/>
          <w:sz w:val="17"/>
          <w:szCs w:val="17"/>
          <w:color w:val="auto"/>
        </w:rPr>
        <w:t>The underwriter expects to deliver the shares of our common stock against payment in New York, New York on or about</w:t>
      </w:r>
      <w:r>
        <w:rPr>
          <w:sz w:val="20"/>
          <w:szCs w:val="20"/>
          <w:color w:val="auto"/>
        </w:rPr>
        <w:tab/>
      </w:r>
      <w:r>
        <w:rPr>
          <w:rFonts w:ascii="Arial" w:cs="Arial" w:eastAsia="Arial" w:hAnsi="Arial"/>
          <w:sz w:val="14"/>
          <w:szCs w:val="14"/>
          <w:color w:val="auto"/>
        </w:rPr>
        <w:t>,</w:t>
      </w:r>
    </w:p>
    <w:p>
      <w:pPr>
        <w:spacing w:after="0" w:line="35" w:lineRule="exact"/>
        <w:rPr>
          <w:sz w:val="24"/>
          <w:szCs w:val="24"/>
          <w:color w:val="auto"/>
        </w:rPr>
      </w:pPr>
    </w:p>
    <w:p>
      <w:pPr>
        <w:ind w:left="7"/>
        <w:spacing w:after="0"/>
        <w:rPr>
          <w:sz w:val="20"/>
          <w:szCs w:val="20"/>
          <w:color w:val="auto"/>
        </w:rPr>
      </w:pPr>
      <w:r>
        <w:rPr>
          <w:rFonts w:ascii="Arial" w:cs="Arial" w:eastAsia="Arial" w:hAnsi="Arial"/>
          <w:sz w:val="18"/>
          <w:szCs w:val="18"/>
          <w:color w:val="auto"/>
        </w:rPr>
        <w:t>2019.</w:t>
      </w:r>
    </w:p>
    <w:p>
      <w:pPr>
        <w:spacing w:after="0" w:line="193" w:lineRule="exact"/>
        <w:rPr>
          <w:sz w:val="24"/>
          <w:szCs w:val="24"/>
          <w:color w:val="auto"/>
        </w:rPr>
      </w:pPr>
    </w:p>
    <w:p>
      <w:pPr>
        <w:jc w:val="center"/>
        <w:ind w:right="13"/>
        <w:spacing w:after="0"/>
        <w:rPr>
          <w:sz w:val="20"/>
          <w:szCs w:val="20"/>
          <w:color w:val="auto"/>
        </w:rPr>
      </w:pPr>
      <w:r>
        <w:rPr>
          <w:rFonts w:ascii="Arial" w:cs="Arial" w:eastAsia="Arial" w:hAnsi="Arial"/>
          <w:sz w:val="29"/>
          <w:szCs w:val="29"/>
          <w:b w:val="1"/>
          <w:bCs w:val="1"/>
          <w:color w:val="auto"/>
        </w:rPr>
        <w:t>Goldman Sachs &amp; Co. LLC</w:t>
      </w:r>
    </w:p>
    <w:p>
      <w:pPr>
        <w:sectPr>
          <w:pgSz w:w="11900" w:h="16838" w:orient="portrait"/>
          <w:cols w:equalWidth="0" w:num="1">
            <w:col w:w="9567"/>
          </w:cols>
          <w:pgMar w:left="1173" w:top="238" w:right="1159" w:bottom="1440" w:gutter="0" w:footer="0" w:header="0"/>
          <w:type w:val="continuous"/>
        </w:sectPr>
      </w:pPr>
    </w:p>
    <w:p>
      <w:pPr>
        <w:spacing w:after="0" w:line="234" w:lineRule="exact"/>
        <w:rPr>
          <w:sz w:val="24"/>
          <w:szCs w:val="24"/>
          <w:color w:val="auto"/>
        </w:rPr>
      </w:pPr>
    </w:p>
    <w:p>
      <w:pPr>
        <w:jc w:val="center"/>
        <w:ind w:right="13"/>
        <w:spacing w:after="0"/>
        <w:tabs>
          <w:tab w:leader="none" w:pos="280" w:val="left"/>
        </w:tabs>
        <w:rPr>
          <w:sz w:val="20"/>
          <w:szCs w:val="20"/>
          <w:color w:val="auto"/>
        </w:rPr>
      </w:pPr>
      <w:r>
        <w:rPr>
          <w:rFonts w:ascii="Arial" w:cs="Arial" w:eastAsia="Arial" w:hAnsi="Arial"/>
          <w:sz w:val="18"/>
          <w:szCs w:val="18"/>
          <w:b w:val="1"/>
          <w:bCs w:val="1"/>
          <w:color w:val="auto"/>
        </w:rPr>
        <w:t>Prospectus Supplement dated</w:t>
      </w:r>
      <w:r>
        <w:rPr>
          <w:sz w:val="20"/>
          <w:szCs w:val="20"/>
          <w:color w:val="auto"/>
        </w:rPr>
        <w:tab/>
      </w:r>
      <w:r>
        <w:rPr>
          <w:rFonts w:ascii="Arial" w:cs="Arial" w:eastAsia="Arial" w:hAnsi="Arial"/>
          <w:sz w:val="15"/>
          <w:szCs w:val="15"/>
          <w:b w:val="1"/>
          <w:bCs w:val="1"/>
          <w:color w:val="auto"/>
        </w:rPr>
        <w:t>,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0" w:type="dxa"/>
            <w:vAlign w:val="bottom"/>
            <w:gridSpan w:val="4"/>
          </w:tcPr>
          <w:p>
            <w:pPr>
              <w:jc w:val="center"/>
              <w:ind w:right="2600"/>
              <w:spacing w:after="0"/>
              <w:rPr>
                <w:sz w:val="20"/>
                <w:szCs w:val="20"/>
                <w:color w:val="auto"/>
              </w:rPr>
            </w:pPr>
            <w:r>
              <w:rPr>
                <w:rFonts w:ascii="Arial" w:cs="Arial" w:eastAsia="Arial" w:hAnsi="Arial"/>
                <w:sz w:val="18"/>
                <w:szCs w:val="18"/>
                <w:b w:val="1"/>
                <w:bCs w:val="1"/>
                <w:color w:val="auto"/>
                <w:w w:val="98"/>
              </w:rPr>
              <w:t>TABLE OF CONTENTS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gridSpan w:val="2"/>
          </w:tcPr>
          <w:p>
            <w:pPr>
              <w:jc w:val="center"/>
              <w:ind w:right="3200"/>
              <w:spacing w:after="0"/>
              <w:rPr>
                <w:sz w:val="20"/>
                <w:szCs w:val="20"/>
                <w:color w:val="auto"/>
              </w:rPr>
            </w:pPr>
            <w:r>
              <w:rPr>
                <w:rFonts w:ascii="Arial" w:cs="Arial" w:eastAsia="Arial" w:hAnsi="Arial"/>
                <w:sz w:val="18"/>
                <w:szCs w:val="18"/>
                <w:b w:val="1"/>
                <w:bCs w:val="1"/>
                <w:color w:val="auto"/>
                <w:w w:val="87"/>
              </w:rPr>
              <w:t>Prospectus Supplement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gridSpan w:val="14"/>
            <w:shd w:val="clear" w:color="auto" w:fill="CCEEFF"/>
          </w:tcPr>
          <w:p>
            <w:pPr>
              <w:spacing w:after="0" w:line="189"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About This Prospectus Supplement</w:t>
              </w:r>
            </w:hyperlink>
          </w:p>
        </w:tc>
        <w:tc>
          <w:tcPr>
            <w:tcW w:w="6340" w:type="dxa"/>
            <w:vAlign w:val="bottom"/>
            <w:gridSpan w:val="6"/>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S-iii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Trademarks, Service Marks and Trade Names</w:t>
              </w:r>
            </w:hyperlink>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5"/>
          </w:tcPr>
          <w:p>
            <w:pPr>
              <w:jc w:val="right"/>
              <w:ind w:right="100"/>
              <w:spacing w:after="0" w:line="189"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shd w:val="clear" w:color="auto" w:fill="CCEEFF"/>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Non-GAAP Financial Measures</w:t>
              </w:r>
            </w:hyperlink>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5"/>
          </w:tcPr>
          <w:p>
            <w:pPr>
              <w:jc w:val="right"/>
              <w:ind w:right="100"/>
              <w:spacing w:after="0" w:line="189"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S-1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Risk Factors</w:t>
              </w:r>
            </w:hyperlink>
          </w:p>
        </w:tc>
        <w:tc>
          <w:tcPr>
            <w:tcW w:w="7980" w:type="dxa"/>
            <w:vAlign w:val="bottom"/>
            <w:gridSpan w:val="18"/>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S-9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Special Note Regarding Forward-Looking Statements</w:t>
              </w:r>
            </w:hyperlink>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0">
              <w:r>
                <w:rPr>
                  <w:rFonts w:ascii="Arial" w:cs="Arial" w:eastAsia="Arial" w:hAnsi="Arial"/>
                  <w:sz w:val="18"/>
                  <w:szCs w:val="18"/>
                  <w:color w:val="0000EE"/>
                  <w:w w:val="84"/>
                </w:rPr>
                <w:t>S-15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shd w:val="clear" w:color="auto" w:fill="CCEEFF"/>
          </w:tcPr>
          <w:p>
            <w:pPr>
              <w:spacing w:after="0" w:line="189" w:lineRule="exact"/>
              <w:rPr>
                <w:rFonts w:ascii="Arial" w:cs="Arial" w:eastAsia="Arial" w:hAnsi="Arial"/>
                <w:sz w:val="18"/>
                <w:szCs w:val="18"/>
                <w:color w:val="0000EE"/>
              </w:rPr>
            </w:pPr>
            <w:hyperlink w:anchor="page22">
              <w:r>
                <w:rPr>
                  <w:rFonts w:ascii="Arial" w:cs="Arial" w:eastAsia="Arial" w:hAnsi="Arial"/>
                  <w:sz w:val="18"/>
                  <w:szCs w:val="18"/>
                  <w:color w:val="0000EE"/>
                </w:rPr>
                <w:t>Use of Proceeds</w:t>
              </w:r>
            </w:hyperlink>
          </w:p>
        </w:tc>
        <w:tc>
          <w:tcPr>
            <w:tcW w:w="24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S-17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Dividend Policy</w:t>
              </w:r>
            </w:hyperlink>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shd w:val="clear" w:color="auto" w:fill="CCEEFF"/>
          </w:tcPr>
          <w:p>
            <w:pPr>
              <w:spacing w:after="0" w:line="189"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Certain Relationships and Related Party Transactions</w:t>
              </w:r>
            </w:hyperlink>
          </w:p>
        </w:tc>
        <w:tc>
          <w:tcPr>
            <w:tcW w:w="5040" w:type="dxa"/>
            <w:vAlign w:val="bottom"/>
            <w:gridSpan w:val="3"/>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tcPr>
          <w:p>
            <w:pPr>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Selling Stockholder</w:t>
              </w:r>
            </w:hyperlink>
          </w:p>
        </w:tc>
        <w:tc>
          <w:tcPr>
            <w:tcW w:w="504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S-21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shd w:val="clear" w:color="auto" w:fill="CCEEFF"/>
          </w:tcPr>
          <w:p>
            <w:pPr>
              <w:spacing w:after="0" w:line="189"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Material United States Federal Income and Estate Tax Consequences to Non-U.S. Holders</w:t>
              </w:r>
            </w:hyperlink>
          </w:p>
        </w:tc>
        <w:tc>
          <w:tcPr>
            <w:tcW w:w="2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S-22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20" w:type="dxa"/>
            <w:vAlign w:val="bottom"/>
            <w:tcBorders>
              <w:top w:val="single" w:sz="8" w:color="0000EE"/>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Underwriting</w:t>
              </w:r>
            </w:hyperlink>
          </w:p>
        </w:tc>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S-25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shd w:val="clear" w:color="auto" w:fill="CCEEFF"/>
          </w:tcPr>
          <w:p>
            <w:pPr>
              <w:spacing w:after="0" w:line="189"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Legal Matters</w:t>
              </w:r>
            </w:hyperlink>
          </w:p>
        </w:tc>
        <w:tc>
          <w:tcPr>
            <w:tcW w:w="7880" w:type="dxa"/>
            <w:vAlign w:val="bottom"/>
            <w:gridSpan w:val="16"/>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S-31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8"/>
                <w:szCs w:val="18"/>
                <w:color w:val="0000EE"/>
              </w:rPr>
            </w:pPr>
            <w:hyperlink w:anchor="page36">
              <w:r>
                <w:rPr>
                  <w:rFonts w:ascii="Arial" w:cs="Arial" w:eastAsia="Arial" w:hAnsi="Arial"/>
                  <w:sz w:val="18"/>
                  <w:szCs w:val="18"/>
                  <w:color w:val="0000EE"/>
                </w:rPr>
                <w:t>Experts</w:t>
              </w:r>
            </w:hyperlink>
          </w:p>
        </w:tc>
        <w:tc>
          <w:tcPr>
            <w:tcW w:w="7880" w:type="dxa"/>
            <w:vAlign w:val="bottom"/>
            <w:gridSpan w:val="16"/>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S-31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5"/>
            <w:shd w:val="clear" w:color="auto" w:fill="CCEEFF"/>
          </w:tcPr>
          <w:p>
            <w:pPr>
              <w:spacing w:after="0" w:line="189"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Where You Can Find More Information</w:t>
              </w:r>
            </w:hyperlink>
          </w:p>
        </w:tc>
        <w:tc>
          <w:tcPr>
            <w:tcW w:w="6020" w:type="dxa"/>
            <w:vAlign w:val="bottom"/>
            <w:gridSpan w:val="5"/>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S-31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5"/>
          </w:tcPr>
          <w:p>
            <w:pPr>
              <w:spacing w:after="0" w:line="189" w:lineRule="exact"/>
              <w:rPr>
                <w:rFonts w:ascii="Arial" w:cs="Arial" w:eastAsia="Arial" w:hAnsi="Arial"/>
                <w:sz w:val="18"/>
                <w:szCs w:val="18"/>
                <w:color w:val="0000EE"/>
              </w:rPr>
            </w:pPr>
            <w:hyperlink w:anchor="page36">
              <w:r>
                <w:rPr>
                  <w:rFonts w:ascii="Arial" w:cs="Arial" w:eastAsia="Arial" w:hAnsi="Arial"/>
                  <w:sz w:val="18"/>
                  <w:szCs w:val="18"/>
                  <w:color w:val="0000EE"/>
                </w:rPr>
                <w:t>Incorporation by Reference</w:t>
              </w:r>
            </w:hyperlink>
          </w:p>
        </w:tc>
        <w:tc>
          <w:tcPr>
            <w:tcW w:w="6020" w:type="dxa"/>
            <w:vAlign w:val="bottom"/>
            <w:gridSpan w:val="5"/>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S-31</w:t>
              </w:r>
            </w:hyperlink>
          </w:p>
        </w:tc>
        <w:tc>
          <w:tcPr>
            <w:tcW w:w="0" w:type="dxa"/>
            <w:vAlign w:val="bottom"/>
          </w:tcPr>
          <w:p>
            <w:pPr>
              <w:spacing w:after="0"/>
              <w:rPr>
                <w:sz w:val="1"/>
                <w:szCs w:val="1"/>
                <w:color w:val="auto"/>
              </w:rPr>
            </w:pPr>
          </w:p>
        </w:tc>
      </w:tr>
      <w:tr>
        <w:trPr>
          <w:trHeight w:val="466"/>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gridSpan w:val="2"/>
          </w:tcPr>
          <w:p>
            <w:pPr>
              <w:jc w:val="center"/>
              <w:ind w:right="3200"/>
              <w:spacing w:after="0"/>
              <w:rPr>
                <w:sz w:val="20"/>
                <w:szCs w:val="20"/>
                <w:color w:val="auto"/>
              </w:rPr>
            </w:pPr>
            <w:r>
              <w:rPr>
                <w:rFonts w:ascii="Arial" w:cs="Arial" w:eastAsia="Arial" w:hAnsi="Arial"/>
                <w:sz w:val="18"/>
                <w:szCs w:val="18"/>
                <w:b w:val="1"/>
                <w:bCs w:val="1"/>
                <w:color w:val="auto"/>
                <w:w w:val="85"/>
              </w:rPr>
              <w:t>Prospectus</w:t>
            </w: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gridSpan w:val="8"/>
            <w:shd w:val="clear" w:color="auto" w:fill="CCEEFF"/>
          </w:tcPr>
          <w:p>
            <w:pPr>
              <w:spacing w:after="0" w:line="189"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About This Prospectus</w:t>
              </w:r>
            </w:hyperlink>
          </w:p>
        </w:tc>
        <w:tc>
          <w:tcPr>
            <w:tcW w:w="7240" w:type="dxa"/>
            <w:vAlign w:val="bottom"/>
            <w:gridSpan w:val="12"/>
            <w:shd w:val="clear" w:color="auto" w:fill="CCEEFF"/>
          </w:tcPr>
          <w:p>
            <w:pPr>
              <w:spacing w:after="0"/>
              <w:rPr>
                <w:sz w:val="16"/>
                <w:szCs w:val="16"/>
                <w:color w:val="auto"/>
              </w:rPr>
            </w:pPr>
          </w:p>
        </w:tc>
        <w:tc>
          <w:tcPr>
            <w:tcW w:w="58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National Vision Holdings, Inc.</w:t>
              </w:r>
            </w:hyperlink>
          </w:p>
        </w:tc>
        <w:tc>
          <w:tcPr>
            <w:tcW w:w="580" w:type="dxa"/>
            <w:vAlign w:val="bottom"/>
            <w:gridSpan w:val="6"/>
          </w:tcPr>
          <w:p>
            <w:pPr>
              <w:jc w:val="right"/>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Risk Factors</w:t>
              </w:r>
            </w:hyperlink>
          </w:p>
        </w:tc>
        <w:tc>
          <w:tcPr>
            <w:tcW w:w="7980" w:type="dxa"/>
            <w:vAlign w:val="bottom"/>
            <w:gridSpan w:val="18"/>
            <w:shd w:val="clear" w:color="auto" w:fill="CCEEFF"/>
          </w:tcPr>
          <w:p>
            <w:pPr>
              <w:spacing w:after="0"/>
              <w:rPr>
                <w:sz w:val="16"/>
                <w:szCs w:val="16"/>
                <w:color w:val="auto"/>
              </w:rPr>
            </w:pPr>
          </w:p>
        </w:tc>
        <w:tc>
          <w:tcPr>
            <w:tcW w:w="58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Special Note Regarding Forward-Looking Statements</w:t>
              </w:r>
            </w:hyperlink>
          </w:p>
        </w:tc>
        <w:tc>
          <w:tcPr>
            <w:tcW w:w="580" w:type="dxa"/>
            <w:vAlign w:val="bottom"/>
            <w:gridSpan w:val="6"/>
          </w:tcPr>
          <w:p>
            <w:pPr>
              <w:jc w:val="right"/>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shd w:val="clear" w:color="auto" w:fill="CCEEFF"/>
          </w:tcPr>
          <w:p>
            <w:pPr>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58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Capital Stock</w:t>
              </w:r>
            </w:hyperlink>
          </w:p>
        </w:tc>
        <w:tc>
          <w:tcPr>
            <w:tcW w:w="580" w:type="dxa"/>
            <w:vAlign w:val="bottom"/>
            <w:gridSpan w:val="6"/>
          </w:tcPr>
          <w:p>
            <w:pPr>
              <w:jc w:val="right"/>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60" w:type="dxa"/>
            <w:vAlign w:val="bottom"/>
            <w:gridSpan w:val="20"/>
            <w:shd w:val="clear" w:color="auto" w:fill="CCEEFF"/>
          </w:tcPr>
          <w:p>
            <w:pPr>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Selling Stockholders</w:t>
              </w:r>
            </w:hyperlink>
          </w:p>
        </w:tc>
        <w:tc>
          <w:tcPr>
            <w:tcW w:w="58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15</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gridSpan w:val="7"/>
          </w:tcPr>
          <w:p>
            <w:pPr>
              <w:spacing w:after="0" w:line="189"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Plan of Distribution</w:t>
              </w:r>
            </w:hyperlink>
          </w:p>
        </w:tc>
        <w:tc>
          <w:tcPr>
            <w:tcW w:w="7400" w:type="dxa"/>
            <w:vAlign w:val="bottom"/>
            <w:tcBorders>
              <w:top w:val="single" w:sz="8" w:color="CCEEFF"/>
            </w:tcBorders>
            <w:gridSpan w:val="13"/>
          </w:tcPr>
          <w:p>
            <w:pPr>
              <w:spacing w:after="0"/>
              <w:rPr>
                <w:sz w:val="16"/>
                <w:szCs w:val="16"/>
                <w:color w:val="auto"/>
              </w:rPr>
            </w:pPr>
          </w:p>
        </w:tc>
        <w:tc>
          <w:tcPr>
            <w:tcW w:w="400" w:type="dxa"/>
            <w:vAlign w:val="bottom"/>
            <w:tcBorders>
              <w:top w:val="single" w:sz="8" w:color="CCEEFF"/>
            </w:tcBorders>
            <w:gridSpan w:val="4"/>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16</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980" w:type="dxa"/>
            <w:vAlign w:val="bottom"/>
            <w:tcBorders>
              <w:bottom w:val="single" w:sz="8" w:color="0000EE"/>
            </w:tcBorders>
            <w:gridSpan w:val="4"/>
            <w:shd w:val="clear" w:color="auto" w:fill="CCEEFF"/>
          </w:tcPr>
          <w:p>
            <w:pPr>
              <w:spacing w:after="0" w:line="189"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Legal Matters</w:t>
              </w:r>
            </w:hyperlink>
          </w:p>
        </w:tc>
        <w:tc>
          <w:tcPr>
            <w:tcW w:w="7880" w:type="dxa"/>
            <w:vAlign w:val="bottom"/>
            <w:tcBorders>
              <w:bottom w:val="single" w:sz="8" w:color="CCEEFF"/>
            </w:tcBorders>
            <w:gridSpan w:val="16"/>
            <w:shd w:val="clear" w:color="auto" w:fill="CCEEFF"/>
          </w:tcPr>
          <w:p>
            <w:pPr>
              <w:spacing w:after="0"/>
              <w:rPr>
                <w:sz w:val="19"/>
                <w:szCs w:val="19"/>
                <w:color w:val="auto"/>
              </w:rPr>
            </w:pPr>
          </w:p>
        </w:tc>
        <w:tc>
          <w:tcPr>
            <w:tcW w:w="40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19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0"/>
          </w:tcPr>
          <w:p>
            <w:pPr>
              <w:spacing w:after="0" w:line="189"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580" w:type="dxa"/>
            <w:vAlign w:val="bottom"/>
            <w:gridSpan w:val="6"/>
          </w:tcPr>
          <w:p>
            <w:pPr>
              <w:jc w:val="right"/>
              <w:spacing w:after="0" w:line="189" w:lineRule="exact"/>
              <w:rPr>
                <w:rFonts w:ascii="Arial" w:cs="Arial" w:eastAsia="Arial" w:hAnsi="Arial"/>
                <w:sz w:val="18"/>
                <w:szCs w:val="18"/>
                <w:color w:val="0000EE"/>
              </w:rPr>
            </w:pPr>
            <w:hyperlink w:anchor="page58">
              <w:r>
                <w:rPr>
                  <w:rFonts w:ascii="Arial" w:cs="Arial" w:eastAsia="Arial" w:hAnsi="Arial"/>
                  <w:sz w:val="18"/>
                  <w:szCs w:val="18"/>
                  <w:color w:val="0000EE"/>
                </w:rPr>
                <w:t>19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2840" w:type="dxa"/>
            <w:vAlign w:val="bottom"/>
            <w:tcBorders>
              <w:bottom w:val="single" w:sz="8" w:color="0000EE"/>
            </w:tcBorders>
            <w:gridSpan w:val="15"/>
            <w:shd w:val="clear" w:color="auto" w:fill="CCEEFF"/>
          </w:tcPr>
          <w:p>
            <w:pPr>
              <w:spacing w:after="0" w:line="189"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Where You Can Find More Information</w:t>
              </w:r>
            </w:hyperlink>
          </w:p>
        </w:tc>
        <w:tc>
          <w:tcPr>
            <w:tcW w:w="6020" w:type="dxa"/>
            <w:vAlign w:val="bottom"/>
            <w:tcBorders>
              <w:bottom w:val="single" w:sz="8" w:color="CCEEFF"/>
            </w:tcBorders>
            <w:gridSpan w:val="5"/>
            <w:shd w:val="clear" w:color="auto" w:fill="CCEEFF"/>
          </w:tcPr>
          <w:p>
            <w:pPr>
              <w:spacing w:after="0"/>
              <w:rPr>
                <w:sz w:val="19"/>
                <w:szCs w:val="19"/>
                <w:color w:val="auto"/>
              </w:rPr>
            </w:pPr>
          </w:p>
        </w:tc>
        <w:tc>
          <w:tcPr>
            <w:tcW w:w="40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19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0000EE"/>
            </w:tcBorders>
          </w:tcPr>
          <w:p>
            <w:pPr>
              <w:spacing w:after="0"/>
              <w:rPr>
                <w:sz w:val="16"/>
                <w:szCs w:val="16"/>
                <w:color w:val="auto"/>
              </w:rPr>
            </w:pPr>
          </w:p>
        </w:tc>
        <w:tc>
          <w:tcPr>
            <w:tcW w:w="1960" w:type="dxa"/>
            <w:vAlign w:val="bottom"/>
            <w:tcBorders>
              <w:bottom w:val="single" w:sz="8" w:color="0000EE"/>
            </w:tcBorders>
            <w:gridSpan w:val="9"/>
          </w:tcPr>
          <w:p>
            <w:pPr>
              <w:spacing w:after="0" w:line="189"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Incorporation by Reference</w:t>
              </w:r>
            </w:hyperlink>
          </w:p>
        </w:tc>
        <w:tc>
          <w:tcPr>
            <w:tcW w:w="6900" w:type="dxa"/>
            <w:vAlign w:val="bottom"/>
            <w:gridSpan w:val="11"/>
          </w:tcPr>
          <w:p>
            <w:pPr>
              <w:spacing w:after="0"/>
              <w:rPr>
                <w:sz w:val="16"/>
                <w:szCs w:val="16"/>
                <w:color w:val="auto"/>
              </w:rPr>
            </w:pPr>
          </w:p>
        </w:tc>
        <w:tc>
          <w:tcPr>
            <w:tcW w:w="400" w:type="dxa"/>
            <w:vAlign w:val="bottom"/>
            <w:gridSpan w:val="4"/>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19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supplement and the accompanying prospectus or in any free writing prospectus that we authorize to be delivered to you. We, the selling stockholder and the underwriter have not authorized anyone to provide any information or to make any representations other than those contained, or incorporated by reference, in this prospectus supplement and the accompanying prospectus or in any free writing prospectus we have prepared. We, the selling stockholder and the underwriter take no responsibility for, and can provide no assurance as to the reliability of, any other information that others may provide you. The selling stockholder and the underwriter are offering to sell, and seeking offers to buy, these securities only in jurisdictions where offers and sales are permitted. You should assume that the information contained, or incorporated by reference, in this prospectus supplement and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b w:val="1"/>
          <w:bCs w:val="1"/>
          <w:color w:val="auto"/>
        </w:rPr>
        <w:t>For investors outside the United States: The selling stockholder and the underwriter are offering to sell, and seeking offers to buy, shares of our common stock only in jurisdictions where offers and sales are permitted. None of us, the selling stockholder or the underwriter have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This document has two parts, a prospectus supplement and an accompanying prospectus, dated November 14, 2018. This prospectus supplement and the accompanying prospectus are part of a registration statement that we filed with the SEC, utilizing the SEC’s “shelf” registration process. The prospectus supplement, which describes certain matters relating to us and the specific terms of this offering of shares of our common stock, adds to and updates information contained in the accompanying prospectus and the documents incorporated by reference herein. Generally, when we refer to this document, we are referring to both parts of this document combined. Both this prospectus supplement and the accompanying prospectus include important information about us, our common stock and other information you should know before investing in our common stock.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75"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Before you invest in our common stock, you should read the registration statement of which this document forms a part and this document, including the documents incorporated by reference herein that are described under the heading “Incorporation by Reference.”</w:t>
      </w:r>
    </w:p>
    <w:p>
      <w:pPr>
        <w:spacing w:after="0" w:line="73"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our common stock in certain jurisdictions may be restricted by law. Neither the selling stockholder nor the underwriter are making an offer of our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70"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our common stock. None of us, the selling stockholder or the underwriter are making any representation to you regarding the legality of an investment in our common stock by you under applicable investment or similar laws.</w:t>
      </w:r>
    </w:p>
    <w:p>
      <w:pPr>
        <w:spacing w:after="0" w:line="8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this prospectus supplement, unless the context otherwise requires, all references herein to “National Vision Holdings, Inc.,” “National Vision,” the “Company,” “we,” “our” or “us” refer to National Vision Holdings, Inc., a Delaware corporation, and its consolidated subsidiaries. National Vision Holdings, Inc. conducts substantially all of its activities through its direct, wholly-owned subsidiary, National Vision, Inc., a Georgia corporation, which we refer to herein as “NVI,” and NVI’s subsidiaries. References to the “selling stockholder” refer to the selling stockholder listed in the table under the caption “Selling Stockholder” in this prospectus supplement.</w:t>
      </w:r>
    </w:p>
    <w:p>
      <w:pPr>
        <w:spacing w:after="0" w:line="85"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 References to “fiscal year 2016,” “fiscal year 2017” and “fiscal year 2018” relate to our fiscal year ended December 31, 2016, our fiscal year ended December 30, 2017 and our fiscal year ended December 29, 2018, respectively.</w:t>
      </w:r>
    </w:p>
    <w:p>
      <w:pPr>
        <w:spacing w:after="0" w:line="80" w:lineRule="exact"/>
        <w:rPr>
          <w:sz w:val="20"/>
          <w:szCs w:val="20"/>
          <w:color w:val="auto"/>
        </w:rPr>
      </w:pPr>
    </w:p>
    <w:p>
      <w:pPr>
        <w:ind w:right="260" w:firstLine="360"/>
        <w:spacing w:after="0" w:line="297" w:lineRule="auto"/>
        <w:rPr>
          <w:sz w:val="20"/>
          <w:szCs w:val="20"/>
          <w:color w:val="auto"/>
        </w:rPr>
      </w:pPr>
      <w:r>
        <w:rPr>
          <w:rFonts w:ascii="Arial" w:cs="Arial" w:eastAsia="Arial" w:hAnsi="Arial"/>
          <w:sz w:val="16"/>
          <w:szCs w:val="16"/>
          <w:color w:val="auto"/>
        </w:rPr>
        <w:t>Amounts in this prospectus supplement and the audited consolidated financial statements and the unaudited condensed consolidated financial statements, each incorporated by reference in this prospectus supplement,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incorporated by reference in this prospectus supplement have been consistently applied to all periods presented.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We own a number of registered and common law trademarks and pending applications for trademark registrations in the United States, primarily through our subsidiaries. Solely for convenience, the trademarks, service marks and trade names referred to in this prospectus supplement and the accompanying prospectus (or in documents we have incorporated by reference) are presented without the ®, SM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supplement and the accompanying prospectus (or in documents we have incorporated by reference) are the property of their respective owners.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This prospectus supplement contains, or incorporates by reference,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“Adjusted EBITDA Margin” and “Adjusted Net Income.”</w:t>
      </w:r>
    </w:p>
    <w:p>
      <w:pPr>
        <w:spacing w:after="0" w:line="46"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EBITDA, Adjusted EBITDA, Adjusted EBITDA Margin and Adjusted Net Income have been presented in this prospectus supplement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2"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Supplement Summary―Summary Historical Consolidated Financial and Other Data.”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61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92825" cy="706183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100" w:firstLine="360"/>
        <w:spacing w:after="0" w:line="287"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This summary highlights selected information contained or incorporated by reference in this prospectus supplement and the accompanying prospectus. This summary is not complete and does not contain all of the information that you should consider before making your investment decision. Before you decide to invest in shares of our common stock, you should carefully read this entire prospectus supplement, the accompanying prospectus and the information incorporated by reference herein and therein, including any free writing prospectus prepared by us or on our behalf, including the sections entitled “Special Note Regarding Forward-Looking Statements” and “Risk Factors” included in this prospectus supplement and the accompanying prospectus, the sections entitled </w:t>
      </w:r>
      <w:hyperlink r:id="rId15">
        <w:r>
          <w:rPr>
            <w:rFonts w:ascii="Arial" w:cs="Arial" w:eastAsia="Arial" w:hAnsi="Arial"/>
            <w:sz w:val="16"/>
            <w:szCs w:val="16"/>
            <w:i w:val="1"/>
            <w:iCs w:val="1"/>
            <w:u w:val="single" w:color="auto"/>
            <w:color w:val="0000EE"/>
          </w:rPr>
          <w:t>“Risk Factors”</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 xml:space="preserve">and </w:t>
      </w:r>
      <w:hyperlink r:id="rId16">
        <w:r>
          <w:rPr>
            <w:rFonts w:ascii="Arial" w:cs="Arial" w:eastAsia="Arial" w:hAnsi="Arial"/>
            <w:sz w:val="16"/>
            <w:szCs w:val="16"/>
            <w:i w:val="1"/>
            <w:iCs w:val="1"/>
            <w:u w:val="single" w:color="auto"/>
            <w:color w:val="0000EE"/>
          </w:rPr>
          <w:t>“Management’s Discussion and Analysis of Financial</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 xml:space="preserve">Condition and Results of Operations” and the </w:t>
      </w:r>
      <w:hyperlink r:id="rId17">
        <w:r>
          <w:rPr>
            <w:rFonts w:ascii="Arial" w:cs="Arial" w:eastAsia="Arial" w:hAnsi="Arial"/>
            <w:sz w:val="16"/>
            <w:szCs w:val="16"/>
            <w:i w:val="1"/>
            <w:iCs w:val="1"/>
            <w:u w:val="single" w:color="auto"/>
            <w:color w:val="0000EE"/>
          </w:rPr>
          <w:t>audited consolidated financial statements and related notes</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 xml:space="preserve">thereto in our Annual Report on Form 10-K for the fiscal </w:t>
      </w:r>
      <w:hyperlink r:id="rId18">
        <w:r>
          <w:rPr>
            <w:rFonts w:ascii="Arial" w:cs="Arial" w:eastAsia="Arial" w:hAnsi="Arial"/>
            <w:sz w:val="16"/>
            <w:szCs w:val="16"/>
            <w:i w:val="1"/>
            <w:iCs w:val="1"/>
            <w:color w:val="auto"/>
          </w:rPr>
          <w:t xml:space="preserve">year ended December 29, 2018, or our Annual Report, and the section entitled </w:t>
        </w:r>
        <w:r>
          <w:rPr>
            <w:rFonts w:ascii="Arial" w:cs="Arial" w:eastAsia="Arial" w:hAnsi="Arial"/>
            <w:sz w:val="16"/>
            <w:szCs w:val="16"/>
            <w:i w:val="1"/>
            <w:iCs w:val="1"/>
            <w:u w:val="single" w:color="auto"/>
            <w:color w:val="0000EE"/>
          </w:rPr>
          <w:t>“Management’s Discussion and Analysis of</w:t>
        </w:r>
      </w:hyperlink>
      <w:r>
        <w:rPr>
          <w:rFonts w:ascii="Arial" w:cs="Arial" w:eastAsia="Arial" w:hAnsi="Arial"/>
          <w:sz w:val="16"/>
          <w:szCs w:val="16"/>
          <w:i w:val="1"/>
          <w:iCs w:val="1"/>
          <w:color w:val="auto"/>
        </w:rPr>
        <w:t xml:space="preserve"> </w:t>
      </w:r>
      <w:hyperlink r:id="rId19">
        <w:r>
          <w:rPr>
            <w:rFonts w:ascii="Arial" w:cs="Arial" w:eastAsia="Arial" w:hAnsi="Arial"/>
            <w:sz w:val="16"/>
            <w:szCs w:val="16"/>
            <w:i w:val="1"/>
            <w:iCs w:val="1"/>
            <w:u w:val="single" w:color="auto"/>
            <w:color w:val="0000EE"/>
          </w:rPr>
          <w:t>Financial Condition and Results of Operations”</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 the</w:t>
        </w:r>
        <w:r>
          <w:rPr>
            <w:rFonts w:ascii="Arial" w:cs="Arial" w:eastAsia="Arial" w:hAnsi="Arial"/>
            <w:sz w:val="16"/>
            <w:szCs w:val="16"/>
            <w:i w:val="1"/>
            <w:iCs w:val="1"/>
            <w:color w:val="0000EE"/>
          </w:rPr>
          <w:t xml:space="preserve"> </w:t>
        </w:r>
        <w:r>
          <w:rPr>
            <w:rFonts w:ascii="Arial" w:cs="Arial" w:eastAsia="Arial" w:hAnsi="Arial"/>
            <w:sz w:val="16"/>
            <w:szCs w:val="16"/>
            <w:i w:val="1"/>
            <w:iCs w:val="1"/>
            <w:u w:val="single" w:color="auto"/>
            <w:color w:val="0000EE"/>
          </w:rPr>
          <w:t>unaudited condensed consolidated financial statements and related</w:t>
        </w:r>
      </w:hyperlink>
      <w:r>
        <w:rPr>
          <w:rFonts w:ascii="Arial" w:cs="Arial" w:eastAsia="Arial" w:hAnsi="Arial"/>
          <w:sz w:val="16"/>
          <w:szCs w:val="16"/>
          <w:i w:val="1"/>
          <w:iCs w:val="1"/>
          <w:color w:val="0000EE"/>
        </w:rPr>
        <w:t xml:space="preserve"> </w:t>
      </w:r>
      <w:hyperlink r:id="rId19">
        <w:r>
          <w:rPr>
            <w:rFonts w:ascii="Arial" w:cs="Arial" w:eastAsia="Arial" w:hAnsi="Arial"/>
            <w:sz w:val="16"/>
            <w:szCs w:val="16"/>
            <w:i w:val="1"/>
            <w:iCs w:val="1"/>
            <w:u w:val="single" w:color="auto"/>
            <w:color w:val="0000EE"/>
          </w:rPr>
          <w:t>notes</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thereto in our Quarterly Reports on Form 10-Q for the quarters ended March 30, 2019 and June 29, 2019, or our</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Quarterly Reports, each of which is incorporated by reference in this prospectus supplement and the accompanying prospectus.</w:t>
      </w:r>
    </w:p>
    <w:p>
      <w:pPr>
        <w:spacing w:after="0" w:line="165" w:lineRule="exact"/>
        <w:rPr>
          <w:rFonts w:ascii="Arial" w:cs="Arial" w:eastAsia="Arial" w:hAnsi="Arial"/>
          <w:sz w:val="16"/>
          <w:szCs w:val="16"/>
          <w:i w:val="1"/>
          <w:iCs w:val="1"/>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121" w:lineRule="exact"/>
        <w:rPr>
          <w:rFonts w:ascii="Arial" w:cs="Arial" w:eastAsia="Arial" w:hAnsi="Arial"/>
          <w:sz w:val="16"/>
          <w:szCs w:val="16"/>
          <w:i w:val="1"/>
          <w:iCs w:val="1"/>
          <w:color w:val="auto"/>
        </w:rPr>
      </w:pPr>
    </w:p>
    <w:p>
      <w:pPr>
        <w:ind w:left="100" w:right="40" w:firstLine="360"/>
        <w:spacing w:after="0" w:line="272"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1,128 retail stores across five brands and 17 consumer websites as of June 29, 2019.</w:t>
      </w:r>
    </w:p>
    <w:p>
      <w:pPr>
        <w:spacing w:after="0" w:line="70" w:lineRule="exact"/>
        <w:rPr>
          <w:rFonts w:ascii="Arial" w:cs="Arial" w:eastAsia="Arial" w:hAnsi="Arial"/>
          <w:sz w:val="16"/>
          <w:szCs w:val="16"/>
          <w:i w:val="1"/>
          <w:iCs w:val="1"/>
          <w:color w:val="auto"/>
        </w:rPr>
      </w:pPr>
    </w:p>
    <w:p>
      <w:pPr>
        <w:ind w:left="100" w:right="200" w:firstLine="360"/>
        <w:spacing w:after="0" w:line="286"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w:t>
      </w:r>
    </w:p>
    <w:p>
      <w:pPr>
        <w:spacing w:after="0" w:line="57" w:lineRule="exact"/>
        <w:rPr>
          <w:rFonts w:ascii="Arial" w:cs="Arial" w:eastAsia="Arial" w:hAnsi="Arial"/>
          <w:sz w:val="16"/>
          <w:szCs w:val="16"/>
          <w:i w:val="1"/>
          <w:iCs w:val="1"/>
          <w:color w:val="auto"/>
        </w:rPr>
      </w:pPr>
    </w:p>
    <w:p>
      <w:pPr>
        <w:ind w:left="100" w:right="80" w:firstLine="360"/>
        <w:spacing w:after="0" w:line="287" w:lineRule="auto"/>
        <w:rPr>
          <w:sz w:val="20"/>
          <w:szCs w:val="20"/>
          <w:color w:val="auto"/>
        </w:rPr>
      </w:pPr>
      <w:r>
        <w:rPr>
          <w:rFonts w:ascii="Arial" w:cs="Arial" w:eastAsia="Arial" w:hAnsi="Arial"/>
          <w:sz w:val="16"/>
          <w:szCs w:val="16"/>
          <w:color w:val="auto"/>
        </w:rPr>
        <w:t>We have two reportable segments: our owned &amp; host segment and our legacy segment. Our owned &amp; host segment includes our two owned brands, America’s Best and Eyeglass World, and our Vista Optical locations in Fred Meyer, Inc. stores. Within this segment, we also provide low-cost vision care products and services to American military service members by operating Vista Optical locations on select military bases across the country. Our legacy segment consists of our 28-year strategic relationship with Wal-Mart Stores, Inc., or Walmart, to operate Vision Centers in select Walmart stores. In addition, our wholly-owned subsidiary, FirstSight Vision Services Inc., or FirstSight, which is licensed as a single-service health plan under California law, issues individual vision care benefit plans in connection with our America’s Best operations in California and arranges for the provision of optometric services at optometric offices next to certain Walmart stores throughout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w:t>
      </w:r>
    </w:p>
    <w:p>
      <w:pPr>
        <w:spacing w:after="0" w:line="65" w:lineRule="exact"/>
        <w:rPr>
          <w:rFonts w:ascii="Arial" w:cs="Arial" w:eastAsia="Arial" w:hAnsi="Arial"/>
          <w:sz w:val="16"/>
          <w:szCs w:val="16"/>
          <w:i w:val="1"/>
          <w:iCs w:val="1"/>
          <w:color w:val="auto"/>
        </w:rPr>
      </w:pPr>
    </w:p>
    <w:p>
      <w:pPr>
        <w:ind w:left="100" w:right="40" w:firstLine="360"/>
        <w:spacing w:after="0" w:line="279"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Partners LLC, or Berkshire, acquired both NVI and Consolidated Vision Group, Inc., which operated America’s Best stores, and merged these entities, with NVI surviving. In 2009, NVI acquired the Eyeglass World store chain. In 2011, after a multi-year partnership, NVI acquired Arlington Contact Lens Service, Inc., or AC Lens, to bolster its e-commerce platform.</w:t>
      </w:r>
    </w:p>
    <w:p>
      <w:pPr>
        <w:spacing w:after="0" w:line="63" w:lineRule="exact"/>
        <w:rPr>
          <w:rFonts w:ascii="Arial" w:cs="Arial" w:eastAsia="Arial" w:hAnsi="Arial"/>
          <w:sz w:val="16"/>
          <w:szCs w:val="16"/>
          <w:i w:val="1"/>
          <w:iCs w:val="1"/>
          <w:color w:val="auto"/>
        </w:rPr>
      </w:pPr>
    </w:p>
    <w:p>
      <w:pPr>
        <w:ind w:left="100" w:right="160" w:firstLine="360"/>
        <w:spacing w:after="0" w:line="255" w:lineRule="auto"/>
        <w:rPr>
          <w:sz w:val="20"/>
          <w:szCs w:val="20"/>
          <w:color w:val="auto"/>
        </w:rPr>
      </w:pPr>
      <w:r>
        <w:rPr>
          <w:rFonts w:ascii="Arial" w:cs="Arial" w:eastAsia="Arial" w:hAnsi="Arial"/>
          <w:sz w:val="18"/>
          <w:szCs w:val="18"/>
          <w:color w:val="auto"/>
        </w:rPr>
        <w:t>In March 2014, NVI was acquired by affiliates of Kohlberg Kravis Roberts &amp; Co. L.P., or KKR. National Vision Holdings, Inc. was incorporated in Delaware on February 14, 2014 under the name “Nautilus Parent, Inc.” and NVI became our wholly-owned subsidiary in connection with the acquisition of the Company by affiliates of KKR in March 2014, or the KKR Acquisition.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200" w:lineRule="exact"/>
        <w:rPr>
          <w:rFonts w:ascii="Arial" w:cs="Arial" w:eastAsia="Arial" w:hAnsi="Arial"/>
          <w:sz w:val="16"/>
          <w:szCs w:val="16"/>
          <w:i w:val="1"/>
          <w:iCs w:val="1"/>
          <w:color w:val="auto"/>
        </w:rPr>
      </w:pPr>
    </w:p>
    <w:p>
      <w:pPr>
        <w:spacing w:after="0" w:line="277" w:lineRule="exact"/>
        <w:rPr>
          <w:rFonts w:ascii="Arial" w:cs="Arial" w:eastAsia="Arial" w:hAnsi="Arial"/>
          <w:sz w:val="16"/>
          <w:szCs w:val="16"/>
          <w:i w:val="1"/>
          <w:iCs w:val="1"/>
          <w:color w:val="auto"/>
        </w:rPr>
      </w:pPr>
    </w:p>
    <w:p>
      <w:pPr>
        <w:jc w:val="center"/>
        <w:ind w:right="-79"/>
        <w:spacing w:after="0"/>
        <w:rPr>
          <w:sz w:val="20"/>
          <w:szCs w:val="20"/>
          <w:color w:val="auto"/>
        </w:rPr>
      </w:pPr>
      <w:r>
        <w:rPr>
          <w:rFonts w:ascii="Arial" w:cs="Arial" w:eastAsia="Arial" w:hAnsi="Arial"/>
          <w:sz w:val="18"/>
          <w:szCs w:val="18"/>
          <w:color w:val="auto"/>
        </w:rPr>
        <w:t>S-1</w:t>
      </w:r>
    </w:p>
    <w:p>
      <w:pPr>
        <w:spacing w:after="0" w:line="20" w:lineRule="exact"/>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3220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6092825" cy="3220085"/>
                    </a:xfrm>
                    <a:prstGeom prst="rect">
                      <a:avLst/>
                    </a:prstGeom>
                    <a:noFill/>
                  </pic:spPr>
                </pic:pic>
              </a:graphicData>
            </a:graphic>
          </wp:anchor>
        </w:drawing>
      </w:r>
    </w:p>
    <w:p>
      <w:pPr>
        <w:spacing w:after="0" w:line="246" w:lineRule="exact"/>
        <w:rPr>
          <w:sz w:val="20"/>
          <w:szCs w:val="20"/>
          <w:color w:val="auto"/>
        </w:rPr>
      </w:pPr>
    </w:p>
    <w:p>
      <w:pPr>
        <w:ind w:left="100" w:right="60" w:firstLine="360"/>
        <w:spacing w:after="0" w:line="302" w:lineRule="auto"/>
        <w:rPr>
          <w:sz w:val="20"/>
          <w:szCs w:val="20"/>
          <w:color w:val="auto"/>
        </w:rPr>
      </w:pPr>
      <w:r>
        <w:rPr>
          <w:rFonts w:ascii="Arial" w:cs="Arial" w:eastAsia="Arial" w:hAnsi="Arial"/>
          <w:sz w:val="16"/>
          <w:szCs w:val="16"/>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information contained on, or that can be accessed through, our corporate website or other company websites referenced elsewhere in this prospectus supplement neither constitutes part of this prospectus supplement nor is incorporated by reference herein.</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Concurrent Share Repurchase</w:t>
      </w:r>
    </w:p>
    <w:p>
      <w:pPr>
        <w:spacing w:after="0" w:line="121" w:lineRule="exact"/>
        <w:rPr>
          <w:sz w:val="20"/>
          <w:szCs w:val="20"/>
          <w:color w:val="auto"/>
        </w:rPr>
      </w:pPr>
    </w:p>
    <w:p>
      <w:pPr>
        <w:ind w:left="100" w:firstLine="360"/>
        <w:spacing w:after="0" w:line="272" w:lineRule="auto"/>
        <w:rPr>
          <w:sz w:val="20"/>
          <w:szCs w:val="20"/>
          <w:color w:val="auto"/>
        </w:rPr>
      </w:pPr>
      <w:r>
        <w:rPr>
          <w:rFonts w:ascii="Arial" w:cs="Arial" w:eastAsia="Arial" w:hAnsi="Arial"/>
          <w:sz w:val="17"/>
          <w:szCs w:val="17"/>
          <w:color w:val="auto"/>
        </w:rPr>
        <w:t>Subject to the completion of the offering, we intend to concurrently repurchase from the underwriter, out of the aggregate 9,149,908 shares of our common stock that are the subject of the offering, a number of shares (rounded down to the nearest whole share) having an aggregate purchase price of $25.0 million. The price per share to be paid by us will equal the price at which the underwriter will purchase the shares from the selling stockholder in the offering. We refer to this transaction as the “concurrent share repurchase.” The closing of the concurrent share repurchase is conditioned on the closing of the offering and therefore there can be no assurance that the concurrent share repurchase will be completed. The offering is not conditioned upon the completion of the concurrent share repurchase.</w:t>
      </w:r>
    </w:p>
    <w:p>
      <w:pPr>
        <w:spacing w:after="0" w:line="70" w:lineRule="exact"/>
        <w:rPr>
          <w:sz w:val="20"/>
          <w:szCs w:val="20"/>
          <w:color w:val="auto"/>
        </w:rPr>
      </w:pPr>
    </w:p>
    <w:p>
      <w:pPr>
        <w:ind w:left="100" w:right="240" w:firstLine="360"/>
        <w:spacing w:after="0" w:line="264" w:lineRule="auto"/>
        <w:rPr>
          <w:sz w:val="20"/>
          <w:szCs w:val="20"/>
          <w:color w:val="auto"/>
        </w:rPr>
      </w:pPr>
      <w:r>
        <w:rPr>
          <w:rFonts w:ascii="Arial" w:cs="Arial" w:eastAsia="Arial" w:hAnsi="Arial"/>
          <w:sz w:val="18"/>
          <w:szCs w:val="18"/>
          <w:color w:val="auto"/>
        </w:rPr>
        <w:t>The concurrent share repurchase were approved by the Audit Committee of our Board of Directors. We intend to fund the concurrent share repurchase with cash on hand. Any shares of our common stock that we repurchase in the concurrent share repurchase will be retired.</w:t>
      </w:r>
    </w:p>
    <w:p>
      <w:pPr>
        <w:spacing w:after="0" w:line="73" w:lineRule="exact"/>
        <w:rPr>
          <w:sz w:val="20"/>
          <w:szCs w:val="20"/>
          <w:color w:val="auto"/>
        </w:rPr>
      </w:pPr>
    </w:p>
    <w:p>
      <w:pPr>
        <w:ind w:left="100" w:right="200" w:firstLine="360"/>
        <w:spacing w:after="0" w:line="259" w:lineRule="auto"/>
        <w:rPr>
          <w:sz w:val="20"/>
          <w:szCs w:val="20"/>
          <w:color w:val="auto"/>
        </w:rPr>
      </w:pPr>
      <w:r>
        <w:rPr>
          <w:rFonts w:ascii="Arial" w:cs="Arial" w:eastAsia="Arial" w:hAnsi="Arial"/>
          <w:sz w:val="18"/>
          <w:szCs w:val="18"/>
          <w:color w:val="auto"/>
        </w:rPr>
        <w:t>The description of, and the other information in this prospectus supplement regarding, the concurrent share repurchase are included in this prospectus supplement for informational purposes only. Nothing in this prospectus supplement should be construed as an offer to sell, or the solicitation of an offer to buy, any of our common stock subject to the concurrent share repurchase.</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61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6092825" cy="706183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460"/>
          </w:cols>
          <w:pgMar w:left="1180" w:top="279" w:right="1259" w:bottom="1440" w:gutter="0" w:footer="0" w:header="0"/>
        </w:sectPr>
      </w:pPr>
    </w:p>
    <w:p>
      <w:pPr>
        <w:spacing w:after="0" w:line="1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Common stock offered by the selling stockholder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9,149,908 shares.</w:t>
      </w:r>
    </w:p>
    <w:p>
      <w:pPr>
        <w:spacing w:after="0" w:line="151"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Common stock outstanding</w:t>
      </w:r>
    </w:p>
    <w:p>
      <w:pPr>
        <w:spacing w:after="0" w:line="20" w:lineRule="exact"/>
        <w:rPr>
          <w:sz w:val="20"/>
          <w:szCs w:val="20"/>
          <w:color w:val="auto"/>
        </w:rPr>
      </w:pPr>
      <w:r>
        <w:rPr>
          <w:sz w:val="20"/>
          <w:szCs w:val="20"/>
          <w:color w:val="auto"/>
        </w:rPr>
        <w:br w:type="column"/>
      </w:r>
    </w:p>
    <w:p>
      <w:pPr>
        <w:jc w:val="center"/>
        <w:ind w:right="2160"/>
        <w:spacing w:after="0"/>
        <w:rPr>
          <w:sz w:val="20"/>
          <w:szCs w:val="20"/>
          <w:color w:val="auto"/>
        </w:rPr>
      </w:pPr>
      <w:r>
        <w:rPr>
          <w:rFonts w:ascii="Arial" w:cs="Arial" w:eastAsia="Arial" w:hAnsi="Arial"/>
          <w:sz w:val="16"/>
          <w:szCs w:val="16"/>
          <w:color w:val="auto"/>
        </w:rPr>
        <w:t>78,524,731 shares (as of July 31, 2019).</w:t>
      </w:r>
    </w:p>
    <w:p>
      <w:pPr>
        <w:spacing w:after="0" w:line="140"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280" w:right="200" w:hanging="179"/>
        <w:spacing w:after="0" w:line="277" w:lineRule="auto"/>
        <w:rPr>
          <w:sz w:val="20"/>
          <w:szCs w:val="20"/>
          <w:color w:val="auto"/>
        </w:rPr>
      </w:pPr>
      <w:r>
        <w:rPr>
          <w:rFonts w:ascii="Arial" w:cs="Arial" w:eastAsia="Arial" w:hAnsi="Arial"/>
          <w:sz w:val="18"/>
          <w:szCs w:val="18"/>
          <w:color w:val="auto"/>
        </w:rPr>
        <w:t>Common stock outstanding after the concurrent share repurchase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w:t>
      </w:r>
    </w:p>
    <w:p>
      <w:pPr>
        <w:spacing w:after="0" w:line="367" w:lineRule="exact"/>
        <w:rPr>
          <w:sz w:val="20"/>
          <w:szCs w:val="20"/>
          <w:color w:val="auto"/>
        </w:rPr>
      </w:pPr>
    </w:p>
    <w:p>
      <w:pPr>
        <w:sectPr>
          <w:pgSz w:w="11900" w:h="16838" w:orient="portrait"/>
          <w:cols w:equalWidth="0" w:num="2">
            <w:col w:w="4160" w:space="720"/>
            <w:col w:w="458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We will not receive any proceeds from the sale of shares being sold in this offering. The selling stockholder will receive all of the net proceeds and bear all commissions and discounts, if any, from the sale of our common stock pursuant to this prospectus supplement. See “Use of Proceeds” and “Selling Stockholder.”</w:t>
      </w:r>
    </w:p>
    <w:p>
      <w:pPr>
        <w:spacing w:after="0" w:line="64"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Concurrent share repurchase</w:t>
      </w:r>
    </w:p>
    <w:p>
      <w:pPr>
        <w:spacing w:after="0" w:line="20" w:lineRule="exact"/>
        <w:rPr>
          <w:sz w:val="20"/>
          <w:szCs w:val="20"/>
          <w:color w:val="auto"/>
        </w:rPr>
      </w:pPr>
      <w:r>
        <w:rPr>
          <w:sz w:val="20"/>
          <w:szCs w:val="20"/>
          <w:color w:val="auto"/>
        </w:rPr>
        <w:br w:type="column"/>
      </w:r>
    </w:p>
    <w:p>
      <w:pPr>
        <w:ind w:right="120"/>
        <w:spacing w:after="0" w:line="289"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 out of the aggregate 9,149,908 shares of our common stock that are the subject of the offering, a number of shares (rounded down to the nearest whole share) having an aggregate purchase price of $25.0 million. The price per share to be paid by us will equal the price at which the underwriter will purchase the shares from the selling stockholder in the offering. The offering is not conditioned upon the completion of the share repurchase. See “―Concurrent Share Repurchase.”</w:t>
      </w:r>
    </w:p>
    <w:p>
      <w:pPr>
        <w:spacing w:after="0" w:line="59"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20"/>
        <w:spacing w:after="0" w:line="302" w:lineRule="auto"/>
        <w:rPr>
          <w:sz w:val="20"/>
          <w:szCs w:val="20"/>
          <w:color w:val="auto"/>
        </w:rPr>
      </w:pPr>
      <w:r>
        <w:rPr>
          <w:rFonts w:ascii="Arial" w:cs="Arial" w:eastAsia="Arial" w:hAnsi="Arial"/>
          <w:sz w:val="16"/>
          <w:szCs w:val="16"/>
          <w:color w:val="auto"/>
        </w:rPr>
        <w:t>You should carefully read and consider the information set forth under “Risk Factors” herein, in the accompanying prospectus and in the documents incorporated by reference herein, including our Annual Report, before deciding to invest in our common stock.</w:t>
      </w:r>
    </w:p>
    <w:p>
      <w:pPr>
        <w:spacing w:after="0" w:line="46"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Any decision to declare and pay dividends in the future will be made at the sole discretion of our board of directors, or Board of Directors, and will depend on various factors. See “Dividend Policy.”</w:t>
      </w:r>
    </w:p>
    <w:p>
      <w:pPr>
        <w:spacing w:after="0" w:line="70"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NASDAQ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“EYE”</w:t>
      </w:r>
    </w:p>
    <w:p>
      <w:pPr>
        <w:spacing w:after="0" w:line="117"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firstLine="360"/>
        <w:spacing w:after="0" w:line="291" w:lineRule="auto"/>
        <w:rPr>
          <w:sz w:val="20"/>
          <w:szCs w:val="20"/>
          <w:color w:val="auto"/>
        </w:rPr>
      </w:pPr>
      <w:r>
        <w:rPr>
          <w:rFonts w:ascii="Arial" w:cs="Arial" w:eastAsia="Arial" w:hAnsi="Arial"/>
          <w:sz w:val="16"/>
          <w:szCs w:val="16"/>
          <w:color w:val="auto"/>
        </w:rPr>
        <w:t>The number of shares of our common stock to be outstanding after this offering and the concurrent share repurchase is based on 78,524,731 shares of our common stock outstanding as of July 31, 2019, including 21,360 shares of restricted stock</w:t>
      </w:r>
    </w:p>
    <w:p>
      <w:pPr>
        <w:ind w:left="100" w:right="140"/>
        <w:spacing w:after="0" w:line="261" w:lineRule="auto"/>
        <w:rPr>
          <w:sz w:val="20"/>
          <w:szCs w:val="20"/>
          <w:color w:val="auto"/>
        </w:rPr>
      </w:pPr>
      <w:r>
        <w:rPr>
          <w:rFonts w:ascii="Arial" w:cs="Arial" w:eastAsia="Arial" w:hAnsi="Arial"/>
          <w:sz w:val="18"/>
          <w:szCs w:val="18"/>
          <w:color w:val="auto"/>
        </w:rPr>
        <w:t>outstanding, and (i) reflects the retirement of shares of our common stock in the concurrent share repurchase and (ii) does not reflect:</w:t>
      </w:r>
    </w:p>
    <w:p>
      <w:pPr>
        <w:spacing w:after="0" w:line="76" w:lineRule="exact"/>
        <w:rPr>
          <w:sz w:val="20"/>
          <w:szCs w:val="20"/>
          <w:color w:val="auto"/>
        </w:rPr>
      </w:pPr>
    </w:p>
    <w:p>
      <w:pPr>
        <w:ind w:left="800" w:right="40" w:hanging="342"/>
        <w:spacing w:after="0" w:line="288" w:lineRule="auto"/>
        <w:tabs>
          <w:tab w:leader="none" w:pos="800" w:val="left"/>
        </w:tabs>
        <w:numPr>
          <w:ilvl w:val="0"/>
          <w:numId w:val="2"/>
        </w:numPr>
        <w:rPr>
          <w:rFonts w:ascii="Arial" w:cs="Arial" w:eastAsia="Arial" w:hAnsi="Arial"/>
          <w:sz w:val="16"/>
          <w:szCs w:val="16"/>
          <w:color w:val="0000EE"/>
        </w:rPr>
      </w:pPr>
      <w:r>
        <w:rPr>
          <w:rFonts w:ascii="Arial" w:cs="Arial" w:eastAsia="Arial" w:hAnsi="Arial"/>
          <w:sz w:val="16"/>
          <w:szCs w:val="16"/>
          <w:color w:val="auto"/>
        </w:rPr>
        <w:t xml:space="preserve">6,577,599 shares of common stock issuable upon the exercise of options outstanding as of July 31, 2019, (1) of which 3,379,550 were then vested and exercisable and (2) of which 2,836,753 were time-based options and 3,740,846 were performance-based options. The performance-based options (other than 157,316 performance-based options held by Jeff McAllister, which have different vesting terms and 26,882 of which have vested) are eligible to vest only upon affiliates of KKR achieving certain internal rate of return threshold and multiples of invested capital. 3,745,507 performance-based options previously became vested and exercisable in connection with the secondary offerings of our common stock in July 2018 and November 2018 and we expect that certain performance-based options will vest upon </w:t>
      </w:r>
      <w:hyperlink r:id="rId24">
        <w:r>
          <w:rPr>
            <w:rFonts w:ascii="Arial" w:cs="Arial" w:eastAsia="Arial" w:hAnsi="Arial"/>
            <w:sz w:val="16"/>
            <w:szCs w:val="16"/>
            <w:color w:val="auto"/>
          </w:rPr>
          <w:t xml:space="preserve">the consummation of this offering. See </w:t>
        </w:r>
        <w:r>
          <w:rPr>
            <w:rFonts w:ascii="Arial" w:cs="Arial" w:eastAsia="Arial" w:hAnsi="Arial"/>
            <w:sz w:val="16"/>
            <w:szCs w:val="16"/>
            <w:u w:val="single" w:color="auto"/>
            <w:color w:val="0000EE"/>
          </w:rPr>
          <w:t>“Executive Compensation―Narrative to Summary Compensation Table and</w:t>
        </w:r>
      </w:hyperlink>
      <w:r>
        <w:rPr>
          <w:rFonts w:ascii="Arial" w:cs="Arial" w:eastAsia="Arial" w:hAnsi="Arial"/>
          <w:sz w:val="16"/>
          <w:szCs w:val="16"/>
          <w:color w:val="auto"/>
        </w:rPr>
        <w:t xml:space="preserve"> </w:t>
      </w:r>
      <w:hyperlink r:id="rId24">
        <w:r>
          <w:rPr>
            <w:rFonts w:ascii="Arial" w:cs="Arial" w:eastAsia="Arial" w:hAnsi="Arial"/>
            <w:sz w:val="16"/>
            <w:szCs w:val="16"/>
            <w:u w:val="single" w:color="auto"/>
            <w:color w:val="0000EE"/>
          </w:rPr>
          <w:t>2018 Grants of Plan-Based Awards”</w:t>
        </w:r>
        <w:r>
          <w:rPr>
            <w:rFonts w:ascii="Arial" w:cs="Arial" w:eastAsia="Arial" w:hAnsi="Arial"/>
            <w:sz w:val="16"/>
            <w:szCs w:val="16"/>
            <w:color w:val="0000EE"/>
          </w:rPr>
          <w:t xml:space="preserve"> </w:t>
        </w:r>
        <w:r>
          <w:rPr>
            <w:rFonts w:ascii="Arial" w:cs="Arial" w:eastAsia="Arial" w:hAnsi="Arial"/>
            <w:sz w:val="16"/>
            <w:szCs w:val="16"/>
            <w:color w:val="000000"/>
          </w:rPr>
          <w:t xml:space="preserve">incorporated by reference in our Annual Report, which is incorporated herein </w:t>
        </w:r>
      </w:hyperlink>
      <w:r>
        <w:rPr>
          <w:rFonts w:ascii="Arial" w:cs="Arial" w:eastAsia="Arial" w:hAnsi="Arial"/>
          <w:sz w:val="16"/>
          <w:szCs w:val="16"/>
          <w:color w:val="0000EE"/>
        </w:rPr>
        <w:t xml:space="preserve">by </w:t>
      </w:r>
      <w:r>
        <w:rPr>
          <w:rFonts w:ascii="Arial" w:cs="Arial" w:eastAsia="Arial" w:hAnsi="Arial"/>
          <w:sz w:val="16"/>
          <w:szCs w:val="16"/>
          <w:color w:val="000000"/>
        </w:rPr>
        <w:t>reference, for additional details around vesting terms;</w:t>
      </w:r>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S-3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1573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092825" cy="1573530"/>
                    </a:xfrm>
                    <a:prstGeom prst="rect">
                      <a:avLst/>
                    </a:prstGeom>
                    <a:noFill/>
                  </pic:spPr>
                </pic:pic>
              </a:graphicData>
            </a:graphic>
          </wp:anchor>
        </w:drawing>
      </w:r>
    </w:p>
    <w:p>
      <w:pPr>
        <w:spacing w:after="0" w:line="246" w:lineRule="exact"/>
        <w:rPr>
          <w:sz w:val="20"/>
          <w:szCs w:val="20"/>
          <w:color w:val="auto"/>
        </w:rPr>
      </w:pPr>
    </w:p>
    <w:p>
      <w:pPr>
        <w:ind w:left="800" w:hanging="34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314,166 restricted stock units outstanding as of July 31, 2019;</w:t>
      </w:r>
    </w:p>
    <w:p>
      <w:pPr>
        <w:spacing w:after="0" w:line="117" w:lineRule="exact"/>
        <w:rPr>
          <w:rFonts w:ascii="Arial" w:cs="Arial" w:eastAsia="Arial" w:hAnsi="Arial"/>
          <w:sz w:val="18"/>
          <w:szCs w:val="18"/>
          <w:color w:val="auto"/>
        </w:rPr>
      </w:pPr>
    </w:p>
    <w:p>
      <w:pPr>
        <w:ind w:left="800" w:right="160" w:hanging="342"/>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3,793,920 shares of common stock available for issuance under our 2014 Stock Incentive Plan and our 2017 Omnibus Incentive Plan; and</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818,973 shares of common stock available for issuance under our 2018 Associate Stock Purchase Plan.</w:t>
      </w:r>
    </w:p>
    <w:p>
      <w:pPr>
        <w:spacing w:after="0" w:line="117" w:lineRule="exact"/>
        <w:rPr>
          <w:sz w:val="20"/>
          <w:szCs w:val="20"/>
          <w:color w:val="auto"/>
        </w:rPr>
      </w:pPr>
    </w:p>
    <w:p>
      <w:pPr>
        <w:ind w:left="100" w:firstLine="360"/>
        <w:spacing w:after="0" w:line="259" w:lineRule="auto"/>
        <w:rPr>
          <w:sz w:val="20"/>
          <w:szCs w:val="20"/>
          <w:color w:val="auto"/>
        </w:rPr>
      </w:pPr>
      <w:r>
        <w:rPr>
          <w:rFonts w:ascii="Arial" w:cs="Arial" w:eastAsia="Arial" w:hAnsi="Arial"/>
          <w:sz w:val="18"/>
          <w:szCs w:val="18"/>
          <w:color w:val="auto"/>
        </w:rPr>
        <w:t>As noted above, we expect that certain performance-based options will vest upon the consummation of this offering. In connection with this vesting event, we expect to incur between $5.5 million to $7.0 million of stock-based compensation expense. In connection with this offering, we also expect an accrual of between $0.7 million to $1.0 million during the third quarter of 2019, relating to an incentive plan for non-executive employees.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66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092825" cy="766254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00" w:right="120" w:firstLine="360"/>
        <w:spacing w:after="0" w:line="285" w:lineRule="auto"/>
        <w:rPr>
          <w:rFonts w:ascii="Arial" w:cs="Arial" w:eastAsia="Arial" w:hAnsi="Arial"/>
          <w:sz w:val="16"/>
          <w:szCs w:val="16"/>
          <w:color w:val="000000"/>
        </w:rPr>
      </w:pPr>
      <w:r>
        <w:rPr>
          <w:rFonts w:ascii="Arial" w:cs="Arial" w:eastAsia="Arial" w:hAnsi="Arial"/>
          <w:sz w:val="16"/>
          <w:szCs w:val="16"/>
          <w:color w:val="auto"/>
        </w:rPr>
        <w:t xml:space="preserve">Set forth below is our summary historical consolidated financial and other data as of the dates and for the periods indicated. The summary historical financial data as of December 30, 2017 and December 29, 2018 and for the years ended December 31, </w:t>
      </w:r>
      <w:hyperlink r:id="rId17">
        <w:r>
          <w:rPr>
            <w:rFonts w:ascii="Arial" w:cs="Arial" w:eastAsia="Arial" w:hAnsi="Arial"/>
            <w:sz w:val="16"/>
            <w:szCs w:val="16"/>
            <w:color w:val="auto"/>
          </w:rPr>
          <w:t xml:space="preserve">2016, December 30, 2017 and December 29, 2018 has been derived from our </w:t>
        </w:r>
        <w:r>
          <w:rPr>
            <w:rFonts w:ascii="Arial" w:cs="Arial" w:eastAsia="Arial" w:hAnsi="Arial"/>
            <w:sz w:val="16"/>
            <w:szCs w:val="16"/>
            <w:u w:val="single" w:color="auto"/>
            <w:color w:val="0000EE"/>
          </w:rPr>
          <w:t>audited consolidated financial statements and</w:t>
        </w:r>
      </w:hyperlink>
      <w:r>
        <w:rPr>
          <w:rFonts w:ascii="Arial" w:cs="Arial" w:eastAsia="Arial" w:hAnsi="Arial"/>
          <w:sz w:val="16"/>
          <w:szCs w:val="16"/>
          <w:color w:val="auto"/>
        </w:rPr>
        <w:t xml:space="preserve"> </w:t>
      </w:r>
      <w:hyperlink r:id="rId17">
        <w:r>
          <w:rPr>
            <w:rFonts w:ascii="Arial" w:cs="Arial" w:eastAsia="Arial" w:hAnsi="Arial"/>
            <w:sz w:val="16"/>
            <w:szCs w:val="16"/>
            <w:u w:val="single" w:color="auto"/>
            <w:color w:val="0000EE"/>
          </w:rPr>
          <w:t>related notes</w:t>
        </w:r>
        <w:r>
          <w:rPr>
            <w:rFonts w:ascii="Arial" w:cs="Arial" w:eastAsia="Arial" w:hAnsi="Arial"/>
            <w:sz w:val="16"/>
            <w:szCs w:val="16"/>
            <w:color w:val="0000EE"/>
          </w:rPr>
          <w:t xml:space="preserve"> </w:t>
        </w:r>
        <w:r>
          <w:rPr>
            <w:rFonts w:ascii="Arial" w:cs="Arial" w:eastAsia="Arial" w:hAnsi="Arial"/>
            <w:sz w:val="16"/>
            <w:szCs w:val="16"/>
            <w:color w:val="000000"/>
          </w:rPr>
          <w:t xml:space="preserve">thereto incorporated by reference in this prospectus supplement, and the summary historical financial data as </w:t>
        </w:r>
      </w:hyperlink>
      <w:r>
        <w:rPr>
          <w:rFonts w:ascii="Arial" w:cs="Arial" w:eastAsia="Arial" w:hAnsi="Arial"/>
          <w:sz w:val="16"/>
          <w:szCs w:val="16"/>
          <w:color w:val="0000EE"/>
        </w:rPr>
        <w:t xml:space="preserve">of </w:t>
      </w:r>
      <w:r>
        <w:rPr>
          <w:rFonts w:ascii="Arial" w:cs="Arial" w:eastAsia="Arial" w:hAnsi="Arial"/>
          <w:sz w:val="16"/>
          <w:szCs w:val="16"/>
          <w:color w:val="000000"/>
        </w:rPr>
        <w:t xml:space="preserve">December 31, 2016 has been derived from our audited consolidated financial statements and related notes thereto not included or incorporated by reference in this prospectus supplement. The summary historical financial data as of June 29, 2019 and for the six </w:t>
      </w:r>
      <w:hyperlink r:id="rId19">
        <w:r>
          <w:rPr>
            <w:rFonts w:ascii="Arial" w:cs="Arial" w:eastAsia="Arial" w:hAnsi="Arial"/>
            <w:sz w:val="16"/>
            <w:szCs w:val="16"/>
            <w:color w:val="000000"/>
          </w:rPr>
          <w:t xml:space="preserve">months ended June 30, 2018 and June 29, 2019 has been derived from our </w:t>
        </w:r>
        <w:r>
          <w:rPr>
            <w:rFonts w:ascii="Arial" w:cs="Arial" w:eastAsia="Arial" w:hAnsi="Arial"/>
            <w:sz w:val="16"/>
            <w:szCs w:val="16"/>
            <w:u w:val="single" w:color="auto"/>
            <w:color w:val="0000EE"/>
          </w:rPr>
          <w:t>unaudited condensed consolidated financial statements</w:t>
        </w:r>
      </w:hyperlink>
      <w:r>
        <w:rPr>
          <w:rFonts w:ascii="Arial" w:cs="Arial" w:eastAsia="Arial" w:hAnsi="Arial"/>
          <w:sz w:val="16"/>
          <w:szCs w:val="16"/>
          <w:color w:val="000000"/>
        </w:rPr>
        <w:t xml:space="preserve"> </w:t>
      </w:r>
      <w:hyperlink r:id="rId19">
        <w:r>
          <w:rPr>
            <w:rFonts w:ascii="Arial" w:cs="Arial" w:eastAsia="Arial" w:hAnsi="Arial"/>
            <w:sz w:val="16"/>
            <w:szCs w:val="16"/>
            <w:u w:val="single" w:color="auto"/>
            <w:color w:val="0000EE"/>
          </w:rPr>
          <w:t>and related notes</w:t>
        </w:r>
        <w:r>
          <w:rPr>
            <w:rFonts w:ascii="Arial" w:cs="Arial" w:eastAsia="Arial" w:hAnsi="Arial"/>
            <w:sz w:val="16"/>
            <w:szCs w:val="16"/>
            <w:color w:val="0000EE"/>
          </w:rPr>
          <w:t xml:space="preserve"> </w:t>
        </w:r>
        <w:r>
          <w:rPr>
            <w:rFonts w:ascii="Arial" w:cs="Arial" w:eastAsia="Arial" w:hAnsi="Arial"/>
            <w:sz w:val="16"/>
            <w:szCs w:val="16"/>
            <w:color w:val="000000"/>
          </w:rPr>
          <w:t>thereto incorporated by reference in this prospectus supplement, and the summary historical financial data as of</w:t>
        </w:r>
      </w:hyperlink>
      <w:r>
        <w:rPr>
          <w:rFonts w:ascii="Arial" w:cs="Arial" w:eastAsia="Arial" w:hAnsi="Arial"/>
          <w:sz w:val="16"/>
          <w:szCs w:val="16"/>
          <w:color w:val="0000EE"/>
        </w:rPr>
        <w:t xml:space="preserve"> </w:t>
      </w:r>
      <w:r>
        <w:rPr>
          <w:rFonts w:ascii="Arial" w:cs="Arial" w:eastAsia="Arial" w:hAnsi="Arial"/>
          <w:sz w:val="16"/>
          <w:szCs w:val="16"/>
          <w:color w:val="000000"/>
        </w:rPr>
        <w:t xml:space="preserve">June 30, 2018 has been derived from our unaudited condensed consolidated financial statements and related notes thereto not included or incorporated by reference in this prospectus supplement. The summary historical balance sheet data as of December 31, 2016 and June 30, 2018 has not been revised to reflect corrections from errors related to lease accounting as described in Note 1 to the </w:t>
      </w:r>
      <w:hyperlink r:id="rId17">
        <w:r>
          <w:rPr>
            <w:rFonts w:ascii="Arial" w:cs="Arial" w:eastAsia="Arial" w:hAnsi="Arial"/>
            <w:sz w:val="16"/>
            <w:szCs w:val="16"/>
            <w:u w:val="single" w:color="auto"/>
            <w:color w:val="0000EE"/>
          </w:rPr>
          <w:t>audited consolidated financial statements</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incorporated by reference in this prospectus supplement.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65" w:lineRule="exact"/>
        <w:rPr>
          <w:rFonts w:ascii="Arial" w:cs="Arial" w:eastAsia="Arial" w:hAnsi="Arial"/>
          <w:sz w:val="16"/>
          <w:szCs w:val="16"/>
          <w:color w:val="000000"/>
        </w:rPr>
      </w:pPr>
    </w:p>
    <w:p>
      <w:pPr>
        <w:ind w:left="100" w:right="140"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summary historical consolidated financial and other data should be read in conjunction with, and are qualified by </w:t>
      </w:r>
      <w:hyperlink r:id="rId16">
        <w:r>
          <w:rPr>
            <w:rFonts w:ascii="Arial" w:cs="Arial" w:eastAsia="Arial" w:hAnsi="Arial"/>
            <w:sz w:val="18"/>
            <w:szCs w:val="18"/>
            <w:color w:val="auto"/>
          </w:rPr>
          <w:t xml:space="preserve">reference to, the section entitled </w:t>
        </w:r>
        <w:r>
          <w:rPr>
            <w:rFonts w:ascii="Arial" w:cs="Arial" w:eastAsia="Arial" w:hAnsi="Arial"/>
            <w:sz w:val="18"/>
            <w:szCs w:val="18"/>
            <w:u w:val="single" w:color="auto"/>
            <w:color w:val="0000EE"/>
          </w:rPr>
          <w:t>“Selected Financial Data”</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“Management’s Discussion and Analysis of Financial Condition</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and Results of Operations”</w:t>
        </w:r>
        <w:r>
          <w:rPr>
            <w:rFonts w:ascii="Arial" w:cs="Arial" w:eastAsia="Arial" w:hAnsi="Arial"/>
            <w:sz w:val="18"/>
            <w:szCs w:val="18"/>
            <w:color w:val="0000EE"/>
          </w:rPr>
          <w:t xml:space="preserve"> </w:t>
        </w:r>
        <w:r>
          <w:rPr>
            <w:rFonts w:ascii="Arial" w:cs="Arial" w:eastAsia="Arial" w:hAnsi="Arial"/>
            <w:sz w:val="18"/>
            <w:szCs w:val="18"/>
            <w:color w:val="000000"/>
          </w:rPr>
          <w:t>and our</w:t>
        </w:r>
        <w:r>
          <w:rPr>
            <w:rFonts w:ascii="Arial" w:cs="Arial" w:eastAsia="Arial" w:hAnsi="Arial"/>
            <w:sz w:val="18"/>
            <w:szCs w:val="18"/>
            <w:color w:val="0000EE"/>
          </w:rPr>
          <w:t xml:space="preserve"> </w:t>
        </w:r>
      </w:hyperlink>
      <w:hyperlink r:id="rId17">
        <w:r>
          <w:rPr>
            <w:rFonts w:ascii="Arial" w:cs="Arial" w:eastAsia="Arial" w:hAnsi="Arial"/>
            <w:sz w:val="18"/>
            <w:szCs w:val="18"/>
            <w:u w:val="single" w:color="auto"/>
            <w:color w:val="0000EE"/>
          </w:rPr>
          <w:t xml:space="preserve">audited consolidated financial statements and related notes </w:t>
        </w:r>
      </w:hyperlink>
      <w:hyperlink r:id="rId16">
        <w:r>
          <w:rPr>
            <w:rFonts w:ascii="Arial" w:cs="Arial" w:eastAsia="Arial" w:hAnsi="Arial"/>
            <w:sz w:val="18"/>
            <w:szCs w:val="18"/>
            <w:color w:val="000000"/>
          </w:rPr>
          <w:t>thereto in our Annual Report and</w:t>
        </w:r>
      </w:hyperlink>
      <w:r>
        <w:rPr>
          <w:rFonts w:ascii="Arial" w:cs="Arial" w:eastAsia="Arial" w:hAnsi="Arial"/>
          <w:sz w:val="18"/>
          <w:szCs w:val="18"/>
          <w:color w:val="0000EE"/>
        </w:rPr>
        <w:t xml:space="preserve"> </w:t>
      </w:r>
      <w:hyperlink r:id="rId19">
        <w:r>
          <w:rPr>
            <w:rFonts w:ascii="Arial" w:cs="Arial" w:eastAsia="Arial" w:hAnsi="Arial"/>
            <w:sz w:val="18"/>
            <w:szCs w:val="18"/>
            <w:u w:val="single" w:color="auto"/>
            <w:color w:val="0000EE"/>
          </w:rPr>
          <w:t>“Management’s Discussion and Analysis of Financial Condition and Results of Operations”</w:t>
        </w:r>
        <w:r>
          <w:rPr>
            <w:rFonts w:ascii="Arial" w:cs="Arial" w:eastAsia="Arial" w:hAnsi="Arial"/>
            <w:sz w:val="18"/>
            <w:szCs w:val="18"/>
            <w:color w:val="0000EE"/>
          </w:rPr>
          <w:t xml:space="preserve"> </w:t>
        </w:r>
        <w:r>
          <w:rPr>
            <w:rFonts w:ascii="Arial" w:cs="Arial" w:eastAsia="Arial" w:hAnsi="Arial"/>
            <w:sz w:val="18"/>
            <w:szCs w:val="18"/>
            <w:color w:val="000000"/>
          </w:rPr>
          <w:t>and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unaudited condensed</w:t>
        </w:r>
      </w:hyperlink>
      <w:r>
        <w:rPr>
          <w:rFonts w:ascii="Arial" w:cs="Arial" w:eastAsia="Arial" w:hAnsi="Arial"/>
          <w:sz w:val="18"/>
          <w:szCs w:val="18"/>
          <w:color w:val="0000EE"/>
        </w:rPr>
        <w:t xml:space="preserve"> </w:t>
      </w:r>
      <w:hyperlink r:id="rId19">
        <w:r>
          <w:rPr>
            <w:rFonts w:ascii="Arial" w:cs="Arial" w:eastAsia="Arial" w:hAnsi="Arial"/>
            <w:sz w:val="18"/>
            <w:szCs w:val="18"/>
            <w:u w:val="single" w:color="auto"/>
            <w:color w:val="0000EE"/>
          </w:rPr>
          <w:t>consolidated financial statements and related notes</w:t>
        </w:r>
        <w:r>
          <w:rPr>
            <w:rFonts w:ascii="Arial" w:cs="Arial" w:eastAsia="Arial" w:hAnsi="Arial"/>
            <w:sz w:val="18"/>
            <w:szCs w:val="18"/>
            <w:color w:val="0000EE"/>
          </w:rPr>
          <w:t xml:space="preserve"> </w:t>
        </w:r>
        <w:r>
          <w:rPr>
            <w:rFonts w:ascii="Arial" w:cs="Arial" w:eastAsia="Arial" w:hAnsi="Arial"/>
            <w:sz w:val="18"/>
            <w:szCs w:val="18"/>
            <w:color w:val="000000"/>
          </w:rPr>
          <w:t xml:space="preserve">thereto in our Quarterly Reports, each of which is incorporated by </w:t>
        </w:r>
      </w:hyperlink>
      <w:r>
        <w:rPr>
          <w:rFonts w:ascii="Arial" w:cs="Arial" w:eastAsia="Arial" w:hAnsi="Arial"/>
          <w:sz w:val="18"/>
          <w:szCs w:val="18"/>
          <w:color w:val="0000EE"/>
        </w:rPr>
        <w:t xml:space="preserve">reference </w:t>
      </w:r>
      <w:r>
        <w:rPr>
          <w:rFonts w:ascii="Arial" w:cs="Arial" w:eastAsia="Arial" w:hAnsi="Arial"/>
          <w:sz w:val="18"/>
          <w:szCs w:val="18"/>
          <w:color w:val="000000"/>
        </w:rPr>
        <w:t>in</w:t>
      </w:r>
      <w:r>
        <w:rPr>
          <w:rFonts w:ascii="Arial" w:cs="Arial" w:eastAsia="Arial" w:hAnsi="Arial"/>
          <w:sz w:val="18"/>
          <w:szCs w:val="18"/>
          <w:color w:val="0000EE"/>
        </w:rPr>
        <w:t xml:space="preserve"> </w:t>
      </w:r>
      <w:r>
        <w:rPr>
          <w:rFonts w:ascii="Arial" w:cs="Arial" w:eastAsia="Arial" w:hAnsi="Arial"/>
          <w:sz w:val="18"/>
          <w:szCs w:val="18"/>
          <w:color w:val="000000"/>
        </w:rPr>
        <w:t>this prospectus supplement.</w:t>
      </w:r>
    </w:p>
    <w:p>
      <w:pPr>
        <w:spacing w:after="0" w:line="50" w:lineRule="exact"/>
        <w:rPr>
          <w:rFonts w:ascii="Arial" w:cs="Arial" w:eastAsia="Arial" w:hAnsi="Arial"/>
          <w:sz w:val="18"/>
          <w:szCs w:val="18"/>
          <w:color w:val="0000EE"/>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c>
          <w:tcPr>
            <w:tcW w:w="160" w:type="dxa"/>
            <w:vAlign w:val="bottom"/>
          </w:tcPr>
          <w:p>
            <w:pPr>
              <w:spacing w:after="0"/>
              <w:rPr>
                <w:sz w:val="14"/>
                <w:szCs w:val="14"/>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r>
      <w:tr>
        <w:trPr>
          <w:trHeight w:val="162"/>
        </w:trPr>
        <w:tc>
          <w:tcPr>
            <w:tcW w:w="1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11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3440" w:type="dxa"/>
            <w:vAlign w:val="bottom"/>
            <w:gridSpan w:val="2"/>
          </w:tcPr>
          <w:p>
            <w:pPr>
              <w:ind w:left="100"/>
              <w:spacing w:after="0"/>
              <w:rPr>
                <w:sz w:val="20"/>
                <w:szCs w:val="20"/>
                <w:color w:val="auto"/>
              </w:rPr>
            </w:pPr>
            <w:r>
              <w:rPr>
                <w:rFonts w:ascii="Arial" w:cs="Arial" w:eastAsia="Arial" w:hAnsi="Arial"/>
                <w:sz w:val="14"/>
                <w:szCs w:val="14"/>
                <w:b w:val="1"/>
                <w:bCs w:val="1"/>
                <w:color w:val="auto"/>
                <w:w w:val="97"/>
              </w:rPr>
              <w:t>(In thousands, except per share amounts and store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30,</w:t>
            </w:r>
          </w:p>
        </w:tc>
        <w:tc>
          <w:tcPr>
            <w:tcW w:w="2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29,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June 29,</w:t>
            </w:r>
          </w:p>
        </w:tc>
      </w:tr>
      <w:tr>
        <w:trPr>
          <w:trHeight w:val="178"/>
        </w:trPr>
        <w:tc>
          <w:tcPr>
            <w:tcW w:w="100" w:type="dxa"/>
            <w:vAlign w:val="bottom"/>
          </w:tcPr>
          <w:p>
            <w:pPr>
              <w:spacing w:after="0"/>
              <w:rPr>
                <w:sz w:val="15"/>
                <w:szCs w:val="15"/>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data)</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3"/>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(Unaudited)</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340" w:type="dxa"/>
            <w:vAlign w:val="bottom"/>
          </w:tcPr>
          <w:p>
            <w:pPr>
              <w:spacing w:after="0" w:line="243" w:lineRule="exact"/>
              <w:rPr>
                <w:sz w:val="20"/>
                <w:szCs w:val="20"/>
                <w:color w:val="auto"/>
              </w:rPr>
            </w:pPr>
            <w:r>
              <w:rPr>
                <w:rFonts w:ascii="Arial" w:cs="Arial" w:eastAsia="Arial" w:hAnsi="Arial"/>
                <w:sz w:val="17"/>
                <w:szCs w:val="17"/>
                <w:color w:val="auto"/>
              </w:rPr>
              <w:t>Net revenue</w:t>
            </w:r>
            <w:r>
              <w:rPr>
                <w:rFonts w:ascii="Arial" w:cs="Arial" w:eastAsia="Arial" w:hAnsi="Arial"/>
                <w:sz w:val="28"/>
                <w:szCs w:val="28"/>
                <w:color w:val="auto"/>
                <w:vertAlign w:val="superscript"/>
              </w:rPr>
              <w:t>(1)</w:t>
            </w:r>
          </w:p>
        </w:tc>
        <w:tc>
          <w:tcPr>
            <w:tcW w:w="3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1,196,195</w:t>
            </w:r>
          </w:p>
        </w:tc>
        <w:tc>
          <w:tcPr>
            <w:tcW w:w="60" w:type="dxa"/>
            <w:vAlign w:val="bottom"/>
          </w:tcPr>
          <w:p>
            <w:pPr>
              <w:spacing w:after="0"/>
              <w:rPr>
                <w:sz w:val="21"/>
                <w:szCs w:val="21"/>
                <w:color w:val="auto"/>
              </w:rPr>
            </w:pP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1,375,308</w:t>
            </w:r>
          </w:p>
        </w:tc>
        <w:tc>
          <w:tcPr>
            <w:tcW w:w="140" w:type="dxa"/>
            <w:vAlign w:val="bottom"/>
          </w:tcPr>
          <w:p>
            <w:pPr>
              <w:spacing w:after="0"/>
              <w:rPr>
                <w:sz w:val="21"/>
                <w:szCs w:val="21"/>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1,536,854</w:t>
            </w:r>
          </w:p>
        </w:tc>
        <w:tc>
          <w:tcPr>
            <w:tcW w:w="16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793,507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890,666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Costs applicable to revenue</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544,781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636,966</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357,513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414,475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3440" w:type="dxa"/>
            <w:vAlign w:val="bottom"/>
            <w:gridSpan w:val="2"/>
          </w:tcPr>
          <w:p>
            <w:pPr>
              <w:ind w:left="10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587,345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674,051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780,932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372,173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64,069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64,291</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63,821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39,092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55,536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18,737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24,977</w:t>
            </w:r>
          </w:p>
        </w:tc>
        <w:tc>
          <w:tcPr>
            <w:tcW w:w="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4,228</w:t>
            </w:r>
          </w:p>
        </w:tc>
        <w:tc>
          <w:tcPr>
            <w:tcW w:w="1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45,084</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36,073</w:t>
            </w:r>
          </w:p>
        </w:tc>
        <w:tc>
          <w:tcPr>
            <w:tcW w:w="8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(38,910)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19"/>
                <w:szCs w:val="19"/>
                <w:color w:val="auto"/>
              </w:rPr>
            </w:pPr>
          </w:p>
        </w:tc>
        <w:tc>
          <w:tcPr>
            <w:tcW w:w="3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13,343</w:t>
            </w: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gridSpan w:val="2"/>
          </w:tcPr>
          <w:p>
            <w:pPr>
              <w:jc w:val="center"/>
              <w:ind w:right="8"/>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43,138</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23,653</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36,922</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27,686</w:t>
            </w:r>
          </w:p>
        </w:tc>
        <w:tc>
          <w:tcPr>
            <w:tcW w:w="80" w:type="dxa"/>
            <w:vAlign w:val="bottom"/>
            <w:tcBorders>
              <w:top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
        </w:trPr>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1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20"/>
                <w:szCs w:val="20"/>
                <w:color w:val="auto"/>
              </w:rPr>
            </w:pP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140" w:type="dxa"/>
            <w:vAlign w:val="bottom"/>
          </w:tcPr>
          <w:p>
            <w:pPr>
              <w:spacing w:after="0"/>
              <w:rPr>
                <w:sz w:val="20"/>
                <w:szCs w:val="20"/>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56,185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59,895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74,983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78,262</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57,001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62,035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79,041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77,879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81,437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 Data</w:t>
            </w: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97,588</w:t>
            </w:r>
          </w:p>
        </w:tc>
        <w:tc>
          <w:tcPr>
            <w:tcW w:w="60" w:type="dxa"/>
            <w:vAlign w:val="bottom"/>
          </w:tcPr>
          <w:p>
            <w:pPr>
              <w:spacing w:after="0"/>
              <w:rPr>
                <w:sz w:val="20"/>
                <w:szCs w:val="20"/>
                <w:color w:val="auto"/>
              </w:rPr>
            </w:pP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90,252</w:t>
            </w:r>
          </w:p>
        </w:tc>
        <w:tc>
          <w:tcPr>
            <w:tcW w:w="140" w:type="dxa"/>
            <w:vAlign w:val="bottom"/>
          </w:tcPr>
          <w:p>
            <w:pPr>
              <w:spacing w:after="0"/>
              <w:rPr>
                <w:sz w:val="20"/>
                <w:szCs w:val="20"/>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106,628</w:t>
            </w:r>
          </w:p>
        </w:tc>
        <w:tc>
          <w:tcPr>
            <w:tcW w:w="16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80,135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119,279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(90,972)</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(94,583)</w:t>
            </w: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(104,221)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(48,568)</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(51,788)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15"/>
        </w:trPr>
        <w:tc>
          <w:tcPr>
            <w:tcW w:w="1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cash (used for) provided by financing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3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(6,574)</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3,838</w:t>
            </w:r>
          </w:p>
        </w:tc>
        <w:tc>
          <w:tcPr>
            <w:tcW w:w="140" w:type="dxa"/>
            <w:vAlign w:val="bottom"/>
          </w:tcPr>
          <w:p>
            <w:pPr>
              <w:spacing w:after="0"/>
              <w:rPr>
                <w:sz w:val="20"/>
                <w:szCs w:val="20"/>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10,397</w:t>
            </w:r>
          </w:p>
        </w:tc>
        <w:tc>
          <w:tcPr>
            <w:tcW w:w="16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0"/>
        </w:trPr>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429"/>
        </w:trPr>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S-5</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3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01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092825" cy="7301865"/>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c>
          <w:tcPr>
            <w:tcW w:w="1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w w:val="97"/>
              </w:rPr>
              <w:t>(In thousands, except per share amounts and store</w:t>
            </w:r>
          </w:p>
        </w:tc>
        <w:tc>
          <w:tcPr>
            <w:tcW w:w="1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30,</w:t>
            </w:r>
          </w:p>
        </w:tc>
        <w:tc>
          <w:tcPr>
            <w:tcW w:w="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7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data)</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(Unaudited)</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(Unaudited)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4,945</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4,208</w:t>
            </w: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17,132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34,642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82,779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1,531,117</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1,581,939</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1,661,389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1,639,441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2,071,836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745,625</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569,238</w:t>
            </w: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578,112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574,259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587,602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401,887</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654,600</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743,154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729,587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774,434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 (unaudited)</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stores open at period end</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spacing w:after="0" w:line="243"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(2)</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136,770</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158,442</w:t>
            </w: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174,365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107,208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113,132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8"/>
                <w:szCs w:val="28"/>
                <w:color w:val="auto"/>
                <w:vertAlign w:val="superscript"/>
              </w:rPr>
              <w:t>(2)</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32,144</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31,759</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51,928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right="160" w:hanging="353"/>
        <w:spacing w:after="0" w:line="252"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Net revenue for the fiscal year 2018 and the six months ended June 30, 2018 and June 29, 2019 is presented under the new revenue recognition guidance, while the amounts for prior years are not adjusted and continue to be reported in accordance with the historic accounting under the previous revenue recognition guidance. See Note 1 in our </w:t>
      </w:r>
      <w:hyperlink r:id="rId17">
        <w:r>
          <w:rPr>
            <w:rFonts w:ascii="Arial" w:cs="Arial" w:eastAsia="Arial" w:hAnsi="Arial"/>
            <w:sz w:val="14"/>
            <w:szCs w:val="14"/>
            <w:u w:val="single" w:color="auto"/>
            <w:color w:val="0000EE"/>
          </w:rPr>
          <w:t>audited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our Annual Report, which is incorporated by reference in this prospectus supplement, for further details.</w:t>
      </w:r>
    </w:p>
    <w:p>
      <w:pPr>
        <w:spacing w:after="0" w:line="80" w:lineRule="exact"/>
        <w:rPr>
          <w:rFonts w:ascii="Arial" w:cs="Arial" w:eastAsia="Arial" w:hAnsi="Arial"/>
          <w:sz w:val="14"/>
          <w:szCs w:val="14"/>
          <w:color w:val="auto"/>
        </w:rPr>
      </w:pPr>
    </w:p>
    <w:p>
      <w:pPr>
        <w:ind w:left="460" w:hanging="353"/>
        <w:spacing w:after="0" w:line="245"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define EBITDA as net income, plus interest expense, income tax provision (benefit)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secondary offering expenses, long-term incentive plan expenses, management realignment expenses and other expenses. We describe these adjustments reconciling net income to EBITDA and Adjusted EBITDA in the tables below. We define Adjusted EBITDA Margin as Adjusted EBITDA as a percentage of total net revenue. We define Adjusted Net Income as net income, further adjusted to exclude stock compensation expense, costs associated with debt refinancing, asset impairment, non-cash inventory write-offs, management fees, new store pre-opening expenses, non-cash rent, litigation settlement, secondary offering expenses, long-term incentive plan expenses, management realignment expenses and other expenses, amortization of acquisition intangibles and deferred financing costs, the tax benefit of stock option exercises, the tax legislation adjustment and the tax effect of these adjustments. We describe these adjustments reconciling net income to Adjusted Net Income in the tables below.</w:t>
      </w:r>
    </w:p>
    <w:p>
      <w:pPr>
        <w:spacing w:after="0" w:line="31" w:lineRule="exact"/>
        <w:rPr>
          <w:rFonts w:ascii="Arial" w:cs="Arial" w:eastAsia="Arial" w:hAnsi="Arial"/>
          <w:sz w:val="14"/>
          <w:szCs w:val="14"/>
          <w:color w:val="auto"/>
        </w:rPr>
      </w:pPr>
    </w:p>
    <w:p>
      <w:pPr>
        <w:ind w:left="460" w:right="20"/>
        <w:spacing w:after="0" w:line="266" w:lineRule="auto"/>
        <w:rPr>
          <w:rFonts w:ascii="Arial" w:cs="Arial" w:eastAsia="Arial" w:hAnsi="Arial"/>
          <w:sz w:val="14"/>
          <w:szCs w:val="14"/>
          <w:color w:val="auto"/>
        </w:rPr>
      </w:pPr>
      <w:r>
        <w:rPr>
          <w:rFonts w:ascii="Arial" w:cs="Arial" w:eastAsia="Arial" w:hAnsi="Arial"/>
          <w:sz w:val="13"/>
          <w:szCs w:val="13"/>
          <w:color w:val="auto"/>
        </w:rPr>
        <w:t>EBITDA, Adjusted EBITDA, Adjusted EBITDA Margin and Adjusted Net Income have been presented in this prospectus supplement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7" w:lineRule="exact"/>
        <w:rPr>
          <w:rFonts w:ascii="Arial" w:cs="Arial" w:eastAsia="Arial" w:hAnsi="Arial"/>
          <w:sz w:val="14"/>
          <w:szCs w:val="14"/>
          <w:color w:val="auto"/>
        </w:rPr>
      </w:pPr>
    </w:p>
    <w:p>
      <w:pPr>
        <w:ind w:left="460"/>
        <w:spacing w:after="0" w:line="266" w:lineRule="auto"/>
        <w:rPr>
          <w:rFonts w:ascii="Arial" w:cs="Arial" w:eastAsia="Arial" w:hAnsi="Arial"/>
          <w:sz w:val="14"/>
          <w:szCs w:val="14"/>
          <w:color w:val="auto"/>
        </w:rPr>
      </w:pPr>
      <w:r>
        <w:rPr>
          <w:rFonts w:ascii="Arial" w:cs="Arial" w:eastAsia="Arial" w:hAnsi="Arial"/>
          <w:sz w:val="13"/>
          <w:szCs w:val="13"/>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Adjusted EBITDA Margin and Adjusted Net Income should not be construed to imply that our future results will be unaffected by unusual or non-recurring items. In evaluating EBITDA, Adjusted EBITDA, Adjusted EBITDA Margin and Adjusted Net Income, you should be aware that in the future we may incur expenses that are the same as or similar to some of the adjustments in this presentation. Our presentation of EBITDA, Adjusted EBITDA, Adjusted EBITDA Margin and Adjusted Net Income should not be construed to imply that our future results will be unaffected by any such adjustments. Management compensates for these limitations by primarily relying on our GAAP results in addition to using EBITDA, Adjusted EBITDA, Adjusted EBITDA Margin and Adjusted Net Income supplementally.</w:t>
      </w:r>
    </w:p>
    <w:p>
      <w:pPr>
        <w:spacing w:after="0" w:line="17" w:lineRule="exact"/>
        <w:rPr>
          <w:rFonts w:ascii="Arial" w:cs="Arial" w:eastAsia="Arial" w:hAnsi="Arial"/>
          <w:sz w:val="14"/>
          <w:szCs w:val="14"/>
          <w:color w:val="auto"/>
        </w:rPr>
      </w:pPr>
    </w:p>
    <w:p>
      <w:pPr>
        <w:ind w:left="460" w:right="380"/>
        <w:spacing w:after="0" w:line="273" w:lineRule="auto"/>
        <w:rPr>
          <w:rFonts w:ascii="Arial" w:cs="Arial" w:eastAsia="Arial" w:hAnsi="Arial"/>
          <w:sz w:val="14"/>
          <w:szCs w:val="14"/>
          <w:color w:val="auto"/>
        </w:rPr>
      </w:pPr>
      <w:r>
        <w:rPr>
          <w:rFonts w:ascii="Arial" w:cs="Arial" w:eastAsia="Arial" w:hAnsi="Arial"/>
          <w:sz w:val="14"/>
          <w:szCs w:val="14"/>
          <w:color w:val="auto"/>
        </w:rPr>
        <w:t>The presentations of these measures have limitations as analytical tools and should not be considered in isolation, or as a substitute for analysis of our results as reported under GAAP. Some of these limitations are:</w:t>
      </w:r>
    </w:p>
    <w:p>
      <w:pPr>
        <w:spacing w:after="0" w:line="65" w:lineRule="exact"/>
        <w:rPr>
          <w:rFonts w:ascii="Arial" w:cs="Arial" w:eastAsia="Arial" w:hAnsi="Arial"/>
          <w:sz w:val="14"/>
          <w:szCs w:val="14"/>
          <w:color w:val="auto"/>
        </w:rPr>
      </w:pPr>
    </w:p>
    <w:p>
      <w:pPr>
        <w:ind w:left="1180" w:hanging="358"/>
        <w:spacing w:after="0"/>
        <w:tabs>
          <w:tab w:leader="none" w:pos="118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they do not reflect costs or cash outlays for capital expenditures or contractual commitments;</w:t>
      </w:r>
    </w:p>
    <w:p>
      <w:pPr>
        <w:spacing w:after="0" w:line="109" w:lineRule="exact"/>
        <w:rPr>
          <w:rFonts w:ascii="Arial" w:cs="Arial" w:eastAsia="Arial" w:hAnsi="Arial"/>
          <w:sz w:val="14"/>
          <w:szCs w:val="14"/>
          <w:color w:val="auto"/>
        </w:rPr>
      </w:pPr>
    </w:p>
    <w:p>
      <w:pPr>
        <w:ind w:left="1180" w:hanging="358"/>
        <w:spacing w:after="0"/>
        <w:tabs>
          <w:tab w:leader="none" w:pos="118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they do not reflect changes in, or cash requirements for, our working capital needs;</w:t>
      </w:r>
    </w:p>
    <w:p>
      <w:pPr>
        <w:spacing w:after="0" w:line="109" w:lineRule="exact"/>
        <w:rPr>
          <w:rFonts w:ascii="Arial" w:cs="Arial" w:eastAsia="Arial" w:hAnsi="Arial"/>
          <w:sz w:val="14"/>
          <w:szCs w:val="14"/>
          <w:color w:val="auto"/>
        </w:rPr>
      </w:pPr>
    </w:p>
    <w:p>
      <w:pPr>
        <w:ind w:left="1180" w:right="580" w:hanging="358"/>
        <w:spacing w:after="0" w:line="273" w:lineRule="auto"/>
        <w:tabs>
          <w:tab w:leader="none" w:pos="1180" w:val="left"/>
        </w:tabs>
        <w:numPr>
          <w:ilvl w:val="1"/>
          <w:numId w:val="4"/>
        </w:numPr>
        <w:rPr>
          <w:rFonts w:ascii="Arial" w:cs="Arial" w:eastAsia="Arial" w:hAnsi="Arial"/>
          <w:sz w:val="14"/>
          <w:szCs w:val="14"/>
          <w:color w:val="auto"/>
        </w:rPr>
      </w:pPr>
      <w:r>
        <w:rPr>
          <w:rFonts w:ascii="Arial" w:cs="Arial" w:eastAsia="Arial" w:hAnsi="Arial"/>
          <w:sz w:val="14"/>
          <w:szCs w:val="14"/>
          <w:color w:val="auto"/>
        </w:rPr>
        <w:t>EBITDA and Adjusted EBITDA do not reflect the interest expense, or the cash requirements necessary to service interest or principal payments, on our debt;</w:t>
      </w:r>
    </w:p>
    <w:p>
      <w:pPr>
        <w:spacing w:after="0" w:line="65" w:lineRule="exact"/>
        <w:rPr>
          <w:rFonts w:ascii="Arial" w:cs="Arial" w:eastAsia="Arial" w:hAnsi="Arial"/>
          <w:sz w:val="14"/>
          <w:szCs w:val="14"/>
          <w:color w:val="auto"/>
        </w:rPr>
      </w:pPr>
    </w:p>
    <w:p>
      <w:pPr>
        <w:ind w:left="1180" w:right="340" w:hanging="358"/>
        <w:spacing w:after="0" w:line="273" w:lineRule="auto"/>
        <w:tabs>
          <w:tab w:leader="none" w:pos="1180" w:val="left"/>
        </w:tabs>
        <w:numPr>
          <w:ilvl w:val="1"/>
          <w:numId w:val="4"/>
        </w:numPr>
        <w:rPr>
          <w:rFonts w:ascii="Arial" w:cs="Arial" w:eastAsia="Arial" w:hAnsi="Arial"/>
          <w:sz w:val="14"/>
          <w:szCs w:val="14"/>
          <w:color w:val="auto"/>
        </w:rPr>
      </w:pPr>
      <w:r>
        <w:rPr>
          <w:rFonts w:ascii="Arial" w:cs="Arial" w:eastAsia="Arial" w:hAnsi="Arial"/>
          <w:sz w:val="14"/>
          <w:szCs w:val="14"/>
          <w:color w:val="auto"/>
        </w:rPr>
        <w:t>EBITDA and Adjusted EBITDA do not reflect period to period changes in taxes, income tax expense or the cash necessary to pay income taxes;</w:t>
      </w:r>
    </w:p>
    <w:p>
      <w:pPr>
        <w:spacing w:after="0" w:line="65" w:lineRule="exact"/>
        <w:rPr>
          <w:rFonts w:ascii="Arial" w:cs="Arial" w:eastAsia="Arial" w:hAnsi="Arial"/>
          <w:sz w:val="14"/>
          <w:szCs w:val="14"/>
          <w:color w:val="auto"/>
        </w:rPr>
      </w:pPr>
    </w:p>
    <w:p>
      <w:pPr>
        <w:ind w:left="1180" w:right="240" w:hanging="358"/>
        <w:spacing w:after="0" w:line="312" w:lineRule="auto"/>
        <w:tabs>
          <w:tab w:leader="none" w:pos="1180" w:val="left"/>
        </w:tabs>
        <w:numPr>
          <w:ilvl w:val="1"/>
          <w:numId w:val="4"/>
        </w:numPr>
        <w:rPr>
          <w:rFonts w:ascii="Arial" w:cs="Arial" w:eastAsia="Arial" w:hAnsi="Arial"/>
          <w:sz w:val="13"/>
          <w:szCs w:val="13"/>
          <w:color w:val="auto"/>
        </w:rPr>
      </w:pPr>
      <w:r>
        <w:rPr>
          <w:rFonts w:ascii="Arial" w:cs="Arial" w:eastAsia="Arial" w:hAnsi="Arial"/>
          <w:sz w:val="13"/>
          <w:szCs w:val="13"/>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8013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092825" cy="8013700"/>
                    </a:xfrm>
                    <a:prstGeom prst="rect">
                      <a:avLst/>
                    </a:prstGeom>
                    <a:noFill/>
                  </pic:spPr>
                </pic:pic>
              </a:graphicData>
            </a:graphic>
          </wp:anchor>
        </w:drawing>
      </w:r>
    </w:p>
    <w:p>
      <w:pPr>
        <w:spacing w:after="0" w:line="255" w:lineRule="exact"/>
        <w:rPr>
          <w:sz w:val="20"/>
          <w:szCs w:val="20"/>
          <w:color w:val="auto"/>
        </w:rPr>
      </w:pPr>
    </w:p>
    <w:p>
      <w:pPr>
        <w:ind w:left="1180" w:right="160" w:hanging="358"/>
        <w:spacing w:after="0" w:line="273" w:lineRule="auto"/>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65" w:lineRule="exact"/>
        <w:rPr>
          <w:rFonts w:ascii="Arial" w:cs="Arial" w:eastAsia="Arial" w:hAnsi="Arial"/>
          <w:sz w:val="14"/>
          <w:szCs w:val="14"/>
          <w:color w:val="auto"/>
        </w:rPr>
      </w:pPr>
    </w:p>
    <w:p>
      <w:pPr>
        <w:ind w:left="1180" w:hanging="358"/>
        <w:spacing w:after="0"/>
        <w:tabs>
          <w:tab w:leader="none" w:pos="11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companies in our industry may calculate these measures differently than we do, limiting their usefulness as comparative measures.</w:t>
      </w:r>
    </w:p>
    <w:p>
      <w:pPr>
        <w:spacing w:after="0" w:line="67" w:lineRule="exact"/>
        <w:rPr>
          <w:sz w:val="20"/>
          <w:szCs w:val="20"/>
          <w:color w:val="auto"/>
        </w:rPr>
      </w:pPr>
    </w:p>
    <w:p>
      <w:pPr>
        <w:ind w:left="460" w:right="140"/>
        <w:spacing w:after="0" w:line="273" w:lineRule="auto"/>
        <w:rPr>
          <w:sz w:val="20"/>
          <w:szCs w:val="20"/>
          <w:color w:val="auto"/>
        </w:rPr>
      </w:pPr>
      <w:r>
        <w:rPr>
          <w:rFonts w:ascii="Arial" w:cs="Arial" w:eastAsia="Arial" w:hAnsi="Arial"/>
          <w:sz w:val="14"/>
          <w:szCs w:val="14"/>
          <w:color w:val="auto"/>
        </w:rPr>
        <w:t>Because of these limitations, EBITDA, Adjusted EBITDA, Adjusted EBITDA Margin and Adjusted Net Income should not be considered as measures of discretionary cash available to invest in business growth or to reduce indebtedness.</w:t>
      </w:r>
    </w:p>
    <w:p>
      <w:pPr>
        <w:spacing w:after="0" w:line="12" w:lineRule="exact"/>
        <w:rPr>
          <w:sz w:val="20"/>
          <w:szCs w:val="20"/>
          <w:color w:val="auto"/>
        </w:rPr>
      </w:pPr>
    </w:p>
    <w:p>
      <w:pPr>
        <w:ind w:left="460" w:right="480"/>
        <w:spacing w:after="0" w:line="273" w:lineRule="auto"/>
        <w:rPr>
          <w:sz w:val="20"/>
          <w:szCs w:val="20"/>
          <w:color w:val="auto"/>
        </w:rPr>
      </w:pPr>
      <w:r>
        <w:rPr>
          <w:rFonts w:ascii="Arial" w:cs="Arial" w:eastAsia="Arial" w:hAnsi="Arial"/>
          <w:sz w:val="14"/>
          <w:szCs w:val="14"/>
          <w:color w:val="auto"/>
        </w:rPr>
        <w:t>The following tables reconcile our net income to EBITDA, Adjusted EBITDA, Adjusted EBITDA Margin and Adjusted Net Income for the periods presented:</w:t>
      </w:r>
    </w:p>
    <w:p>
      <w:pPr>
        <w:spacing w:after="0" w:line="2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95"/>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95"/>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30,</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29,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7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7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12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23,653</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55,536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37,283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18,737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18,029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120" w:type="dxa"/>
            <w:vAlign w:val="bottom"/>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(38,910)</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80" w:type="dxa"/>
            <w:vAlign w:val="bottom"/>
            <w:tcBorders>
              <w:left w:val="single" w:sz="8" w:color="CCEEFF"/>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52,677</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74,339</w:t>
            </w: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116,746</w:t>
            </w:r>
          </w:p>
        </w:tc>
        <w:tc>
          <w:tcPr>
            <w:tcW w:w="12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121,738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116,490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99,260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20,939</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17,630</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2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Long-term incentive plan expense</w:t>
            </w:r>
            <w:r>
              <w:rPr>
                <w:rFonts w:ascii="Arial" w:cs="Arial" w:eastAsia="Arial" w:hAnsi="Arial"/>
                <w:sz w:val="28"/>
                <w:szCs w:val="28"/>
                <w:color w:val="auto"/>
                <w:vertAlign w:val="superscript"/>
              </w:rPr>
              <w:t>(j)</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Management realignment expenses</w:t>
            </w:r>
            <w:r>
              <w:rPr>
                <w:rFonts w:ascii="Arial" w:cs="Arial" w:eastAsia="Arial" w:hAnsi="Arial"/>
                <w:sz w:val="28"/>
                <w:szCs w:val="28"/>
                <w:color w:val="auto"/>
                <w:vertAlign w:val="superscript"/>
              </w:rPr>
              <w:t>(k)</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Borders>
              <w:bottom w:val="single" w:sz="8" w:color="CCEEFF"/>
              <w:right w:val="single" w:sz="8" w:color="CCEEFF"/>
            </w:tcBorders>
            <w:gridSpan w:val="2"/>
            <w:shd w:val="clear" w:color="auto" w:fill="CCEEFF"/>
          </w:tcPr>
          <w:p>
            <w:pPr>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(l)</w:t>
            </w:r>
          </w:p>
        </w:tc>
        <w:tc>
          <w:tcPr>
            <w:tcW w:w="180" w:type="dxa"/>
            <w:vAlign w:val="bottom"/>
            <w:tcBorders>
              <w:bottom w:val="single" w:sz="8" w:color="auto"/>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left w:val="single" w:sz="8" w:color="CCEEFF"/>
              <w:bottom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gridSpan w:val="2"/>
          </w:tcPr>
          <w:p>
            <w:pPr>
              <w:ind w:left="16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136,770</w:t>
            </w: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174,365</w:t>
            </w: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107,208</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113,132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Adjusted EBITDA Margin</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19"/>
                <w:szCs w:val="19"/>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29,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7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43,138</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23,653</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5,152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20,939</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4,117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17,630</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5,263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2,451</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Long-term incentive plan expense</w:t>
            </w:r>
            <w:r>
              <w:rPr>
                <w:rFonts w:ascii="Arial" w:cs="Arial" w:eastAsia="Arial" w:hAnsi="Arial"/>
                <w:sz w:val="28"/>
                <w:szCs w:val="28"/>
                <w:color w:val="auto"/>
                <w:vertAlign w:val="superscript"/>
              </w:rPr>
              <w:t>(j)</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Management realignment expenses</w:t>
            </w:r>
            <w:r>
              <w:rPr>
                <w:rFonts w:ascii="Arial" w:cs="Arial" w:eastAsia="Arial" w:hAnsi="Arial"/>
                <w:sz w:val="28"/>
                <w:szCs w:val="28"/>
                <w:color w:val="auto"/>
                <w:vertAlign w:val="superscript"/>
              </w:rPr>
              <w:t>(k)</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(l)</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80" w:type="dxa"/>
            <w:vAlign w:val="bottom"/>
            <w:gridSpan w:val="2"/>
          </w:tcPr>
          <w:p>
            <w:pPr>
              <w:spacing w:after="0" w:line="206" w:lineRule="exact"/>
              <w:rPr>
                <w:sz w:val="20"/>
                <w:szCs w:val="20"/>
                <w:color w:val="auto"/>
              </w:rPr>
            </w:pPr>
            <w:r>
              <w:rPr>
                <w:rFonts w:ascii="Arial" w:cs="Arial" w:eastAsia="Arial" w:hAnsi="Arial"/>
                <w:sz w:val="18"/>
                <w:szCs w:val="18"/>
                <w:color w:val="auto"/>
                <w:w w:val="96"/>
              </w:rPr>
              <w:t>Amortization of acquisition intangibles and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80" w:type="dxa"/>
            <w:vAlign w:val="bottom"/>
            <w:gridSpan w:val="2"/>
          </w:tcPr>
          <w:p>
            <w:pPr>
              <w:ind w:left="160"/>
              <w:spacing w:after="0" w:line="253" w:lineRule="exact"/>
              <w:rPr>
                <w:sz w:val="20"/>
                <w:szCs w:val="20"/>
                <w:color w:val="auto"/>
              </w:rPr>
            </w:pPr>
            <w:r>
              <w:rPr>
                <w:rFonts w:ascii="Arial" w:cs="Arial" w:eastAsia="Arial" w:hAnsi="Arial"/>
                <w:sz w:val="18"/>
                <w:szCs w:val="18"/>
                <w:color w:val="auto"/>
              </w:rPr>
              <w:t>deferred financing costs</w:t>
            </w:r>
            <w:r>
              <w:rPr>
                <w:rFonts w:ascii="Arial" w:cs="Arial" w:eastAsia="Arial" w:hAnsi="Arial"/>
                <w:sz w:val="29"/>
                <w:szCs w:val="29"/>
                <w:color w:val="auto"/>
                <w:vertAlign w:val="superscript"/>
              </w:rPr>
              <w:t>(m)</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14,481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9,253</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4,594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benefit of stock option exercise</w:t>
            </w:r>
            <w:r>
              <w:rPr>
                <w:rFonts w:ascii="Arial" w:cs="Arial" w:eastAsia="Arial" w:hAnsi="Arial"/>
                <w:sz w:val="28"/>
                <w:szCs w:val="28"/>
                <w:color w:val="auto"/>
                <w:vertAlign w:val="superscript"/>
              </w:rPr>
              <w:t>(n)</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(25,544)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(4,066)</w:t>
            </w: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3" w:lineRule="exact"/>
              <w:rPr>
                <w:sz w:val="20"/>
                <w:szCs w:val="20"/>
                <w:color w:val="auto"/>
              </w:rPr>
            </w:pPr>
            <w:r>
              <w:rPr>
                <w:rFonts w:ascii="Arial" w:cs="Arial" w:eastAsia="Arial" w:hAnsi="Arial"/>
                <w:sz w:val="17"/>
                <w:szCs w:val="17"/>
                <w:color w:val="auto"/>
              </w:rPr>
              <w:t>Tax legislation adjustments</w:t>
            </w:r>
            <w:r>
              <w:rPr>
                <w:rFonts w:ascii="Arial" w:cs="Arial" w:eastAsia="Arial" w:hAnsi="Arial"/>
                <w:sz w:val="28"/>
                <w:szCs w:val="28"/>
                <w:color w:val="auto"/>
                <w:vertAlign w:val="superscript"/>
              </w:rPr>
              <w:t>(o)</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70"/>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(42,089)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tcBorders>
              <w:right w:val="single" w:sz="8" w:color="CCEEFF"/>
            </w:tcBorders>
            <w:gridSpan w:val="2"/>
            <w:shd w:val="clear" w:color="auto" w:fill="CCEEFF"/>
          </w:tcPr>
          <w:p>
            <w:pPr>
              <w:spacing w:after="0" w:line="230" w:lineRule="exact"/>
              <w:rPr>
                <w:sz w:val="20"/>
                <w:szCs w:val="20"/>
                <w:color w:val="auto"/>
              </w:rPr>
            </w:pPr>
            <w:r>
              <w:rPr>
                <w:rFonts w:ascii="Arial" w:cs="Arial" w:eastAsia="Arial" w:hAnsi="Arial"/>
                <w:sz w:val="16"/>
                <w:szCs w:val="16"/>
                <w:color w:val="auto"/>
              </w:rPr>
              <w:t>Tax effect of total adjustments</w:t>
            </w:r>
            <w:r>
              <w:rPr>
                <w:rFonts w:ascii="Arial" w:cs="Arial" w:eastAsia="Arial" w:hAnsi="Arial"/>
                <w:sz w:val="26"/>
                <w:szCs w:val="26"/>
                <w:color w:val="auto"/>
                <w:vertAlign w:val="superscript"/>
              </w:rPr>
              <w:t>(p)</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(12,534)</w:t>
            </w:r>
          </w:p>
        </w:tc>
        <w:tc>
          <w:tcPr>
            <w:tcW w:w="8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(20,475)</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(3,202)</w:t>
            </w: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auto"/>
              <w:right w:val="single" w:sz="8" w:color="CCEEFF"/>
            </w:tcBorders>
            <w:shd w:val="clear" w:color="auto" w:fill="CCEEFF"/>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auto"/>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32,144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31,759</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51,928</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42,164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42,963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60"/>
          </w:cols>
          <w:pgMar w:left="1180" w:top="279" w:right="1259" w:bottom="1440" w:gutter="0" w:footer="0" w:header="0"/>
        </w:sect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85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6092825" cy="69850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40" w:hanging="353"/>
        <w:spacing w:after="0" w:line="273"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65" w:lineRule="exact"/>
        <w:rPr>
          <w:rFonts w:ascii="Arial" w:cs="Arial" w:eastAsia="Arial" w:hAnsi="Arial"/>
          <w:sz w:val="14"/>
          <w:szCs w:val="14"/>
          <w:color w:val="auto"/>
        </w:rPr>
      </w:pPr>
    </w:p>
    <w:p>
      <w:pPr>
        <w:ind w:left="460" w:right="180" w:hanging="353"/>
        <w:spacing w:after="0" w:line="25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fiscal year 2018, fees associated with the issuance of new term loans during the fourth quarter of fiscal year 2018. For fiscal year 2017, includes $2.7 million of fees associated with the borrowing of $175.0 million in additional principal under our first lien credit agreement and $1.8 million of fees associated with the refinancing of our first lien credit agreement.</w:t>
      </w:r>
    </w:p>
    <w:p>
      <w:pPr>
        <w:spacing w:after="0" w:line="77" w:lineRule="exact"/>
        <w:rPr>
          <w:rFonts w:ascii="Arial" w:cs="Arial" w:eastAsia="Arial" w:hAnsi="Arial"/>
          <w:sz w:val="14"/>
          <w:szCs w:val="14"/>
          <w:color w:val="auto"/>
        </w:rPr>
      </w:pPr>
    </w:p>
    <w:p>
      <w:pPr>
        <w:ind w:left="460" w:right="120" w:hanging="353"/>
        <w:spacing w:after="0" w:line="286" w:lineRule="auto"/>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Non-cash charges related to impairment of long-lived assets, primarily goodwill in our Military and Fred Meyer brands during fiscal year 2018 and Fred Meyer and AC Lens brands during fiscal year 2016, write-off of a cost basis investment, and impairment of capitalized software and property and equipment for fiscal year 2017. Reflects write-off of property and equipment on closed or underperforming stores for the six months ended June 29, 2019.</w:t>
      </w:r>
    </w:p>
    <w:p>
      <w:pPr>
        <w:spacing w:after="0" w:line="59" w:lineRule="exact"/>
        <w:rPr>
          <w:rFonts w:ascii="Arial" w:cs="Arial" w:eastAsia="Arial" w:hAnsi="Arial"/>
          <w:sz w:val="13"/>
          <w:szCs w:val="13"/>
          <w:color w:val="auto"/>
        </w:rPr>
      </w:pPr>
    </w:p>
    <w:p>
      <w:pPr>
        <w:ind w:left="460" w:hanging="353"/>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 that could not be sold and required disposal.</w:t>
      </w:r>
    </w:p>
    <w:p>
      <w:pPr>
        <w:spacing w:after="0" w:line="109" w:lineRule="exact"/>
        <w:rPr>
          <w:rFonts w:ascii="Arial" w:cs="Arial" w:eastAsia="Arial" w:hAnsi="Arial"/>
          <w:sz w:val="14"/>
          <w:szCs w:val="14"/>
          <w:color w:val="auto"/>
        </w:rPr>
      </w:pPr>
    </w:p>
    <w:p>
      <w:pPr>
        <w:ind w:left="460" w:right="80" w:hanging="353"/>
        <w:spacing w:after="0" w:line="273"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management fees paid to KKR and Berkshire in accordance with our monitoring agreement with them. The monitoring agreement was terminated automatically in accordance with its terms upon the consummation of the IPO in October 2017.</w:t>
      </w:r>
    </w:p>
    <w:p>
      <w:pPr>
        <w:spacing w:after="0" w:line="65" w:lineRule="exact"/>
        <w:rPr>
          <w:rFonts w:ascii="Arial" w:cs="Arial" w:eastAsia="Arial" w:hAnsi="Arial"/>
          <w:sz w:val="14"/>
          <w:szCs w:val="14"/>
          <w:color w:val="auto"/>
        </w:rPr>
      </w:pPr>
    </w:p>
    <w:p>
      <w:pPr>
        <w:ind w:left="460" w:right="40" w:hanging="353"/>
        <w:spacing w:after="0" w:line="252"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are not indicative of ongoing core operating performance. We adjust for these costs to facilitate comparisons of store operating performance from period to period.</w:t>
      </w:r>
    </w:p>
    <w:p>
      <w:pPr>
        <w:spacing w:after="0" w:line="80" w:lineRule="exact"/>
        <w:rPr>
          <w:rFonts w:ascii="Arial" w:cs="Arial" w:eastAsia="Arial" w:hAnsi="Arial"/>
          <w:sz w:val="14"/>
          <w:szCs w:val="14"/>
          <w:color w:val="auto"/>
        </w:rPr>
      </w:pPr>
    </w:p>
    <w:p>
      <w:pPr>
        <w:ind w:left="460" w:hanging="353"/>
        <w:spacing w:after="0" w:line="273"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w:t>
      </w:r>
    </w:p>
    <w:p>
      <w:pPr>
        <w:spacing w:after="0" w:line="65" w:lineRule="exact"/>
        <w:rPr>
          <w:rFonts w:ascii="Arial" w:cs="Arial" w:eastAsia="Arial" w:hAnsi="Arial"/>
          <w:sz w:val="14"/>
          <w:szCs w:val="14"/>
          <w:color w:val="auto"/>
        </w:rPr>
      </w:pPr>
    </w:p>
    <w:p>
      <w:pPr>
        <w:ind w:left="460" w:hanging="353"/>
        <w:spacing w:after="0" w:line="25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Expenses associated with settlement of litigation. See “Legal Proceedings” and Note 12 in our audited consolidated financial statements, each in our Annual Report, and “Legal Proceedings” and Note 8 in our unaudited condensed consolidated financial statements, each in our Quarterly Reports, each of which is incorporated by reference in this prospectus supplement, for further details.</w:t>
      </w:r>
    </w:p>
    <w:p>
      <w:pPr>
        <w:spacing w:after="0" w:line="77" w:lineRule="exact"/>
        <w:rPr>
          <w:rFonts w:ascii="Arial" w:cs="Arial" w:eastAsia="Arial" w:hAnsi="Arial"/>
          <w:sz w:val="14"/>
          <w:szCs w:val="14"/>
          <w:color w:val="auto"/>
        </w:rPr>
      </w:pPr>
    </w:p>
    <w:p>
      <w:pPr>
        <w:ind w:left="460" w:right="80" w:hanging="353"/>
        <w:spacing w:after="0" w:line="273"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during fiscal year 2018 and the six months ended June 30, 2018. See Note 1 in our audited consolidated financial statements in our Annual Report, which is incorporated by reference in this prospectus supplement, for further details.</w:t>
      </w:r>
    </w:p>
    <w:p>
      <w:pPr>
        <w:spacing w:after="0" w:line="65" w:lineRule="exact"/>
        <w:rPr>
          <w:rFonts w:ascii="Arial" w:cs="Arial" w:eastAsia="Arial" w:hAnsi="Arial"/>
          <w:sz w:val="14"/>
          <w:szCs w:val="14"/>
          <w:color w:val="auto"/>
        </w:rPr>
      </w:pPr>
    </w:p>
    <w:p>
      <w:pPr>
        <w:ind w:left="460" w:right="80" w:hanging="353"/>
        <w:spacing w:after="0" w:line="252"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This plan was effective in 2014 following the acquisition of the Company by affiliates of KKR. During the third quarter of fiscal year 2018, $4.6 million cash payout was triggered as a result of the second secondary offering of common stock by affiliates of KKR and other selling shareholders. The remaining $2.4 million for fiscal year 2018 relates to the third secondary offering and is accrued but not paid as of fiscal year end 2018.</w:t>
      </w:r>
    </w:p>
    <w:p>
      <w:pPr>
        <w:spacing w:after="0" w:line="80" w:lineRule="exact"/>
        <w:rPr>
          <w:rFonts w:ascii="Arial" w:cs="Arial" w:eastAsia="Arial" w:hAnsi="Arial"/>
          <w:sz w:val="14"/>
          <w:szCs w:val="14"/>
          <w:color w:val="auto"/>
        </w:rPr>
      </w:pPr>
    </w:p>
    <w:p>
      <w:pPr>
        <w:ind w:left="460" w:hanging="353"/>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Expenses related to a non-recurring realignment of management described in our Current Report on Form 8-K filed with the SEC on January 10, 2019.</w:t>
      </w:r>
    </w:p>
    <w:p>
      <w:pPr>
        <w:spacing w:after="0" w:line="120" w:lineRule="exact"/>
        <w:rPr>
          <w:rFonts w:ascii="Arial" w:cs="Arial" w:eastAsia="Arial" w:hAnsi="Arial"/>
          <w:sz w:val="13"/>
          <w:szCs w:val="13"/>
          <w:color w:val="auto"/>
        </w:rPr>
      </w:pPr>
    </w:p>
    <w:p>
      <w:pPr>
        <w:ind w:left="460" w:hanging="353"/>
        <w:spacing w:after="0" w:line="264" w:lineRule="auto"/>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$1.3 million, $1.0 million and $1.4 million for fiscal years 2018, 2017 and 2016, respectively, and $0.6 million for each of the six months ended June 29, 2019 and June 30, 2018; the amortization impact of the KKR Acquisition-related adjustments (e.g., fair value of leasehold interests) of $0.4 million, $(0.3) million, $(0.7) million, $0.2 million and $0.1 million for fiscal years 2018, 2017 and 2016 and the six months ended June 29, 2019 and June 30, 2018, respectively; expenses related to preparation for being an SEC registrant that were not directly attributable to our IPO and therefore not charged to equity of $1.8 million and $2.0 million for the fiscal years 2017 and 2016, respectively; differences between the timing of expense versus cash payments related to contributions to charitable organizations of $(1.0) million for each of fiscal years 2018, 2017 and 2016 and $(0.5) million for the six months ended June 30, 2018; costs of severance and relocation of $1.0 million, $1.4 million, $1.1 million, $0.8 million and $0.5 million for fiscal years 2018, 2017 and 2016 and the six months ended June 29, 2019 and June 30, 2018, respectively; excess payroll taxes related to stock option exercises of $1.8 million, $0.1 million and $0.3 million for fiscal year 2018 and the six months ended June 29, 2019 and June 30, 2018, respectively; and other expenses and adjustments totaling $1.1 million, $1.0 million, $0.8 million, $0.3 million and $0.2 million for fiscal years 2018, 2017 and 2016 and the six months ended June 29, 2019 and June 30, 2018, respectively.</w:t>
      </w:r>
    </w:p>
    <w:p>
      <w:pPr>
        <w:spacing w:after="0" w:line="79" w:lineRule="exact"/>
        <w:rPr>
          <w:rFonts w:ascii="Arial" w:cs="Arial" w:eastAsia="Arial" w:hAnsi="Arial"/>
          <w:sz w:val="13"/>
          <w:szCs w:val="13"/>
          <w:color w:val="auto"/>
        </w:rPr>
      </w:pPr>
    </w:p>
    <w:p>
      <w:pPr>
        <w:ind w:left="460" w:right="80" w:hanging="353"/>
        <w:spacing w:after="0" w:line="246"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definite-lived intangible assets resulting from the application of purchase accounting to the KKR Acquisition of $7.4 million for each of fiscal years 2018, 2017 and 2016 and $3.7 million for each of the six months ended June 29, 2019 and June 30, 2018. Amortization of deferred financing costs is primarily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$1.9 million, $7.1 million, $3.9 million, $0.9 million and $0.8 million of additional expense for fiscal years 2018, 2017 and 2016 and the six months ended June 29, 2019 and June 30, 2018, respectively. The $7.1 million additional expense for fiscal year 2017 includes a $3.3 million write-off of debt discounts associated with the repayment of the entire $125.0 million second lien term loan balance.</w:t>
      </w:r>
    </w:p>
    <w:p>
      <w:pPr>
        <w:spacing w:after="0" w:line="84" w:lineRule="exact"/>
        <w:rPr>
          <w:rFonts w:ascii="Arial" w:cs="Arial" w:eastAsia="Arial" w:hAnsi="Arial"/>
          <w:sz w:val="14"/>
          <w:szCs w:val="14"/>
          <w:color w:val="auto"/>
        </w:rPr>
      </w:pPr>
    </w:p>
    <w:p>
      <w:pPr>
        <w:ind w:left="460" w:right="160" w:hanging="353"/>
        <w:spacing w:after="0" w:line="25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Tax benefit associated with accounting guidance adopted at the beginning of fiscal year 2017 (Accounting Standards Update 2016-09, Compensation – Stock Compensation), requiring excess tax benefits related to stock option exercises to be recorded in earnings as discrete items in the reporting period in which they occur.</w:t>
      </w:r>
    </w:p>
    <w:p>
      <w:pPr>
        <w:spacing w:after="0" w:line="77" w:lineRule="exact"/>
        <w:rPr>
          <w:rFonts w:ascii="Arial" w:cs="Arial" w:eastAsia="Arial" w:hAnsi="Arial"/>
          <w:sz w:val="14"/>
          <w:szCs w:val="14"/>
          <w:color w:val="auto"/>
        </w:rPr>
      </w:pPr>
    </w:p>
    <w:p>
      <w:pPr>
        <w:ind w:left="460" w:right="100" w:hanging="353"/>
        <w:spacing w:after="0" w:line="25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The adjustment represents re-measuring and reassessing the net realizability of our deferred tax assets and liabilities during fiscal year 2017. See Note 6 in our </w:t>
      </w:r>
      <w:hyperlink r:id="rId17">
        <w:r>
          <w:rPr>
            <w:rFonts w:ascii="Arial" w:cs="Arial" w:eastAsia="Arial" w:hAnsi="Arial"/>
            <w:sz w:val="14"/>
            <w:szCs w:val="14"/>
            <w:u w:val="single" w:color="auto"/>
            <w:color w:val="0000EE"/>
          </w:rPr>
          <w:t>audited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our Annual Report, which is incorporated by reference in this prospectus supplement for additional information regarding the Tax Cuts and Jobs Act of 2017.</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360"/>
        <w:spacing w:after="0" w:line="286"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An investment in our common stock involves risk. You should carefully consider the risks and uncertainties described below, together with all of the other information included or incorporated by reference in this prospectus supplement and the accompanying prospectus, including the risks and uncertainties discussed under “Prospectus Supplement Summary—Summary Historical Consolidated Financial and Other Data” contained elsewhere in this prospectus supplement, </w:t>
      </w:r>
      <w:hyperlink r:id="rId15">
        <w:r>
          <w:rPr>
            <w:rFonts w:ascii="Arial" w:cs="Arial" w:eastAsia="Arial" w:hAnsi="Arial"/>
            <w:sz w:val="16"/>
            <w:szCs w:val="16"/>
            <w:i w:val="1"/>
            <w:iCs w:val="1"/>
            <w:u w:val="single" w:color="auto"/>
            <w:color w:val="0000EE"/>
          </w:rPr>
          <w:t>“Risk Factors,”</w:t>
        </w:r>
      </w:hyperlink>
      <w:r>
        <w:rPr>
          <w:rFonts w:ascii="Arial" w:cs="Arial" w:eastAsia="Arial" w:hAnsi="Arial"/>
          <w:sz w:val="16"/>
          <w:szCs w:val="16"/>
          <w:i w:val="1"/>
          <w:iCs w:val="1"/>
          <w:color w:val="auto"/>
        </w:rPr>
        <w:t xml:space="preserve"> </w:t>
      </w:r>
      <w:hyperlink r:id="rId17">
        <w:r>
          <w:rPr>
            <w:rFonts w:ascii="Arial" w:cs="Arial" w:eastAsia="Arial" w:hAnsi="Arial"/>
            <w:sz w:val="16"/>
            <w:szCs w:val="16"/>
            <w:i w:val="1"/>
            <w:iCs w:val="1"/>
            <w:u w:val="single" w:color="auto"/>
            <w:color w:val="0000EE"/>
          </w:rPr>
          <w:t>“Management’s Discussion and Analysis of Financial</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Condition and Results of Operations” and our</w:t>
        </w:r>
        <w:r>
          <w:rPr>
            <w:rFonts w:ascii="Arial" w:cs="Arial" w:eastAsia="Arial" w:hAnsi="Arial"/>
            <w:sz w:val="16"/>
            <w:szCs w:val="16"/>
            <w:i w:val="1"/>
            <w:iCs w:val="1"/>
            <w:color w:val="0000EE"/>
          </w:rPr>
          <w:t xml:space="preserve"> </w:t>
        </w:r>
        <w:r>
          <w:rPr>
            <w:rFonts w:ascii="Arial" w:cs="Arial" w:eastAsia="Arial" w:hAnsi="Arial"/>
            <w:sz w:val="16"/>
            <w:szCs w:val="16"/>
            <w:i w:val="1"/>
            <w:iCs w:val="1"/>
            <w:u w:val="single" w:color="auto"/>
            <w:color w:val="0000EE"/>
          </w:rPr>
          <w:t>audited consolidated financial</w:t>
        </w:r>
      </w:hyperlink>
      <w:r>
        <w:rPr>
          <w:rFonts w:ascii="Arial" w:cs="Arial" w:eastAsia="Arial" w:hAnsi="Arial"/>
          <w:sz w:val="16"/>
          <w:szCs w:val="16"/>
          <w:i w:val="1"/>
          <w:iCs w:val="1"/>
          <w:color w:val="0000EE"/>
        </w:rPr>
        <w:t xml:space="preserve"> </w:t>
      </w:r>
      <w:hyperlink r:id="rId18">
        <w:r>
          <w:rPr>
            <w:rFonts w:ascii="Arial" w:cs="Arial" w:eastAsia="Arial" w:hAnsi="Arial"/>
            <w:sz w:val="16"/>
            <w:szCs w:val="16"/>
            <w:i w:val="1"/>
            <w:iCs w:val="1"/>
            <w:u w:val="single" w:color="auto"/>
            <w:color w:val="0000EE"/>
          </w:rPr>
          <w:t>statements and related notes</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thereto in our Annual Report and</w:t>
        </w:r>
        <w:r>
          <w:rPr>
            <w:rFonts w:ascii="Arial" w:cs="Arial" w:eastAsia="Arial" w:hAnsi="Arial"/>
            <w:sz w:val="16"/>
            <w:szCs w:val="16"/>
            <w:i w:val="1"/>
            <w:iCs w:val="1"/>
            <w:color w:val="0000EE"/>
          </w:rPr>
          <w:t xml:space="preserve"> </w:t>
        </w:r>
        <w:r>
          <w:rPr>
            <w:rFonts w:ascii="Arial" w:cs="Arial" w:eastAsia="Arial" w:hAnsi="Arial"/>
            <w:sz w:val="16"/>
            <w:szCs w:val="16"/>
            <w:i w:val="1"/>
            <w:iCs w:val="1"/>
            <w:u w:val="single" w:color="auto"/>
            <w:color w:val="0000EE"/>
          </w:rPr>
          <w:t>“Management’s Discussion and Analysis of Financial Condition and</w:t>
        </w:r>
      </w:hyperlink>
      <w:r>
        <w:rPr>
          <w:rFonts w:ascii="Arial" w:cs="Arial" w:eastAsia="Arial" w:hAnsi="Arial"/>
          <w:sz w:val="16"/>
          <w:szCs w:val="16"/>
          <w:i w:val="1"/>
          <w:iCs w:val="1"/>
          <w:color w:val="0000EE"/>
        </w:rPr>
        <w:t xml:space="preserve"> </w:t>
      </w:r>
      <w:hyperlink r:id="rId18">
        <w:r>
          <w:rPr>
            <w:rFonts w:ascii="Arial" w:cs="Arial" w:eastAsia="Arial" w:hAnsi="Arial"/>
            <w:sz w:val="16"/>
            <w:szCs w:val="16"/>
            <w:i w:val="1"/>
            <w:iCs w:val="1"/>
            <w:u w:val="single" w:color="auto"/>
            <w:color w:val="0000EE"/>
          </w:rPr>
          <w:t>Results of</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Operations” and our</w:t>
        </w:r>
        <w:r>
          <w:rPr>
            <w:rFonts w:ascii="Arial" w:cs="Arial" w:eastAsia="Arial" w:hAnsi="Arial"/>
            <w:sz w:val="16"/>
            <w:szCs w:val="16"/>
            <w:i w:val="1"/>
            <w:iCs w:val="1"/>
            <w:color w:val="0000EE"/>
          </w:rPr>
          <w:t xml:space="preserve"> </w:t>
        </w:r>
      </w:hyperlink>
      <w:hyperlink r:id="rId19">
        <w:r>
          <w:rPr>
            <w:rFonts w:ascii="Arial" w:cs="Arial" w:eastAsia="Arial" w:hAnsi="Arial"/>
            <w:sz w:val="16"/>
            <w:szCs w:val="16"/>
            <w:i w:val="1"/>
            <w:iCs w:val="1"/>
            <w:u w:val="single" w:color="auto"/>
            <w:color w:val="0000EE"/>
          </w:rPr>
          <w:t xml:space="preserve">unaudited condensed consolidated financial statements and related notes </w:t>
        </w:r>
      </w:hyperlink>
      <w:hyperlink r:id="rId18">
        <w:r>
          <w:rPr>
            <w:rFonts w:ascii="Arial" w:cs="Arial" w:eastAsia="Arial" w:hAnsi="Arial"/>
            <w:sz w:val="16"/>
            <w:szCs w:val="16"/>
            <w:i w:val="1"/>
            <w:iCs w:val="1"/>
            <w:color w:val="000000"/>
          </w:rPr>
          <w:t>thereto in our Quarterly</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Reports, each of which is incorporated by reference in this prospectus supplement and the accompanying prospectus, before investing in our common stock. Any of the following risks could materially and adversely affect our business, financial condition, or results of operations. The selected risks described below or incorporated by reference in this prospectus supplement and the accompanying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71"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rFonts w:ascii="Arial" w:cs="Arial" w:eastAsia="Arial" w:hAnsi="Arial"/>
          <w:sz w:val="16"/>
          <w:szCs w:val="16"/>
          <w:i w:val="1"/>
          <w:iCs w:val="1"/>
          <w:color w:val="0000EE"/>
        </w:rPr>
      </w:pPr>
    </w:p>
    <w:p>
      <w:pPr>
        <w:spacing w:after="0" w:line="357" w:lineRule="auto"/>
        <w:rPr>
          <w:sz w:val="20"/>
          <w:szCs w:val="20"/>
          <w:color w:val="auto"/>
        </w:rPr>
      </w:pPr>
      <w:r>
        <w:rPr>
          <w:rFonts w:ascii="Arial" w:cs="Arial" w:eastAsia="Arial" w:hAnsi="Arial"/>
          <w:sz w:val="15"/>
          <w:szCs w:val="15"/>
          <w:b w:val="1"/>
          <w:bCs w:val="1"/>
          <w:i w:val="1"/>
          <w:iCs w:val="1"/>
          <w:color w:val="auto"/>
        </w:rPr>
        <w:t>Our stock price may be volatile or may decline regardless of our operating performance, and you may not be able to resell shares of our common stock at or above the price you paid or at all, and you could lose all or part of your investment as a result.</w:t>
      </w:r>
    </w:p>
    <w:p>
      <w:pPr>
        <w:ind w:right="20" w:firstLine="360"/>
        <w:spacing w:after="0" w:line="302" w:lineRule="auto"/>
        <w:rPr>
          <w:rFonts w:ascii="Arial" w:cs="Arial" w:eastAsia="Arial" w:hAnsi="Arial"/>
          <w:sz w:val="16"/>
          <w:szCs w:val="16"/>
          <w:color w:val="0000EE"/>
        </w:rPr>
      </w:pPr>
      <w:r>
        <w:rPr>
          <w:rFonts w:ascii="Arial" w:cs="Arial" w:eastAsia="Arial" w:hAnsi="Arial"/>
          <w:sz w:val="16"/>
          <w:szCs w:val="16"/>
          <w:color w:val="auto"/>
        </w:rPr>
        <w:t xml:space="preserve">We completed our IPO in October 2017. Since our IPO, the price of our common stock, as reported on NASDAQ, has ranged from a low of $25.60 on December 24, 2018 to a high of $46.63 on September 7, 2018. The trading price of our common stock may be volatile and may be adversely affected due to a number of factors, most of which we cannot control, including those listed under </w:t>
      </w:r>
      <w:hyperlink r:id="rId15">
        <w:r>
          <w:rPr>
            <w:rFonts w:ascii="Arial" w:cs="Arial" w:eastAsia="Arial" w:hAnsi="Arial"/>
            <w:sz w:val="16"/>
            <w:szCs w:val="16"/>
            <w:u w:val="single" w:color="auto"/>
            <w:color w:val="0000EE"/>
          </w:rPr>
          <w:t>“Risk Factors”</w:t>
        </w:r>
        <w:r>
          <w:rPr>
            <w:rFonts w:ascii="Arial" w:cs="Arial" w:eastAsia="Arial" w:hAnsi="Arial"/>
            <w:sz w:val="16"/>
            <w:szCs w:val="16"/>
            <w:color w:val="0000EE"/>
          </w:rPr>
          <w:t xml:space="preserve"> </w:t>
        </w:r>
      </w:hyperlink>
      <w:r>
        <w:rPr>
          <w:rFonts w:ascii="Arial" w:cs="Arial" w:eastAsia="Arial" w:hAnsi="Arial"/>
          <w:sz w:val="16"/>
          <w:szCs w:val="16"/>
          <w:color w:val="000000"/>
        </w:rPr>
        <w:t>in</w:t>
      </w:r>
      <w:r>
        <w:rPr>
          <w:rFonts w:ascii="Arial" w:cs="Arial" w:eastAsia="Arial" w:hAnsi="Arial"/>
          <w:sz w:val="16"/>
          <w:szCs w:val="16"/>
          <w:color w:val="0000EE"/>
        </w:rPr>
        <w:t xml:space="preserve"> </w:t>
      </w:r>
      <w:r>
        <w:rPr>
          <w:rFonts w:ascii="Arial" w:cs="Arial" w:eastAsia="Arial" w:hAnsi="Arial"/>
          <w:sz w:val="16"/>
          <w:szCs w:val="16"/>
          <w:color w:val="000000"/>
        </w:rPr>
        <w:t>our Annual Report, which is incorporated by reference in this prospectus supplement, and the following:</w:t>
      </w:r>
    </w:p>
    <w:p>
      <w:pPr>
        <w:spacing w:after="0" w:line="46" w:lineRule="exact"/>
        <w:rPr>
          <w:rFonts w:ascii="Arial" w:cs="Arial" w:eastAsia="Arial" w:hAnsi="Arial"/>
          <w:sz w:val="16"/>
          <w:szCs w:val="16"/>
          <w:i w:val="1"/>
          <w:iCs w:val="1"/>
          <w:color w:val="0000EE"/>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700" w:right="104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optical retail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700" w:right="220" w:hanging="356"/>
        <w:spacing w:after="0" w:line="26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preference of our customers;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700" w:right="44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170" w:lineRule="exact"/>
        <w:rPr>
          <w:rFonts w:ascii="Arial" w:cs="Arial" w:eastAsia="Arial" w:hAnsi="Arial"/>
          <w:sz w:val="16"/>
          <w:szCs w:val="16"/>
          <w:i w:val="1"/>
          <w:iCs w:val="1"/>
          <w:color w:val="0000EE"/>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rFonts w:ascii="Arial" w:cs="Arial" w:eastAsia="Arial" w:hAnsi="Arial"/>
          <w:sz w:val="16"/>
          <w:szCs w:val="16"/>
          <w:i w:val="1"/>
          <w:iCs w:val="1"/>
          <w:color w:val="0000EE"/>
        </w:rPr>
      </w:pPr>
      <w:r>
        <w:rPr>
          <w:rFonts w:ascii="Arial" w:cs="Arial" w:eastAsia="Arial" w:hAnsi="Arial"/>
          <w:sz w:val="16"/>
          <w:szCs w:val="16"/>
          <w:i w:val="1"/>
          <w:iCs w:val="1"/>
          <w:color w:val="0000EE"/>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2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62"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8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1"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5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As a result, you may not receive any return on an investment in our common stock unless you sell our common stock for a price greater than your purchase price.</w:t>
      </w:r>
    </w:p>
    <w:p>
      <w:pPr>
        <w:spacing w:after="0" w:line="17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61"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5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6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 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devotes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55"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b w:val="1"/>
          <w:bCs w:val="1"/>
          <w:i w:val="1"/>
          <w:iCs w:val="1"/>
          <w:color w:val="auto"/>
        </w:rPr>
        <w:t>Failure to comply with requirements to maintain effective internal controls could have a material adverse effect on our business and stock price, and any failure to maintain financial controls could result in our financial statements becoming unreliable. We currently have a material weakness in our internal controls over financial reporting.</w:t>
      </w:r>
    </w:p>
    <w:p>
      <w:pPr>
        <w:spacing w:after="0" w:line="71"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to meet our reporting obligations as a public company. The process of maintaining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maintain appropriate internal financial reporting controls and procedures, it could cause us to fail to meet our reporting obligations on a timely basis, result in material misstatements in our consolidated financial statements and harm our results of operations. In addition, we are required, pursuant to Section 404(a) of the Sarbanes-Oxley Act, or Section 404, to furnish a report by management on, among other things, the effectiveness of our internal control over financial reporting in each Annual Report on Form 10-K. This assessment includes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is also required to issue an attestation report on the effectiveness of our internal controls in each Annual Report on Form 10-K.</w:t>
      </w:r>
    </w:p>
    <w:p>
      <w:pPr>
        <w:spacing w:after="0" w:line="61"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80"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As previously disclosed in our Annual Report, management had identified a control deficiency that constituted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The material weakness related to a deficiency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the design of entity level controls to identify and assess changes in our business environment that could significantly impact the system of internal control over financial reporting. In part due to errors discovered as a result of implementation of controls associated with a new lease accounting standard, the Company concluded this material weakness still exists as of June 29, 2019. While we have designed and implemented controls to remediate this material weakness, our efforts may not be successful. These remediation measures may be time consuming, costly, and may place significant demands on our financial and operational resources. If our efforts to remediate this material weakness are not successful, the remediated material weakness may reoccur or other material weaknesses could occur in the future. The financial results for periods prior to fiscal year 2018 have been revised to reflect corrections from the errors related to lease accounting as described in Note 1 in our </w:t>
      </w:r>
      <w:hyperlink r:id="rId17">
        <w:r>
          <w:rPr>
            <w:rFonts w:ascii="Arial" w:cs="Arial" w:eastAsia="Arial" w:hAnsi="Arial"/>
            <w:sz w:val="16"/>
            <w:szCs w:val="16"/>
            <w:u w:val="single" w:color="auto"/>
            <w:color w:val="0000EE"/>
          </w:rPr>
          <w:t>audited consolidated financial statements</w:t>
        </w:r>
      </w:hyperlink>
      <w:r>
        <w:rPr>
          <w:rFonts w:ascii="Arial" w:cs="Arial" w:eastAsia="Arial" w:hAnsi="Arial"/>
          <w:sz w:val="16"/>
          <w:szCs w:val="16"/>
          <w:color w:val="auto"/>
        </w:rPr>
        <w:t xml:space="preserve"> in our Annual Report, which is incorporated by reference in this prospectus supplement.</w:t>
      </w:r>
    </w:p>
    <w:p>
      <w:pPr>
        <w:spacing w:after="0" w:line="59"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Our testing, or the testing by our independent registered public accounting firm, has revealed and may continue to reveal deficiencies in our internal controls over financial reporting that are deemed to be material weaknesses. Newly-identified material weaknesses could result in a material misstatement of our annual or quarterly consolidated financial statements or disclosures that may not be prevented or detected.</w:t>
      </w:r>
    </w:p>
    <w:p>
      <w:pPr>
        <w:spacing w:after="0" w:line="7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5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75"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 After the completion of the offering and concurrent share repurchase, substantially all of the outstanding shares of our common stock will be available for resale in the public market.</w:t>
      </w:r>
    </w:p>
    <w:p>
      <w:pPr>
        <w:spacing w:after="0" w:line="64"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Upon the consummation of this offering, of our outstanding shares, the 61,084,852 shares sold in the IPO and in the secondary offerings of our common stock in March 2018, July 2018 (for which the overallotment option closed in early August) and November 2018, and any shares sold in this offering, will be freely tradable without restriction or further registration under the Securities Act of 1933, as amended, or the Securities Act.</w:t>
      </w:r>
    </w:p>
    <w:p>
      <w:pPr>
        <w:spacing w:after="0" w:line="79"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Additionally, in connection with prior secondary offerings, our Board of Directors, pursuant to the management stockholder’s agreements and director stockholder’s agreements, elected to waive the transfer restrictions with respect to a number of shares of our common stock that management stockholders and director stockholders not participating in those offerings would have been eligible to sell in those offerings if they had exercised their piggyback registration rights. In connection with the secondary offerings in July 2018 and November 2018, the Board of Directors also elected to waive the transfer restrictions with respect to a portion of the shares underlying the performance-based options that vested upon the consummation of these offerings. In connection with this offering, our Board of Directors will elect to completely waive all remaining transfer restrictions in the management stockholder’s agreements and director stockholder’s agreements with respect to shares of common stock, restricted stock and options held by management stockholders and director stockholders. Certain of these shares are held by non-executive officers and non-directors and, as such, may be sold during the 30-day lock-up period after this offering, subject to compliance with our securities trading policy and applicable securities laws.</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this offering, we, our directors and executive officers will sign lock-up agreements with the underwriter that</w:t>
      </w:r>
    </w:p>
    <w:p>
      <w:pPr>
        <w:spacing w:after="0" w:line="4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will, subject to certain exceptions (including with respect to the shares of our common stock to be sold in the concurrent share repurchase), restrict the disposition of, or hedging with respect to, the shares of our common stock or securities convertible into or exchangeable for shares of common stock, each held by them for 30 days following the date of this prospectus supplement, except with the prior written consent of the underwriter. See “Underwriting” for a description of these lock-up agreements.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shares of common stock held by our directors and executive officers after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w:t>
      </w:r>
    </w:p>
    <w:p>
      <w:pPr>
        <w:spacing w:after="0" w:line="39"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Certain of our stockholders have “piggyback” registration rights with respect to future registered offerings of our common stock. Registration of any of these outstanding shares of common stock would result in such shares becoming freely tradable without compliance with Rule 144 upon effectiveness of the registration statement.</w:t>
      </w:r>
    </w:p>
    <w:p>
      <w:pPr>
        <w:spacing w:after="0" w:line="73"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July 31, 2019, there were stock options outstanding to purchase a total of 6,577,599 shares of our common stock and 314,166 shares of our common stock subject to restricted stock units. In addition, as of July 31, 2019, 3,793,920 shares of our common stock were reserved for future issuance under our incentive plans. In addition, we have reserved a total of 850,000 shares of our common stock for issuance under the 2018 Associate Stock Purchase Plan, of which 31,027 shares have been issued as of July 31, 2019. We have filed a registration statement on Form S-8 to register such shares and any shares purchased under our 2018 Associate Stock Purchase Plan will be available for sale in the open market, unless such shares are subject to Rule 144 limitations applicable to affiliates.</w:t>
      </w:r>
    </w:p>
    <w:p>
      <w:pPr>
        <w:spacing w:after="0" w:line="7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9"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700" w:right="34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3" w:lineRule="exact"/>
        <w:rPr>
          <w:rFonts w:ascii="Arial" w:cs="Arial" w:eastAsia="Arial" w:hAnsi="Arial"/>
          <w:sz w:val="18"/>
          <w:szCs w:val="18"/>
          <w:color w:val="auto"/>
        </w:rPr>
      </w:pPr>
    </w:p>
    <w:p>
      <w:pPr>
        <w:ind w:left="700" w:right="40" w:hanging="356"/>
        <w:spacing w:after="0" w:line="239"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shares of common stock entitled to vote generally in the election of directors; and</w:t>
      </w:r>
    </w:p>
    <w:p>
      <w:pPr>
        <w:spacing w:after="0" w:line="1" w:lineRule="exact"/>
        <w:rPr>
          <w:rFonts w:ascii="Arial" w:cs="Arial" w:eastAsia="Arial" w:hAnsi="Arial"/>
          <w:sz w:val="18"/>
          <w:szCs w:val="18"/>
          <w:color w:val="auto"/>
        </w:rPr>
      </w:pPr>
    </w:p>
    <w:p>
      <w:pPr>
        <w:ind w:left="700" w:right="60" w:hanging="356"/>
        <w:spacing w:after="0" w:line="239"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shares of common stock entitled to vote generally in the election of directors.</w:t>
      </w:r>
    </w:p>
    <w:p>
      <w:pPr>
        <w:spacing w:after="0" w:line="96"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 in the accompanying prospectus.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6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6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8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74"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Certain matters we discuss in this prospectus supplement and the accompanying prospectus and in the documents we incorporate by reference herein or therein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5" w:lineRule="exact"/>
        <w:rPr>
          <w:sz w:val="20"/>
          <w:szCs w:val="20"/>
          <w:color w:val="auto"/>
        </w:rPr>
      </w:pPr>
    </w:p>
    <w:p>
      <w:pPr>
        <w:ind w:firstLine="360"/>
        <w:spacing w:after="0" w:line="276" w:lineRule="auto"/>
        <w:rPr>
          <w:rFonts w:ascii="Arial" w:cs="Arial" w:eastAsia="Arial" w:hAnsi="Arial"/>
          <w:sz w:val="17"/>
          <w:szCs w:val="17"/>
          <w:color w:val="auto"/>
        </w:rPr>
      </w:pPr>
      <w:r>
        <w:rPr>
          <w:rFonts w:ascii="Arial" w:cs="Arial" w:eastAsia="Arial" w:hAnsi="Arial"/>
          <w:sz w:val="17"/>
          <w:szCs w:val="17"/>
          <w:color w:val="auto"/>
        </w:rPr>
        <w:t xml:space="preserve">There are a number of risks, uncertainties, and other important factors, many of which are beyond our control, that could cause our actual results to differ materially from the forward-looking statements contained or incorporated by reference in this prospectus supplement and the accompanying prospectus. Such risks, uncertainties, and other important factors include, among others, the risks, uncertainties and factors set forth under “Risk Factors” in this prospectus supplement and </w:t>
      </w:r>
      <w:hyperlink r:id="rId15">
        <w:r>
          <w:rPr>
            <w:rFonts w:ascii="Arial" w:cs="Arial" w:eastAsia="Arial" w:hAnsi="Arial"/>
            <w:sz w:val="17"/>
            <w:szCs w:val="17"/>
            <w:u w:val="single" w:color="auto"/>
            <w:color w:val="0000EE"/>
          </w:rPr>
          <w:t>“Risk Factors”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 our Annual Report, which is incorporated herein by reference, and the following:</w:t>
      </w:r>
    </w:p>
    <w:p>
      <w:pPr>
        <w:spacing w:after="0" w:line="64" w:lineRule="exact"/>
        <w:rPr>
          <w:sz w:val="20"/>
          <w:szCs w:val="20"/>
          <w:color w:val="auto"/>
        </w:rPr>
      </w:pPr>
    </w:p>
    <w:p>
      <w:pPr>
        <w:ind w:left="700" w:hanging="356"/>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80" w:hanging="356"/>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requirements to maintain effective internal controls.</w:t>
      </w:r>
    </w:p>
    <w:p>
      <w:pPr>
        <w:spacing w:after="0" w:line="117" w:lineRule="exact"/>
        <w:rPr>
          <w:sz w:val="20"/>
          <w:szCs w:val="20"/>
          <w:color w:val="auto"/>
        </w:rPr>
      </w:pPr>
    </w:p>
    <w:p>
      <w:pPr>
        <w:ind w:right="200" w:firstLine="360"/>
        <w:spacing w:after="0" w:line="273" w:lineRule="auto"/>
        <w:rPr>
          <w:rFonts w:ascii="Arial" w:cs="Arial" w:eastAsia="Arial" w:hAnsi="Arial"/>
          <w:sz w:val="17"/>
          <w:szCs w:val="17"/>
          <w:color w:val="0000EE"/>
        </w:rPr>
      </w:pPr>
      <w:r>
        <w:rPr>
          <w:rFonts w:ascii="Arial" w:cs="Arial" w:eastAsia="Arial" w:hAnsi="Arial"/>
          <w:sz w:val="17"/>
          <w:szCs w:val="17"/>
          <w:color w:val="auto"/>
        </w:rPr>
        <w:t xml:space="preserve">There may be other factors that could cause our actual results to differ materially from the forward-looking statements, </w:t>
      </w:r>
      <w:hyperlink r:id="rId16">
        <w:r>
          <w:rPr>
            <w:rFonts w:ascii="Arial" w:cs="Arial" w:eastAsia="Arial" w:hAnsi="Arial"/>
            <w:sz w:val="17"/>
            <w:szCs w:val="17"/>
            <w:color w:val="auto"/>
          </w:rPr>
          <w:t xml:space="preserve">including factors disclosed under “Risk Factors” in this prospectus supplement and under </w:t>
        </w:r>
        <w:r>
          <w:rPr>
            <w:rFonts w:ascii="Arial" w:cs="Arial" w:eastAsia="Arial" w:hAnsi="Arial"/>
            <w:sz w:val="17"/>
            <w:szCs w:val="17"/>
            <w:u w:val="single" w:color="auto"/>
            <w:color w:val="0000EE"/>
          </w:rPr>
          <w:t>“Risk Factors”</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“Management’s</w:t>
        </w:r>
      </w:hyperlink>
      <w:r>
        <w:rPr>
          <w:rFonts w:ascii="Arial" w:cs="Arial" w:eastAsia="Arial" w:hAnsi="Arial"/>
          <w:sz w:val="17"/>
          <w:szCs w:val="17"/>
          <w:color w:val="auto"/>
        </w:rPr>
        <w:t xml:space="preserve"> </w:t>
      </w:r>
      <w:hyperlink r:id="rId18">
        <w:r>
          <w:rPr>
            <w:rFonts w:ascii="Arial" w:cs="Arial" w:eastAsia="Arial" w:hAnsi="Arial"/>
            <w:sz w:val="17"/>
            <w:szCs w:val="17"/>
            <w:u w:val="single" w:color="auto"/>
            <w:color w:val="0000EE"/>
          </w:rPr>
          <w:t>Discussion and Analysis of Financial Condition and Results of Operations”</w:t>
        </w:r>
        <w:r>
          <w:rPr>
            <w:rFonts w:ascii="Arial" w:cs="Arial" w:eastAsia="Arial" w:hAnsi="Arial"/>
            <w:sz w:val="17"/>
            <w:szCs w:val="17"/>
            <w:color w:val="0000EE"/>
          </w:rPr>
          <w:t xml:space="preserve"> </w:t>
        </w:r>
        <w:r>
          <w:rPr>
            <w:rFonts w:ascii="Arial" w:cs="Arial" w:eastAsia="Arial" w:hAnsi="Arial"/>
            <w:sz w:val="17"/>
            <w:szCs w:val="17"/>
            <w:color w:val="000000"/>
          </w:rPr>
          <w:t>in our Annual Report and</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“Management’s Discussion</w:t>
        </w:r>
      </w:hyperlink>
      <w:r>
        <w:rPr>
          <w:rFonts w:ascii="Arial" w:cs="Arial" w:eastAsia="Arial" w:hAnsi="Arial"/>
          <w:sz w:val="17"/>
          <w:szCs w:val="17"/>
          <w:color w:val="0000EE"/>
        </w:rPr>
        <w:t xml:space="preserve"> </w:t>
      </w:r>
      <w:hyperlink r:id="rId18">
        <w:r>
          <w:rPr>
            <w:rFonts w:ascii="Arial" w:cs="Arial" w:eastAsia="Arial" w:hAnsi="Arial"/>
            <w:sz w:val="17"/>
            <w:szCs w:val="17"/>
            <w:u w:val="single" w:color="auto"/>
            <w:color w:val="0000EE"/>
          </w:rPr>
          <w:t>and Analysis of Financial Condition and Results of Operations”</w:t>
        </w:r>
        <w:r>
          <w:rPr>
            <w:rFonts w:ascii="Arial" w:cs="Arial" w:eastAsia="Arial" w:hAnsi="Arial"/>
            <w:sz w:val="17"/>
            <w:szCs w:val="17"/>
            <w:color w:val="0000EE"/>
          </w:rPr>
          <w:t xml:space="preserve"> </w:t>
        </w:r>
        <w:r>
          <w:rPr>
            <w:rFonts w:ascii="Arial" w:cs="Arial" w:eastAsia="Arial" w:hAnsi="Arial"/>
            <w:sz w:val="17"/>
            <w:szCs w:val="17"/>
            <w:color w:val="000000"/>
          </w:rPr>
          <w:t>in our Quarterly Reports, which are incorporated herein by</w:t>
        </w:r>
      </w:hyperlink>
      <w:r>
        <w:rPr>
          <w:rFonts w:ascii="Arial" w:cs="Arial" w:eastAsia="Arial" w:hAnsi="Arial"/>
          <w:sz w:val="17"/>
          <w:szCs w:val="17"/>
          <w:color w:val="0000EE"/>
        </w:rPr>
        <w:t xml:space="preserve"> </w:t>
      </w:r>
      <w:r>
        <w:rPr>
          <w:rFonts w:ascii="Arial" w:cs="Arial" w:eastAsia="Arial" w:hAnsi="Arial"/>
          <w:sz w:val="17"/>
          <w:szCs w:val="17"/>
          <w:color w:val="000000"/>
        </w:rPr>
        <w:t>reference. You should evaluate all forward-looking statements made, or incorporated by reference, in this prospectus supplement and the accompanying prospectus in the context of these risks and uncertainties.</w:t>
      </w:r>
    </w:p>
    <w:p>
      <w:pPr>
        <w:spacing w:after="0" w:line="70" w:lineRule="exact"/>
        <w:rPr>
          <w:rFonts w:ascii="Arial" w:cs="Arial" w:eastAsia="Arial" w:hAnsi="Arial"/>
          <w:sz w:val="17"/>
          <w:szCs w:val="17"/>
          <w:color w:val="auto"/>
        </w:rPr>
      </w:pPr>
    </w:p>
    <w:p>
      <w:pPr>
        <w:ind w:firstLine="360"/>
        <w:spacing w:after="0" w:line="269"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prospectus supplement and the accompanying prospectus or in the documents incorporated by reference herein or therein apply only as of the date made and are expressly qualified in their entirety by the cautionary statements included in this prospectus supplement and the accompanying prospectus or in the documents incorporated by reference herein or therein. We undertake no obligation to publicly update or revise any forward-looking statements to reflect subsequent events or circumstances.</w:t>
      </w:r>
    </w:p>
    <w:p>
      <w:pPr>
        <w:spacing w:after="0" w:line="183"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selling stockholder will receive all of the net proceeds from the sale of shares of our common stock offered pursuant to this prospectus supplement. We will not receive any proceeds from the sale of shares being sold in this offering. The selling stockholder will bear the underwriting commissions and discounts, if any, attributable to its sale of our common stock, and we will bear the remaining expenses. See “Selling Stockholder.”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If we elect to pay such dividends in the future, we may reduce or discontinue entirely the payment of such dividends at any time.</w:t>
      </w:r>
    </w:p>
    <w:p>
      <w:pPr>
        <w:spacing w:after="0" w:line="71"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Persons Transaction Policy</w:t>
      </w:r>
    </w:p>
    <w:p>
      <w:pPr>
        <w:spacing w:after="0" w:line="121"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In connection with our IPO, our Board of Directors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our Board of Directors or a committee of our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In connection with our IPO, we entered into a stockholders agreement with affiliates of KKR.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grants affiliates of KKR the right to nominate to our board of directors a number of designees equal to at least 10% of the total number of directors comprising our board of directors at such time as long as affiliates of KKR beneficially own at least 5% but less than 20% of the outstanding shares of our common stock. For purposes of calculating the number of directors that affiliates of KKR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(11⁄4) directors shall equate to two directors). In addition, in the event a vacancy on the board of directors is created by the death, disability, retirement or resignation of a KKR director designee, affiliates of KKR who designated such director shall, to the fullest extent permitted by law, have the right to have the vacancy filled by a new KKR director-designee.</w:t>
      </w:r>
    </w:p>
    <w:p>
      <w:pPr>
        <w:spacing w:after="0" w:line="59"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After the completion of this offering and the concurrent share repurchase, we expect that affiliates of KKR will not hold any shares of our common stock outstanding and as such, will no longer have the board nomination rights.</w:t>
      </w:r>
    </w:p>
    <w:p>
      <w:pPr>
        <w:spacing w:after="0" w:line="62"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b w:val="1"/>
          <w:bCs w:val="1"/>
          <w:i w:val="1"/>
          <w:iCs w:val="1"/>
          <w:color w:val="auto"/>
        </w:rPr>
        <w:t xml:space="preserve">Registration Rights Agreement. </w:t>
      </w:r>
      <w:r>
        <w:rPr>
          <w:rFonts w:ascii="Arial" w:cs="Arial" w:eastAsia="Arial" w:hAnsi="Arial"/>
          <w:sz w:val="16"/>
          <w:szCs w:val="16"/>
          <w:color w:val="auto"/>
        </w:rPr>
        <w:t>In connection with the KKR Acquisition, we entered into a registration rights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affiliates of KKR and Berkshire and with other persons who may become party thereto. Subject to certain conditions, the registration rights agreement provides certain affiliates of KKR with an unlimited number of “demand” registrations. Under the registration rights agreement, all holders of registrable securities party thereto are provided with customary “piggyback” registration rights,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57"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b w:val="1"/>
          <w:bCs w:val="1"/>
          <w:i w:val="1"/>
          <w:iCs w:val="1"/>
          <w:color w:val="auto"/>
        </w:rPr>
        <w:t xml:space="preserve">Indemnification Agreement with KKR. </w:t>
      </w:r>
      <w:r>
        <w:rPr>
          <w:rFonts w:ascii="Arial" w:cs="Arial" w:eastAsia="Arial" w:hAnsi="Arial"/>
          <w:sz w:val="16"/>
          <w:szCs w:val="16"/>
          <w:color w:val="auto"/>
        </w:rPr>
        <w:t>In connection with the KKR Acquisition, we and certain of our subsidiaries entered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an indemnification agreement, or the Indemnification Agreement, with KKR, whereby the parties agreed to customary exculpation and indemnification provisions in favor of KKR in connection with certain transactions, including in connection with the services provided under a monitoring agreement entered into between NVI and KKR in connection with the KKR Acquisition.</w:t>
      </w:r>
    </w:p>
    <w:p>
      <w:pPr>
        <w:spacing w:after="0" w:line="46"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Relationship with KKR Capital Markets. </w:t>
      </w:r>
      <w:r>
        <w:rPr>
          <w:rFonts w:ascii="Arial" w:cs="Arial" w:eastAsia="Arial" w:hAnsi="Arial"/>
          <w:sz w:val="18"/>
          <w:szCs w:val="18"/>
          <w:color w:val="auto"/>
        </w:rPr>
        <w:t>KKR Capital Markets LLC, or KCM, an affiliate of KKR, (i) acted as a joint lead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arranger with respect to the joinder and amendment and restatement agreement, dated as of July 18, 2019, relating to the first lien credit agreement and received $1.0 million in fees in connection therewith and (ii) acted as a lead arranger with respect to the joinder and amendment agreement, dated as of October 9, 2018, relating to the first lien credit agreement, and received $1.2 million in fees in connection therewith.</w:t>
      </w:r>
    </w:p>
    <w:p>
      <w:pPr>
        <w:spacing w:after="0" w:line="8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KCM also acted as an underwriter in connection with the secondary offering of our common stock in March 2018 and the secondary offering of our common stock in July 2018 (for which the overallotment option closed in early August), and received fees of approximately $3.0 million and $4.0 million, respectively.</w:t>
      </w:r>
    </w:p>
    <w:p>
      <w:pPr>
        <w:spacing w:after="0" w:line="73"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b w:val="1"/>
          <w:bCs w:val="1"/>
          <w:i w:val="1"/>
          <w:iCs w:val="1"/>
          <w:color w:val="auto"/>
        </w:rPr>
        <w:t xml:space="preserve">Relationship with KKR Capstone. </w:t>
      </w:r>
      <w:r>
        <w:rPr>
          <w:rFonts w:ascii="Arial" w:cs="Arial" w:eastAsia="Arial" w:hAnsi="Arial"/>
          <w:sz w:val="18"/>
          <w:szCs w:val="18"/>
          <w:color w:val="auto"/>
        </w:rPr>
        <w:t>We have utilized and may continue to utilize KKR Capstone Americas LLC and/or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or KKR Capstone, a consulting company that works exclusively with portfolio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73"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b w:val="1"/>
          <w:bCs w:val="1"/>
          <w:i w:val="1"/>
          <w:iCs w:val="1"/>
          <w:color w:val="auto"/>
        </w:rPr>
        <w:t xml:space="preserve">Management Stockholder’s Agreements. </w:t>
      </w:r>
      <w:r>
        <w:rPr>
          <w:rFonts w:ascii="Arial" w:cs="Arial" w:eastAsia="Arial" w:hAnsi="Arial"/>
          <w:sz w:val="18"/>
          <w:szCs w:val="18"/>
          <w:color w:val="auto"/>
        </w:rPr>
        <w:t>In connection with the KKR Acquisition and thereafter, we entered into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agreements, or Management Stockholder’s Agreements, with certain of our senior executive officers and other employees who made an equity investment in us or were granted equity based awards.</w:t>
      </w:r>
    </w:p>
    <w:p>
      <w:pPr>
        <w:spacing w:after="0" w:line="73"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The Management Stockholder’s Agreements impose significant restrictions on transfers of shares of our common stock held by management stockholders. Generally, shares will be nontransferable by any means at any time prior to a “Change in Control” (as defined in the applicable Management Stockholder’s Agreement)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 In connection with this offering, our Board of Directors will elect to completely waive all remaining transfer restrictions in the Management Stockholder’s Agreements.</w:t>
      </w:r>
    </w:p>
    <w:p>
      <w:pPr>
        <w:spacing w:after="0" w:line="74"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3"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Additionally, management stockholders have limited “piggyback” registration rights with respect to their shares of common stock.</w:t>
      </w:r>
    </w:p>
    <w:p>
      <w:pPr>
        <w:spacing w:after="0" w:line="62" w:lineRule="exact"/>
        <w:rPr>
          <w:sz w:val="20"/>
          <w:szCs w:val="20"/>
          <w:color w:val="auto"/>
        </w:rPr>
      </w:pPr>
    </w:p>
    <w:p>
      <w:pPr>
        <w:ind w:right="60" w:firstLine="360"/>
        <w:spacing w:after="0" w:line="342"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Agreements with Directors and Officers. </w:t>
      </w:r>
      <w:r>
        <w:rPr>
          <w:rFonts w:ascii="Arial" w:cs="Arial" w:eastAsia="Arial" w:hAnsi="Arial"/>
          <w:sz w:val="16"/>
          <w:szCs w:val="16"/>
          <w:color w:val="auto"/>
        </w:rPr>
        <w:t>In addition, we have certain agreements with our directors and officers which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described in </w:t>
      </w:r>
      <w:hyperlink r:id="rId46">
        <w:r>
          <w:rPr>
            <w:rFonts w:ascii="Arial" w:cs="Arial" w:eastAsia="Arial" w:hAnsi="Arial"/>
            <w:sz w:val="16"/>
            <w:szCs w:val="16"/>
            <w:u w:val="single" w:color="auto"/>
            <w:color w:val="0000EE"/>
          </w:rPr>
          <w:t>“Executive Compensation”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incorporated by reference in our Annual Report, which is incorporated by reference herein.</w:t>
      </w:r>
    </w:p>
    <w:p>
      <w:pPr>
        <w:spacing w:after="0" w:line="16"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connection with our IPO, we entered into indemnification agreements with our directors.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we have been informed that in the opinion of the SEC such indemnification is against public policy and is therefore unenforceable. There is currently no pending material litigation or proceeding involving any of our directors for which indemnification is sought.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5" w:name="page26"/>
    <w:bookmarkEnd w:id="25"/>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SELLING STOCKHOLDER</w:t>
      </w:r>
    </w:p>
    <w:p>
      <w:pPr>
        <w:spacing w:after="0" w:line="121" w:lineRule="exact"/>
        <w:rPr>
          <w:sz w:val="20"/>
          <w:szCs w:val="20"/>
          <w:color w:val="auto"/>
        </w:rPr>
      </w:pPr>
    </w:p>
    <w:p>
      <w:pPr>
        <w:jc w:val="both"/>
        <w:ind w:left="7" w:right="240" w:firstLine="360"/>
        <w:spacing w:after="0" w:line="312" w:lineRule="auto"/>
        <w:rPr>
          <w:sz w:val="20"/>
          <w:szCs w:val="20"/>
          <w:color w:val="auto"/>
        </w:rPr>
      </w:pPr>
      <w:r>
        <w:rPr>
          <w:rFonts w:ascii="Arial" w:cs="Arial" w:eastAsia="Arial" w:hAnsi="Arial"/>
          <w:sz w:val="16"/>
          <w:szCs w:val="16"/>
          <w:color w:val="auto"/>
        </w:rPr>
        <w:t>The following table and accompanying footnotes set forth information with respect to the beneficial ownership of the selling stockholder, the number of shares of our common stock offered hereby by the selling stockholder and information with respect to shares to be beneficially owned by the selling stockholder after completion of this offering and the concurrent share repurchase.</w:t>
      </w:r>
    </w:p>
    <w:p>
      <w:pPr>
        <w:spacing w:after="0" w:line="39" w:lineRule="exact"/>
        <w:rPr>
          <w:sz w:val="20"/>
          <w:szCs w:val="20"/>
          <w:color w:val="auto"/>
        </w:rPr>
      </w:pPr>
    </w:p>
    <w:p>
      <w:pPr>
        <w:ind w:left="7" w:right="200" w:firstLine="360"/>
        <w:spacing w:after="0" w:line="291" w:lineRule="auto"/>
        <w:rPr>
          <w:sz w:val="20"/>
          <w:szCs w:val="20"/>
          <w:color w:val="auto"/>
        </w:rPr>
      </w:pPr>
      <w:r>
        <w:rPr>
          <w:rFonts w:ascii="Arial" w:cs="Arial" w:eastAsia="Arial" w:hAnsi="Arial"/>
          <w:sz w:val="16"/>
          <w:szCs w:val="16"/>
          <w:color w:val="auto"/>
        </w:rPr>
        <w:t>The number of shares and percentages of beneficial ownership provided in the table below are based on the beneficial ownership as of July 31, 2019 and are based on 78,524,731 shares of our common stock, par value $0.01 per share, outstanding as</w:t>
      </w:r>
    </w:p>
    <w:p>
      <w:pPr>
        <w:ind w:left="7" w:right="320"/>
        <w:spacing w:after="0" w:line="261" w:lineRule="auto"/>
        <w:rPr>
          <w:sz w:val="20"/>
          <w:szCs w:val="20"/>
          <w:color w:val="auto"/>
        </w:rPr>
      </w:pPr>
      <w:r>
        <w:rPr>
          <w:rFonts w:ascii="Arial" w:cs="Arial" w:eastAsia="Arial" w:hAnsi="Arial"/>
          <w:sz w:val="18"/>
          <w:szCs w:val="18"/>
          <w:color w:val="auto"/>
        </w:rPr>
        <w:t>of July 31, 2019 and, where indicated, give effect to the repurchase by us of shares of our common stock in the concurrent share repurchase.</w:t>
      </w:r>
    </w:p>
    <w:p>
      <w:pPr>
        <w:spacing w:after="0" w:line="76" w:lineRule="exact"/>
        <w:rPr>
          <w:sz w:val="20"/>
          <w:szCs w:val="20"/>
          <w:color w:val="auto"/>
        </w:rPr>
      </w:pPr>
    </w:p>
    <w:p>
      <w:pPr>
        <w:jc w:val="both"/>
        <w:ind w:left="7" w:right="120" w:firstLine="360"/>
        <w:spacing w:after="0" w:line="264"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3" w:lineRule="exact"/>
        <w:rPr>
          <w:sz w:val="20"/>
          <w:szCs w:val="20"/>
          <w:color w:val="auto"/>
        </w:rPr>
      </w:pPr>
    </w:p>
    <w:p>
      <w:pPr>
        <w:ind w:left="7" w:right="60" w:firstLine="360"/>
        <w:spacing w:after="0" w:line="329" w:lineRule="auto"/>
        <w:rPr>
          <w:sz w:val="20"/>
          <w:szCs w:val="20"/>
          <w:color w:val="auto"/>
        </w:rPr>
      </w:pPr>
      <w:r>
        <w:rPr>
          <w:rFonts w:ascii="Arial" w:cs="Arial" w:eastAsia="Arial" w:hAnsi="Arial"/>
          <w:sz w:val="16"/>
          <w:szCs w:val="16"/>
          <w:color w:val="auto"/>
        </w:rPr>
        <w:t>To our knowledge, unless otherwise noted in the footnotes to the table below, and subject to applicable community property laws, the persons named in the table have sole voting and investment power with respect to their beneficially owned common stock.</w:t>
      </w: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Shares Beneficially Owned</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Shares Beneficially Owned</w:t>
            </w: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Prior to the Offering and</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7"/>
              </w:rPr>
              <w:t>After</w:t>
            </w: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the Concurrent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Shares to be Sold in this</w:t>
            </w:r>
          </w:p>
        </w:tc>
        <w:tc>
          <w:tcPr>
            <w:tcW w:w="180" w:type="dxa"/>
            <w:vAlign w:val="bottom"/>
          </w:tcPr>
          <w:p>
            <w:pPr>
              <w:spacing w:after="0"/>
              <w:rPr>
                <w:sz w:val="14"/>
                <w:szCs w:val="14"/>
                <w:color w:val="auto"/>
              </w:rPr>
            </w:pPr>
          </w:p>
        </w:tc>
        <w:tc>
          <w:tcPr>
            <w:tcW w:w="2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the Offering and the Concurrent Share</w:t>
            </w:r>
          </w:p>
        </w:tc>
      </w:tr>
      <w:tr>
        <w:trPr>
          <w:trHeight w:val="17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Repurchase</w:t>
            </w:r>
          </w:p>
        </w:tc>
        <w:tc>
          <w:tcPr>
            <w:tcW w:w="18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946"/>
              <w:spacing w:after="0"/>
              <w:rPr>
                <w:sz w:val="20"/>
                <w:szCs w:val="20"/>
                <w:color w:val="auto"/>
              </w:rPr>
            </w:pPr>
            <w:r>
              <w:rPr>
                <w:rFonts w:ascii="Arial" w:cs="Arial" w:eastAsia="Arial" w:hAnsi="Arial"/>
                <w:sz w:val="14"/>
                <w:szCs w:val="14"/>
                <w:b w:val="1"/>
                <w:bCs w:val="1"/>
                <w:color w:val="auto"/>
                <w:w w:val="89"/>
              </w:rPr>
              <w:t>Repurchase</w:t>
            </w:r>
          </w:p>
        </w:tc>
        <w:tc>
          <w:tcPr>
            <w:tcW w:w="1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of Total</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Percentage of Total</w:t>
            </w:r>
          </w:p>
        </w:tc>
      </w:tr>
      <w:tr>
        <w:trPr>
          <w:trHeight w:val="178"/>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Owner</w:t>
            </w:r>
          </w:p>
        </w:tc>
        <w:tc>
          <w:tcPr>
            <w:tcW w:w="860" w:type="dxa"/>
            <w:vAlign w:val="bottom"/>
          </w:tcPr>
          <w:p>
            <w:pPr>
              <w:jc w:val="right"/>
              <w:ind w:right="106"/>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Common Stock</w:t>
            </w:r>
          </w:p>
        </w:tc>
      </w:tr>
      <w:tr>
        <w:trPr>
          <w:trHeight w:val="230"/>
        </w:trPr>
        <w:tc>
          <w:tcPr>
            <w:tcW w:w="20" w:type="dxa"/>
            <w:vAlign w:val="bottom"/>
          </w:tcPr>
          <w:p>
            <w:pPr>
              <w:spacing w:after="0"/>
              <w:rPr>
                <w:sz w:val="19"/>
                <w:szCs w:val="19"/>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Selling Stockholder:</w:t>
            </w:r>
          </w:p>
        </w:tc>
        <w:tc>
          <w:tcPr>
            <w:tcW w:w="18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6"/>
                <w:szCs w:val="16"/>
                <w:color w:val="auto"/>
              </w:rPr>
              <w:t>KKR Vision Aggregator L.P.</w:t>
            </w:r>
            <w:r>
              <w:rPr>
                <w:rFonts w:ascii="Arial" w:cs="Arial" w:eastAsia="Arial" w:hAnsi="Arial"/>
                <w:sz w:val="27"/>
                <w:szCs w:val="27"/>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9,149,908</w:t>
            </w:r>
          </w:p>
        </w:tc>
        <w:tc>
          <w:tcPr>
            <w:tcW w:w="1260" w:type="dxa"/>
            <w:vAlign w:val="bottom"/>
            <w:gridSpan w:val="3"/>
          </w:tcPr>
          <w:p>
            <w:pPr>
              <w:jc w:val="right"/>
              <w:ind w:right="100"/>
              <w:spacing w:after="0"/>
              <w:rPr>
                <w:sz w:val="20"/>
                <w:szCs w:val="20"/>
                <w:color w:val="auto"/>
              </w:rPr>
            </w:pPr>
            <w:r>
              <w:rPr>
                <w:rFonts w:ascii="Arial" w:cs="Arial" w:eastAsia="Arial" w:hAnsi="Arial"/>
                <w:sz w:val="16"/>
                <w:szCs w:val="16"/>
                <w:color w:val="auto"/>
              </w:rPr>
              <w:t>11.6%</w:t>
            </w:r>
          </w:p>
        </w:tc>
        <w:tc>
          <w:tcPr>
            <w:tcW w:w="1700" w:type="dxa"/>
            <w:vAlign w:val="bottom"/>
          </w:tcPr>
          <w:p>
            <w:pPr>
              <w:jc w:val="right"/>
              <w:spacing w:after="0"/>
              <w:rPr>
                <w:sz w:val="20"/>
                <w:szCs w:val="20"/>
                <w:color w:val="auto"/>
              </w:rPr>
            </w:pPr>
            <w:r>
              <w:rPr>
                <w:rFonts w:ascii="Arial" w:cs="Arial" w:eastAsia="Arial" w:hAnsi="Arial"/>
                <w:sz w:val="16"/>
                <w:szCs w:val="16"/>
                <w:color w:val="auto"/>
              </w:rPr>
              <w:t>9,149,908</w:t>
            </w:r>
          </w:p>
        </w:tc>
        <w:tc>
          <w:tcPr>
            <w:tcW w:w="180" w:type="dxa"/>
            <w:vAlign w:val="bottom"/>
          </w:tcPr>
          <w:p>
            <w:pPr>
              <w:spacing w:after="0"/>
              <w:rPr>
                <w:sz w:val="24"/>
                <w:szCs w:val="24"/>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4"/>
                <w:szCs w:val="24"/>
                <w:color w:val="auto"/>
              </w:rPr>
            </w:pPr>
          </w:p>
        </w:tc>
        <w:tc>
          <w:tcPr>
            <w:tcW w:w="1840" w:type="dxa"/>
            <w:vAlign w:val="bottom"/>
            <w:gridSpan w:val="2"/>
          </w:tcPr>
          <w:p>
            <w:pPr>
              <w:ind w:left="1540"/>
              <w:spacing w:after="0"/>
              <w:rPr>
                <w:sz w:val="20"/>
                <w:szCs w:val="20"/>
                <w:color w:val="auto"/>
              </w:rPr>
            </w:pPr>
            <w:r>
              <w:rPr>
                <w:rFonts w:ascii="Arial" w:cs="Arial" w:eastAsia="Arial" w:hAnsi="Arial"/>
                <w:sz w:val="16"/>
                <w:szCs w:val="16"/>
                <w:color w:val="auto"/>
                <w:w w:val="9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909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49" w:lineRule="exact"/>
        <w:rPr>
          <w:sz w:val="20"/>
          <w:szCs w:val="20"/>
          <w:color w:val="auto"/>
        </w:rPr>
      </w:pPr>
    </w:p>
    <w:p>
      <w:pPr>
        <w:ind w:left="347" w:right="20" w:hanging="347"/>
        <w:spacing w:after="0" w:line="264" w:lineRule="auto"/>
        <w:tabs>
          <w:tab w:leader="none" w:pos="347"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9,149,908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Corp., as the sole shareholder of KKR Fund Holdings GP Limited and a general partner of KKR Fund Holdings L.P., KKR &amp; Co. Inc., as the sole shareholder of KKR Group Holdings Corp., KKR Management LLC, as the Class B common stockholder of KKR &amp; Co. Inc.,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57th Street, Suite 4200, New York, NY 10019. The principal business address for Mr. Roberts is c/o Kohlberg Kravis Roberts &amp; Co. L.P., 2800 Sand Hill Road, Suite 200, Menlo Park, CA 94025. Mr. Taylor is a member of our Board of Directors and serves as an executive of Kohlberg Kravis Roberts &amp; Co. L.P. and/or one or more of its affiliates. Each of Messrs. Kravis, Roberts and Taylor disclaims beneficial ownership of the shares held by KKR Vision Aggregator L.P. The principal business address of Mr. Taylor is c/o Kohlberg Kravis Roberts &amp; Co. L.P., 9 West 57th Street, New York, New York 10019.</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AND ESTATE TAX CONSEQUENCES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NON-U.S. HOLDERS</w:t>
      </w:r>
    </w:p>
    <w:p>
      <w:pPr>
        <w:spacing w:after="0" w:line="8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that is not for United States federal income tax purposes any of the following:</w:t>
      </w:r>
    </w:p>
    <w:p>
      <w:pPr>
        <w:spacing w:after="0" w:line="62" w:lineRule="exact"/>
        <w:rPr>
          <w:sz w:val="20"/>
          <w:szCs w:val="20"/>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700" w:right="580" w:hanging="356"/>
        <w:spacing w:after="0" w:line="308"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700" w:right="440" w:hanging="356"/>
        <w:spacing w:after="0" w:line="286"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5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58" w:lineRule="exact"/>
        <w:rPr>
          <w:sz w:val="20"/>
          <w:szCs w:val="20"/>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United States expatriate;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“passive foreign investment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 exempt organization or governmental organization;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broker, dealer or trader in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partnership or other pass-through entity for U.S. federal income tax purposes;</w:t>
      </w:r>
    </w:p>
    <w:p>
      <w:pPr>
        <w:spacing w:after="0" w:line="117"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person who holds our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person who holds or receives our common stock pursuant to the exercise of any employee stock option or otherwise as compensation;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person deemed to sell our common stock under the constructive sale provisions of the Code.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that we make distributions of cash or property (other than certain pro rata distributions of our stock) in respect of our common stock, such distributions generally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generally will be treated first as a tax-free return of capital to the extent of the non-U.S. holder’s adjusted tax basis in our common stock, causing a reduction in the adjusted basis of the non-U.S. holder’s common stock. Any remaining excess will be treated as capital gain and will be treated as described below under “—Gain on Disposition of Common Stock.”</w:t>
      </w:r>
    </w:p>
    <w:p>
      <w:pPr>
        <w:spacing w:after="0" w:line="8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5"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Subject to the discussion of backup withholding below, any gain realized by a non-U.S. holder on the taxable disposition of our common stock generally will not be subject to United States federal income tax unless:</w:t>
      </w:r>
    </w:p>
    <w:p>
      <w:pPr>
        <w:spacing w:after="0" w:line="62" w:lineRule="exact"/>
        <w:rPr>
          <w:sz w:val="20"/>
          <w:szCs w:val="20"/>
          <w:color w:val="auto"/>
        </w:rPr>
      </w:pPr>
    </w:p>
    <w:p>
      <w:pPr>
        <w:ind w:left="700" w:right="20" w:hanging="356"/>
        <w:spacing w:after="0" w:line="342"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5" w:lineRule="exact"/>
        <w:rPr>
          <w:rFonts w:ascii="Arial" w:cs="Arial" w:eastAsia="Arial" w:hAnsi="Arial"/>
          <w:sz w:val="16"/>
          <w:szCs w:val="16"/>
          <w:color w:val="auto"/>
        </w:rPr>
      </w:pPr>
    </w:p>
    <w:p>
      <w:pPr>
        <w:ind w:left="700" w:right="32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6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tax equal to 30% (or such lower rate as may be specified by an applicable income tax treaty) on the gain derived from the sale, which may be offset by United States source capital losses, even though the individual is not considered a resident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80"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believe we are not and do not anticipate becoming a “United States real property holding corporation” for United States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5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United States federal income tax liability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Sections 1471 through 1474 of the Code, or such Sections commonly referred to as FATCA, a 30% United States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 w:name="page30"/>
    <w:bookmarkEnd w:id="29"/>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7" w:right="360" w:firstLine="360"/>
        <w:spacing w:after="0" w:line="288" w:lineRule="auto"/>
        <w:rPr>
          <w:sz w:val="20"/>
          <w:szCs w:val="20"/>
          <w:color w:val="auto"/>
        </w:rPr>
      </w:pPr>
      <w:r>
        <w:rPr>
          <w:rFonts w:ascii="Arial" w:cs="Arial" w:eastAsia="Arial" w:hAnsi="Arial"/>
          <w:sz w:val="16"/>
          <w:szCs w:val="16"/>
          <w:color w:val="auto"/>
        </w:rPr>
        <w:t>Goldman Sachs &amp; Co. LLC is acting as the underwriter for this offering. Subject to the terms and conditions set forth in an underwriting agreement among us, the selling stockholder and the underwriter, the selling stockholder has agreed to sell to the underwriter, and the underwriter has agreed to purchase from the selling stockholder, 9,149,908 shares of common stock, which</w:t>
      </w:r>
    </w:p>
    <w:p>
      <w:pPr>
        <w:ind w:left="7"/>
        <w:spacing w:after="0"/>
        <w:tabs>
          <w:tab w:leader="none" w:pos="1066" w:val="left"/>
        </w:tabs>
        <w:rPr>
          <w:sz w:val="20"/>
          <w:szCs w:val="20"/>
          <w:color w:val="auto"/>
        </w:rPr>
      </w:pPr>
      <w:r>
        <w:rPr>
          <w:rFonts w:ascii="Arial" w:cs="Arial" w:eastAsia="Arial" w:hAnsi="Arial"/>
          <w:sz w:val="18"/>
          <w:szCs w:val="18"/>
          <w:color w:val="auto"/>
        </w:rPr>
        <w:t>includes</w:t>
      </w:r>
      <w:r>
        <w:rPr>
          <w:sz w:val="20"/>
          <w:szCs w:val="20"/>
          <w:color w:val="auto"/>
        </w:rPr>
        <w:tab/>
      </w:r>
      <w:r>
        <w:rPr>
          <w:rFonts w:ascii="Arial" w:cs="Arial" w:eastAsia="Arial" w:hAnsi="Arial"/>
          <w:sz w:val="18"/>
          <w:szCs w:val="18"/>
          <w:color w:val="auto"/>
        </w:rPr>
        <w:t>shares of our common stock that we intend to repurchase from the underwriter.</w:t>
      </w:r>
    </w:p>
    <w:p>
      <w:pPr>
        <w:spacing w:after="0" w:line="103"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underwriter is committed to take and pay for all of the shares being offered, if any are taken.</w:t>
      </w:r>
    </w:p>
    <w:p>
      <w:pPr>
        <w:spacing w:after="0" w:line="117" w:lineRule="exact"/>
        <w:rPr>
          <w:sz w:val="20"/>
          <w:szCs w:val="20"/>
          <w:color w:val="auto"/>
        </w:rPr>
      </w:pPr>
    </w:p>
    <w:p>
      <w:pPr>
        <w:ind w:left="7" w:right="200" w:firstLine="360"/>
        <w:spacing w:after="0" w:line="297" w:lineRule="auto"/>
        <w:rPr>
          <w:sz w:val="20"/>
          <w:szCs w:val="20"/>
          <w:color w:val="auto"/>
        </w:rPr>
      </w:pPr>
      <w:r>
        <w:rPr>
          <w:rFonts w:ascii="Arial" w:cs="Arial" w:eastAsia="Arial" w:hAnsi="Arial"/>
          <w:sz w:val="16"/>
          <w:szCs w:val="16"/>
          <w:color w:val="auto"/>
        </w:rPr>
        <w:t>Subject to the completion of the offering, we intend to concurrently repurchase from the underwriter, out of the aggregate 9,149,908 shares of our common stock that are the subject of the offering, a number of shares (rounded down to the nearest whole share) having an aggregate purchase price of $25.0 million. The price per share to be paid by us will equal the price at which the underwriter will purchase the shares from the selling stockholder in the offering. The offering is not conditioned upon the completion of the share repurchase. See “Prospectus Supplement Summary―Concurrent Share Repurchase.”</w:t>
      </w:r>
    </w:p>
    <w:p>
      <w:pPr>
        <w:spacing w:after="0" w:line="50" w:lineRule="exact"/>
        <w:rPr>
          <w:sz w:val="20"/>
          <w:szCs w:val="20"/>
          <w:color w:val="auto"/>
        </w:rPr>
      </w:pPr>
    </w:p>
    <w:p>
      <w:pPr>
        <w:ind w:left="7" w:right="220" w:firstLine="360"/>
        <w:spacing w:after="0" w:line="308" w:lineRule="auto"/>
        <w:rPr>
          <w:sz w:val="20"/>
          <w:szCs w:val="20"/>
          <w:color w:val="auto"/>
        </w:rPr>
      </w:pPr>
      <w:r>
        <w:rPr>
          <w:rFonts w:ascii="Arial" w:cs="Arial" w:eastAsia="Arial" w:hAnsi="Arial"/>
          <w:sz w:val="17"/>
          <w:szCs w:val="17"/>
          <w:color w:val="auto"/>
        </w:rPr>
        <w:t>We and the selling stockholder have agreed to indemnify the underwriter against certain liabilities, including liabilities under the Securities Act, or to contribute to payments the underwriter may be required to make in respect of those liabilities.</w:t>
      </w:r>
    </w:p>
    <w:p>
      <w:pPr>
        <w:spacing w:after="0" w:line="38" w:lineRule="exact"/>
        <w:rPr>
          <w:sz w:val="20"/>
          <w:szCs w:val="20"/>
          <w:color w:val="auto"/>
        </w:rPr>
      </w:pPr>
    </w:p>
    <w:p>
      <w:pPr>
        <w:ind w:left="7" w:right="40" w:firstLine="360"/>
        <w:spacing w:after="0" w:line="257" w:lineRule="auto"/>
        <w:rPr>
          <w:sz w:val="20"/>
          <w:szCs w:val="20"/>
          <w:color w:val="auto"/>
        </w:rPr>
      </w:pPr>
      <w:r>
        <w:rPr>
          <w:rFonts w:ascii="Arial" w:cs="Arial" w:eastAsia="Arial" w:hAnsi="Arial"/>
          <w:sz w:val="18"/>
          <w:szCs w:val="18"/>
          <w:color w:val="auto"/>
        </w:rPr>
        <w:t>The underwriter is offering the shares that are not subject to the concurrent share repurchase, subject to prior sale, when, as and if issued to and accepted by them, subject to approval of legal matters by their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The underwriter proposes initially to offer the shares to the public at the public offering price set forth on the cover page of this prospectus supplement and to dealers at that price less a concession not in excess of $ per share. After the initial offering, the public offering price, concession or any other term of the offering may be changed.</w:t>
      </w:r>
    </w:p>
    <w:p>
      <w:pPr>
        <w:spacing w:after="0" w:line="73" w:lineRule="exact"/>
        <w:rPr>
          <w:sz w:val="20"/>
          <w:szCs w:val="20"/>
          <w:color w:val="auto"/>
        </w:rPr>
      </w:pPr>
    </w:p>
    <w:p>
      <w:pPr>
        <w:ind w:left="7" w:right="60" w:firstLine="36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stockholder.</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Per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23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Public offering price</w:t>
            </w:r>
            <w:r>
              <w:rPr>
                <w:rFonts w:ascii="Arial" w:cs="Arial" w:eastAsia="Arial" w:hAnsi="Arial"/>
                <w:sz w:val="28"/>
                <w:szCs w:val="28"/>
                <w:color w:val="auto"/>
                <w:vertAlign w:val="superscript"/>
              </w:rPr>
              <w:t>(1)</w:t>
            </w:r>
          </w:p>
        </w:tc>
        <w:tc>
          <w:tcPr>
            <w:tcW w:w="226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tcPr>
          <w:p>
            <w:pPr>
              <w:spacing w:after="0" w:line="243"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8"/>
                <w:szCs w:val="28"/>
                <w:color w:val="auto"/>
                <w:vertAlign w:val="superscript"/>
              </w:rPr>
              <w:t>(2)</w:t>
            </w:r>
          </w:p>
        </w:tc>
        <w:tc>
          <w:tcPr>
            <w:tcW w:w="1880" w:type="dxa"/>
            <w:vAlign w:val="bottom"/>
          </w:tcPr>
          <w:p>
            <w:pPr>
              <w:spacing w:after="0"/>
              <w:rPr>
                <w:sz w:val="21"/>
                <w:szCs w:val="21"/>
                <w:color w:val="auto"/>
              </w:rPr>
            </w:pPr>
          </w:p>
        </w:tc>
        <w:tc>
          <w:tcPr>
            <w:tcW w:w="18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w:t>
            </w:r>
          </w:p>
        </w:tc>
        <w:tc>
          <w:tcPr>
            <w:tcW w:w="18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20" w:type="dxa"/>
            <w:vAlign w:val="bottom"/>
            <w:gridSpan w:val="5"/>
          </w:tcPr>
          <w:p>
            <w:pPr>
              <w:spacing w:after="0"/>
              <w:rPr>
                <w:sz w:val="15"/>
                <w:szCs w:val="15"/>
                <w:color w:val="auto"/>
              </w:rPr>
            </w:pPr>
          </w:p>
        </w:tc>
      </w:tr>
      <w:tr>
        <w:trPr>
          <w:trHeight w:val="258"/>
        </w:trPr>
        <w:tc>
          <w:tcPr>
            <w:tcW w:w="2400" w:type="dxa"/>
            <w:vAlign w:val="bottom"/>
            <w:gridSpan w:val="3"/>
          </w:tcPr>
          <w:p>
            <w:pPr>
              <w:spacing w:after="0"/>
              <w:rPr>
                <w:sz w:val="20"/>
                <w:szCs w:val="20"/>
                <w:color w:val="auto"/>
              </w:rPr>
            </w:pPr>
            <w:r>
              <w:rPr>
                <w:rFonts w:ascii="Arial" w:cs="Arial" w:eastAsia="Arial" w:hAnsi="Arial"/>
                <w:sz w:val="14"/>
                <w:szCs w:val="14"/>
                <w:color w:val="auto"/>
              </w:rPr>
              <w:t>(1)   The public offering price for the</w:t>
            </w:r>
          </w:p>
        </w:tc>
        <w:tc>
          <w:tcPr>
            <w:tcW w:w="2260" w:type="dxa"/>
            <w:vAlign w:val="bottom"/>
          </w:tcPr>
          <w:p>
            <w:pPr>
              <w:ind w:left="200"/>
              <w:spacing w:after="0"/>
              <w:rPr>
                <w:sz w:val="20"/>
                <w:szCs w:val="20"/>
                <w:color w:val="auto"/>
              </w:rPr>
            </w:pPr>
            <w:r>
              <w:rPr>
                <w:rFonts w:ascii="Arial" w:cs="Arial" w:eastAsia="Arial" w:hAnsi="Arial"/>
                <w:sz w:val="14"/>
                <w:szCs w:val="14"/>
                <w:color w:val="auto"/>
                <w:w w:val="97"/>
              </w:rPr>
              <w:t>shares offered to the public was $</w:t>
            </w:r>
          </w:p>
        </w:tc>
        <w:tc>
          <w:tcPr>
            <w:tcW w:w="1880" w:type="dxa"/>
            <w:vAlign w:val="bottom"/>
          </w:tcPr>
          <w:p>
            <w:pPr>
              <w:ind w:left="120"/>
              <w:spacing w:after="0"/>
              <w:rPr>
                <w:sz w:val="20"/>
                <w:szCs w:val="20"/>
                <w:color w:val="auto"/>
              </w:rPr>
            </w:pPr>
            <w:r>
              <w:rPr>
                <w:rFonts w:ascii="Arial" w:cs="Arial" w:eastAsia="Arial" w:hAnsi="Arial"/>
                <w:sz w:val="14"/>
                <w:szCs w:val="14"/>
                <w:color w:val="auto"/>
              </w:rPr>
              <w:t>per share. The price for the</w:t>
            </w:r>
          </w:p>
        </w:tc>
        <w:tc>
          <w:tcPr>
            <w:tcW w:w="3020" w:type="dxa"/>
            <w:vAlign w:val="bottom"/>
            <w:gridSpan w:val="5"/>
          </w:tcPr>
          <w:p>
            <w:pPr>
              <w:jc w:val="center"/>
              <w:ind w:right="340"/>
              <w:spacing w:after="0"/>
              <w:rPr>
                <w:sz w:val="20"/>
                <w:szCs w:val="20"/>
                <w:color w:val="auto"/>
              </w:rPr>
            </w:pPr>
            <w:r>
              <w:rPr>
                <w:rFonts w:ascii="Arial" w:cs="Arial" w:eastAsia="Arial" w:hAnsi="Arial"/>
                <w:sz w:val="14"/>
                <w:szCs w:val="14"/>
                <w:color w:val="auto"/>
                <w:w w:val="90"/>
              </w:rPr>
              <w:t>shares we intend to repurchase from the</w:t>
            </w:r>
          </w:p>
        </w:tc>
      </w:tr>
      <w:tr>
        <w:trPr>
          <w:trHeight w:val="182"/>
        </w:trPr>
        <w:tc>
          <w:tcPr>
            <w:tcW w:w="20" w:type="dxa"/>
            <w:vAlign w:val="bottom"/>
          </w:tcPr>
          <w:p>
            <w:pPr>
              <w:spacing w:after="0"/>
              <w:rPr>
                <w:sz w:val="15"/>
                <w:szCs w:val="15"/>
                <w:color w:val="auto"/>
              </w:rPr>
            </w:pPr>
          </w:p>
        </w:tc>
        <w:tc>
          <w:tcPr>
            <w:tcW w:w="1420" w:type="dxa"/>
            <w:vAlign w:val="bottom"/>
          </w:tcPr>
          <w:p>
            <w:pPr>
              <w:ind w:left="320"/>
              <w:spacing w:after="0"/>
              <w:rPr>
                <w:sz w:val="20"/>
                <w:szCs w:val="20"/>
                <w:color w:val="auto"/>
              </w:rPr>
            </w:pPr>
            <w:r>
              <w:rPr>
                <w:rFonts w:ascii="Arial" w:cs="Arial" w:eastAsia="Arial" w:hAnsi="Arial"/>
                <w:sz w:val="14"/>
                <w:szCs w:val="14"/>
                <w:color w:val="auto"/>
                <w:w w:val="97"/>
              </w:rPr>
              <w:t>underwriter was $</w:t>
            </w:r>
          </w:p>
        </w:tc>
        <w:tc>
          <w:tcPr>
            <w:tcW w:w="960" w:type="dxa"/>
            <w:vAlign w:val="bottom"/>
          </w:tcPr>
          <w:p>
            <w:pPr>
              <w:ind w:left="200"/>
              <w:spacing w:after="0"/>
              <w:rPr>
                <w:sz w:val="20"/>
                <w:szCs w:val="20"/>
                <w:color w:val="auto"/>
              </w:rPr>
            </w:pPr>
            <w:r>
              <w:rPr>
                <w:rFonts w:ascii="Arial" w:cs="Arial" w:eastAsia="Arial" w:hAnsi="Arial"/>
                <w:sz w:val="14"/>
                <w:szCs w:val="14"/>
                <w:color w:val="auto"/>
              </w:rPr>
              <w:t>per share.</w:t>
            </w:r>
          </w:p>
        </w:tc>
        <w:tc>
          <w:tcPr>
            <w:tcW w:w="22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88" w:lineRule="exact"/>
        <w:rPr>
          <w:sz w:val="20"/>
          <w:szCs w:val="20"/>
          <w:color w:val="auto"/>
        </w:rPr>
      </w:pPr>
    </w:p>
    <w:p>
      <w:pPr>
        <w:sectPr>
          <w:pgSz w:w="11900" w:h="16838" w:orient="portrait"/>
          <w:cols w:equalWidth="0" w:num="1">
            <w:col w:w="9567"/>
          </w:cols>
          <w:pgMar w:left="1173" w:top="279" w:right="1159" w:bottom="1440" w:gutter="0" w:footer="0" w:header="0"/>
        </w:sectPr>
      </w:pPr>
    </w:p>
    <w:p>
      <w:pPr>
        <w:ind w:left="347" w:hanging="347"/>
        <w:spacing w:after="0" w:line="312" w:lineRule="auto"/>
        <w:tabs>
          <w:tab w:leader="none" w:pos="347"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underwriting discount for the underwriter with respect to the</w:t>
      </w:r>
    </w:p>
    <w:p>
      <w:pPr>
        <w:spacing w:after="0" w:line="20" w:lineRule="exact"/>
        <w:rPr>
          <w:sz w:val="20"/>
          <w:szCs w:val="20"/>
          <w:color w:val="auto"/>
        </w:rPr>
      </w:pPr>
      <w:r>
        <w:rPr>
          <w:sz w:val="20"/>
          <w:szCs w:val="20"/>
          <w:color w:val="auto"/>
        </w:rPr>
        <w:br w:type="column"/>
      </w:r>
    </w:p>
    <w:p>
      <w:pPr>
        <w:ind w:right="600" w:firstLine="176"/>
        <w:spacing w:after="0" w:line="273" w:lineRule="auto"/>
        <w:rPr>
          <w:sz w:val="20"/>
          <w:szCs w:val="20"/>
          <w:color w:val="auto"/>
        </w:rPr>
      </w:pPr>
      <w:r>
        <w:rPr>
          <w:rFonts w:ascii="Arial" w:cs="Arial" w:eastAsia="Arial" w:hAnsi="Arial"/>
          <w:sz w:val="14"/>
          <w:szCs w:val="14"/>
          <w:color w:val="auto"/>
        </w:rPr>
        <w:t>shares offered to the public was $ per share. No underwriting discount or commissions will be paid to the shares we intend to repurchase.</w:t>
      </w:r>
    </w:p>
    <w:p>
      <w:pPr>
        <w:spacing w:after="0" w:line="56" w:lineRule="exact"/>
        <w:rPr>
          <w:sz w:val="20"/>
          <w:szCs w:val="20"/>
          <w:color w:val="auto"/>
        </w:rPr>
      </w:pPr>
    </w:p>
    <w:p>
      <w:pPr>
        <w:sectPr>
          <w:pgSz w:w="11900" w:h="16838" w:orient="portrait"/>
          <w:cols w:equalWidth="0" w:num="2">
            <w:col w:w="2287" w:space="220"/>
            <w:col w:w="7060"/>
          </w:cols>
          <w:pgMar w:left="1173" w:top="279" w:right="1159" w:bottom="1440" w:gutter="0" w:footer="0" w:header="0"/>
          <w:type w:val="continuous"/>
        </w:sectPr>
      </w:pPr>
    </w:p>
    <w:p>
      <w:pPr>
        <w:ind w:left="7" w:right="280" w:firstLine="360"/>
        <w:spacing w:after="0" w:line="264" w:lineRule="auto"/>
        <w:rPr>
          <w:sz w:val="20"/>
          <w:szCs w:val="20"/>
          <w:color w:val="auto"/>
        </w:rPr>
      </w:pPr>
      <w:r>
        <w:rPr>
          <w:rFonts w:ascii="Arial" w:cs="Arial" w:eastAsia="Arial" w:hAnsi="Arial"/>
          <w:sz w:val="18"/>
          <w:szCs w:val="18"/>
          <w:color w:val="auto"/>
        </w:rPr>
        <w:t>The expenses of the offering, not including the underwriting discounts and commissions for which the selling stockholder is responsible, are estimated at $0.5 million and are payable by us. We have also agreed to reimburse the underwriter for expenses relating to clearing of this offering with FINRA in an amount up to $25,000.</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We, our directors and executive officers will agree, for 30 days after the date of this prospectus supplement, without first obtaining the written consent of the underwriter, not to directly or indirectly, subject to certain exceptions (including the concurrent share repurchase):</w:t>
      </w:r>
    </w:p>
    <w:p>
      <w:pPr>
        <w:spacing w:after="0" w:line="73" w:lineRule="exact"/>
        <w:rPr>
          <w:sz w:val="20"/>
          <w:szCs w:val="20"/>
          <w:color w:val="auto"/>
        </w:rPr>
      </w:pPr>
    </w:p>
    <w:p>
      <w:pPr>
        <w:jc w:val="both"/>
        <w:ind w:left="707" w:right="60" w:hanging="356"/>
        <w:spacing w:after="0" w:line="264" w:lineRule="auto"/>
        <w:tabs>
          <w:tab w:leader="none" w:pos="7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line="25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capital stock or any securities convertible into, or exercisable or exchangeable for such capital stock; or</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117"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This agreement does not apply to any existing employee benefit plans. The underwriter may, in its sole discretion and at any time or from time to time before the termination of the 30-day period, release all or any portion of the securities subject to lock-up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 and selling group members from bidding for and purchasing our common stock. However, the underwriter may engage in transactions that stabilize the price of the common stock, such as bids or purchases to peg, fix or maintain that price.</w:t>
      </w:r>
    </w:p>
    <w:p>
      <w:pPr>
        <w:spacing w:after="0" w:line="73"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In connection with the offering, the underwriter may purchase and sell our common stock in the open market. These transactions may include short sales, purchases on the open market to cover positions created by short sales and stabilizing transactions. Short sales involve the sale by the underwriter of a greater number of shares than they are required to purchase in the offering. The underwriter must close out any naked short position by purchasing shares in the open market. A naked short position is more likely to be created if the underwriter is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 in the open market prior to the completion of the offering.</w:t>
      </w:r>
    </w:p>
    <w:p>
      <w:pPr>
        <w:spacing w:after="0" w:line="84"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 may conduct these transactions on NASDAQ, in the over-the-counter market or otherwise.</w:t>
      </w:r>
    </w:p>
    <w:p>
      <w:pPr>
        <w:spacing w:after="0" w:line="63"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None of us, the selling stockholder and the underwriter make any representation or prediction as to the direction or magnitude of any effect that the transactions described above may have on the price of our common stock. In addition, none of us, the selling stockholder and the underwriter make any representation that the underwriter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In connection with the offering, the underwriter or securities dealers may distribute prospectuses by electronic means, such as e-mail.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color w:val="auto"/>
        </w:rPr>
        <w:t>The underwriter and its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 The underwriter and its respective affiliates have provided, and may in the future provide, a variety of these services to us and to persons and entities with relationships with us, for which they received or will receive customary fees and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or each, a “Relevant Member State”, with effect from and including the date on which the Prospectus Directive is implemented in that Relevant Member State, no offer of shares may be made to the public in that Relevant Member State other than:</w:t>
      </w:r>
    </w:p>
    <w:p>
      <w:pPr>
        <w:spacing w:after="0" w:line="57" w:lineRule="exact"/>
        <w:rPr>
          <w:sz w:val="20"/>
          <w:szCs w:val="20"/>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 and the Company that it is a “qualified investor” within the meaning of the law in that Relevant Member State implementing Article 2(1)(e) of the Prospectus Directive.</w:t>
      </w:r>
    </w:p>
    <w:p>
      <w:pPr>
        <w:spacing w:after="0" w:line="8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Prospectus Regulation (EU) 2017/1129, as amended, and includes any relevant implementing measure in the Relevant Member 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0"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9"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46"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firstLine="360"/>
        <w:spacing w:after="0" w:line="302" w:lineRule="auto"/>
        <w:rPr>
          <w:sz w:val="20"/>
          <w:szCs w:val="20"/>
          <w:color w:val="auto"/>
        </w:rPr>
      </w:pPr>
      <w:r>
        <w:rPr>
          <w:rFonts w:ascii="Arial" w:cs="Arial" w:eastAsia="Arial" w:hAnsi="Arial"/>
          <w:sz w:val="16"/>
          <w:szCs w:val="16"/>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ind w:left="7" w:right="120" w:hanging="7"/>
        <w:spacing w:after="0" w:line="287" w:lineRule="auto"/>
        <w:tabs>
          <w:tab w:leader="none" w:pos="2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jc w:val="both"/>
        <w:ind w:left="7" w:right="60" w:firstLine="360"/>
        <w:spacing w:after="0" w:line="273"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7" w:right="80" w:firstLine="360"/>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9" w:lineRule="exact"/>
        <w:rPr>
          <w:sz w:val="20"/>
          <w:szCs w:val="20"/>
          <w:color w:val="auto"/>
        </w:rPr>
      </w:pPr>
    </w:p>
    <w:p>
      <w:pPr>
        <w:ind w:left="367"/>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707" w:right="20" w:hanging="356"/>
        <w:spacing w:after="0" w:line="264" w:lineRule="auto"/>
        <w:tabs>
          <w:tab w:leader="none" w:pos="7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07" w:right="140" w:hanging="356"/>
        <w:spacing w:after="0" w:line="277" w:lineRule="auto"/>
        <w:tabs>
          <w:tab w:leader="none" w:pos="7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7" w:right="8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3" w:lineRule="exact"/>
        <w:rPr>
          <w:sz w:val="20"/>
          <w:szCs w:val="20"/>
          <w:color w:val="auto"/>
        </w:rPr>
      </w:pPr>
    </w:p>
    <w:p>
      <w:pPr>
        <w:ind w:left="707" w:right="200" w:hanging="356"/>
        <w:spacing w:after="0" w:line="277" w:lineRule="auto"/>
        <w:tabs>
          <w:tab w:leader="none" w:pos="7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707" w:hanging="356"/>
        <w:spacing w:after="0"/>
        <w:tabs>
          <w:tab w:leader="none" w:pos="7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2"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SFA04-N12: Notice on the Sale of Investment Products and MAS Notice FAA-N16: Notice of Recommendations of Investment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Brazil</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shares and we have not been and will not be registered before the CVM under CVM Rule (Instrução) No. 480 of December 7, 2009, as amended.</w:t>
      </w:r>
    </w:p>
    <w:p>
      <w:pPr>
        <w:spacing w:after="0" w:line="80"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Therefore, the shares offered hereby have not been, will not be and may not be offered for sale or sold in Brazil except in circumstances that do not constitute a public offering or other unauthorized distribution under applicable Brazilian laws and regulations. Documents relating to the shares, as well as the information contained therein, may not be supplied to the public as a public offering in Brazil or be used in connection with any offer for subscription or sale of the shares to the public in Brazil.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The validity of the shares of common stock offered by this prospectus supplement will be passed upon for us by Simpson Thacher &amp; Bartlett LLP, New York, New York. Certain legal matters in connection with the offering will be passed upon for the underwriter by Latham &amp; Watkins LLP, New York, New York.</w:t>
      </w:r>
    </w:p>
    <w:p>
      <w:pPr>
        <w:spacing w:after="0" w:line="7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71" w:lineRule="auto"/>
        <w:rPr>
          <w:rFonts w:ascii="Arial" w:cs="Arial" w:eastAsia="Arial" w:hAnsi="Arial"/>
          <w:sz w:val="17"/>
          <w:szCs w:val="17"/>
          <w:color w:val="0000EE"/>
        </w:rPr>
      </w:pPr>
      <w:r>
        <w:rPr>
          <w:rFonts w:ascii="Arial" w:cs="Arial" w:eastAsia="Arial" w:hAnsi="Arial"/>
          <w:sz w:val="17"/>
          <w:szCs w:val="17"/>
          <w:color w:val="auto"/>
        </w:rPr>
        <w:t xml:space="preserve">The </w:t>
      </w:r>
      <w:hyperlink r:id="rId17">
        <w:r>
          <w:rPr>
            <w:rFonts w:ascii="Arial" w:cs="Arial" w:eastAsia="Arial" w:hAnsi="Arial"/>
            <w:sz w:val="17"/>
            <w:szCs w:val="17"/>
            <w:u w:val="single" w:color="auto"/>
            <w:color w:val="0000EE"/>
          </w:rPr>
          <w:t>consolidated financial statements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incorporated in this prospectus supplement by reference from the Company’s Annual Report on Form 10-K for the fiscal year ended December 29, 2018 and the effectiveness of the Company’s internal control over financial reporting have been audited by Deloitte &amp; Touche LLP, an independent registered public accounting firm, as stated in their </w:t>
      </w:r>
      <w:hyperlink r:id="rId17">
        <w:r>
          <w:rPr>
            <w:rFonts w:ascii="Arial" w:cs="Arial" w:eastAsia="Arial" w:hAnsi="Arial"/>
            <w:sz w:val="17"/>
            <w:szCs w:val="17"/>
            <w:u w:val="single" w:color="auto"/>
            <w:color w:val="0000EE"/>
          </w:rPr>
          <w:t>report</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which is incorporated herein by reference (which reports (1) express an unqualified opinion on the consolidated financial</w:t>
      </w:r>
      <w:r>
        <w:rPr>
          <w:rFonts w:ascii="Arial" w:cs="Arial" w:eastAsia="Arial" w:hAnsi="Arial"/>
          <w:sz w:val="17"/>
          <w:szCs w:val="17"/>
          <w:color w:val="0000EE"/>
        </w:rPr>
        <w:t xml:space="preserve"> </w:t>
      </w:r>
      <w:r>
        <w:rPr>
          <w:rFonts w:ascii="Arial" w:cs="Arial" w:eastAsia="Arial" w:hAnsi="Arial"/>
          <w:sz w:val="17"/>
          <w:szCs w:val="17"/>
          <w:color w:val="000000"/>
        </w:rPr>
        <w:t>statements and includes an explanatory paragraph relating to the adoption of Accounting Standards Update No. 2014-09, Revenue from Contracts with Customers and (2) express an adverse opinion on the effectiveness of internal control over financial reporting because of a material weakness). Such consolidated financial statements have been so incorporated in reliance upon the report of such firm given upon their authority as experts in accounting and auditing.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common stock offered by this prospectus supplement. This prospectus supplement and the accompanying prospectus are part of the registration statement and therefore do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supplement and the accompanying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1"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supplement and accompanying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supplement, the accompanying prospectus or the registration statement of which this prospectus supplement and the accompanying prospectus are a part.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supplement and the accompanying prospectus the information we file with the SEC. This means that we are disclosing important information to you by referring to other documents. The information incorporated by reference is considered to be part of this prospectus supplement and the accompanying prospectus, except for any information superseded by information contained directly in this prospectus supplement. We incorporate by reference the documents listed below (other than any portions thereof, which under the Exchange Act and applicable SEC rules, are not deemed “filed”):</w:t>
      </w:r>
    </w:p>
    <w:p>
      <w:pPr>
        <w:spacing w:after="0" w:line="85" w:lineRule="exact"/>
        <w:rPr>
          <w:sz w:val="20"/>
          <w:szCs w:val="20"/>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29, 2018, filed on February 27, 2019;</w:t>
      </w:r>
    </w:p>
    <w:p>
      <w:pPr>
        <w:spacing w:after="0" w:line="117"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 ended </w:t>
      </w:r>
      <w:hyperlink r:id="rId60">
        <w:r>
          <w:rPr>
            <w:rFonts w:ascii="Arial" w:cs="Arial" w:eastAsia="Arial" w:hAnsi="Arial"/>
            <w:sz w:val="18"/>
            <w:szCs w:val="18"/>
            <w:u w:val="single" w:color="auto"/>
            <w:color w:val="0000EE"/>
          </w:rPr>
          <w:t>March 30, 2019</w:t>
        </w:r>
      </w:hyperlink>
      <w:r>
        <w:rPr>
          <w:rFonts w:ascii="Arial" w:cs="Arial" w:eastAsia="Arial" w:hAnsi="Arial"/>
          <w:sz w:val="18"/>
          <w:szCs w:val="18"/>
          <w:color w:val="auto"/>
        </w:rPr>
        <w:t xml:space="preserve">, filed on May 9, 2019, and for the quarter ended </w:t>
      </w:r>
      <w:hyperlink r:id="rId61">
        <w:r>
          <w:rPr>
            <w:rFonts w:ascii="Arial" w:cs="Arial" w:eastAsia="Arial" w:hAnsi="Arial"/>
            <w:sz w:val="18"/>
            <w:szCs w:val="18"/>
            <w:u w:val="single" w:color="auto"/>
            <w:color w:val="0000EE"/>
          </w:rPr>
          <w:t>June 29, 2019</w:t>
        </w:r>
      </w:hyperlink>
      <w:r>
        <w:rPr>
          <w:rFonts w:ascii="Arial" w:cs="Arial" w:eastAsia="Arial" w:hAnsi="Arial"/>
          <w:sz w:val="18"/>
          <w:szCs w:val="18"/>
          <w:color w:val="auto"/>
        </w:rPr>
        <w:t>, filed on August 6, 2019;</w:t>
      </w:r>
    </w:p>
    <w:p>
      <w:pPr>
        <w:spacing w:after="0" w:line="170"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hanging="356"/>
        <w:spacing w:after="0" w:line="264" w:lineRule="auto"/>
        <w:tabs>
          <w:tab w:leader="none" w:pos="700" w:val="left"/>
        </w:tabs>
        <w:numPr>
          <w:ilvl w:val="0"/>
          <w:numId w:val="25"/>
        </w:numPr>
        <w:rPr>
          <w:rFonts w:ascii="Arial" w:cs="Arial" w:eastAsia="Arial" w:hAnsi="Arial"/>
          <w:sz w:val="18"/>
          <w:szCs w:val="18"/>
          <w:color w:val="0000EE"/>
        </w:rPr>
      </w:pPr>
      <w:hyperlink r:id="rId63">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January 10,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19,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13,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July 19,</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4">
        <w:r>
          <w:rPr>
            <w:rFonts w:ascii="Arial" w:cs="Arial" w:eastAsia="Arial" w:hAnsi="Arial"/>
            <w:sz w:val="18"/>
            <w:szCs w:val="18"/>
            <w:u w:val="single" w:color="auto"/>
            <w:color w:val="0000EE"/>
          </w:rPr>
          <w:t xml:space="preserve">July 23, 2019 </w:t>
        </w:r>
      </w:hyperlink>
      <w:hyperlink r:id="rId6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5">
        <w:r>
          <w:rPr>
            <w:rFonts w:ascii="Arial" w:cs="Arial" w:eastAsia="Arial" w:hAnsi="Arial"/>
            <w:sz w:val="18"/>
            <w:szCs w:val="18"/>
            <w:u w:val="single" w:color="auto"/>
            <w:color w:val="0000EE"/>
          </w:rPr>
          <w:t xml:space="preserve">July 24, 2019 </w:t>
        </w:r>
      </w:hyperlink>
      <w:hyperlink r:id="rId63">
        <w:r>
          <w:rPr>
            <w:rFonts w:ascii="Arial" w:cs="Arial" w:eastAsia="Arial" w:hAnsi="Arial"/>
            <w:sz w:val="18"/>
            <w:szCs w:val="18"/>
            <w:color w:val="000000"/>
          </w:rPr>
          <w:t>(other than information furnished pursuant to Item 2.02 or Item 7.01 of any Current</w:t>
        </w:r>
      </w:hyperlink>
      <w:r>
        <w:rPr>
          <w:rFonts w:ascii="Arial" w:cs="Arial" w:eastAsia="Arial" w:hAnsi="Arial"/>
          <w:sz w:val="18"/>
          <w:szCs w:val="18"/>
          <w:color w:val="0000EE"/>
        </w:rPr>
        <w:t xml:space="preserve"> </w:t>
      </w:r>
      <w:r>
        <w:rPr>
          <w:rFonts w:ascii="Arial" w:cs="Arial" w:eastAsia="Arial" w:hAnsi="Arial"/>
          <w:sz w:val="18"/>
          <w:szCs w:val="18"/>
          <w:color w:val="000000"/>
        </w:rPr>
        <w:t>Report on Form 8-K, unless expressly stated otherwise therein); and</w:t>
      </w:r>
    </w:p>
    <w:p>
      <w:pPr>
        <w:spacing w:after="0" w:line="73" w:lineRule="exact"/>
        <w:rPr>
          <w:rFonts w:ascii="Arial" w:cs="Arial" w:eastAsia="Arial" w:hAnsi="Arial"/>
          <w:sz w:val="18"/>
          <w:szCs w:val="18"/>
          <w:color w:val="0000EE"/>
        </w:rPr>
      </w:pPr>
    </w:p>
    <w:p>
      <w:pPr>
        <w:ind w:left="700" w:right="340" w:hanging="356"/>
        <w:spacing w:after="0" w:line="308" w:lineRule="auto"/>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the Registration Statement on </w:t>
      </w:r>
      <w:hyperlink r:id="rId66">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October 24, 2017, including any amendments or reports filed for the purposes of updating such description.</w:t>
      </w:r>
    </w:p>
    <w:p>
      <w:pPr>
        <w:spacing w:after="0" w:line="38" w:lineRule="exact"/>
        <w:rPr>
          <w:rFonts w:ascii="Arial" w:cs="Arial" w:eastAsia="Arial" w:hAnsi="Arial"/>
          <w:sz w:val="18"/>
          <w:szCs w:val="18"/>
          <w:color w:val="0000EE"/>
        </w:rPr>
      </w:pPr>
    </w:p>
    <w:p>
      <w:pPr>
        <w:ind w:right="80" w:firstLine="360"/>
        <w:spacing w:after="0" w:line="286" w:lineRule="auto"/>
        <w:rPr>
          <w:sz w:val="20"/>
          <w:szCs w:val="20"/>
          <w:color w:val="auto"/>
        </w:rPr>
      </w:pPr>
      <w:r>
        <w:rPr>
          <w:rFonts w:ascii="Arial" w:cs="Arial" w:eastAsia="Arial" w:hAnsi="Arial"/>
          <w:sz w:val="17"/>
          <w:szCs w:val="17"/>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57" w:lineRule="exact"/>
        <w:rPr>
          <w:rFonts w:ascii="Arial" w:cs="Arial" w:eastAsia="Arial" w:hAnsi="Arial"/>
          <w:sz w:val="18"/>
          <w:szCs w:val="18"/>
          <w:color w:val="0000EE"/>
        </w:rPr>
      </w:pPr>
    </w:p>
    <w:p>
      <w:pPr>
        <w:ind w:right="40" w:firstLine="360"/>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You should direct requests for those documents to National Vision Holdings, Inc., 2435 Commerce Avenue, Bldg. 2200, Duluth, Georgia 30096; Attention: Corporate Secretary (telephone: 770-822-3600).</w:t>
      </w:r>
    </w:p>
    <w:p>
      <w:pPr>
        <w:spacing w:after="0" w:line="80" w:lineRule="exact"/>
        <w:rPr>
          <w:rFonts w:ascii="Arial" w:cs="Arial" w:eastAsia="Arial" w:hAnsi="Arial"/>
          <w:sz w:val="18"/>
          <w:szCs w:val="18"/>
          <w:color w:val="0000EE"/>
        </w:rPr>
      </w:pPr>
    </w:p>
    <w:p>
      <w:pPr>
        <w:ind w:right="34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supplement will not be sent, however, unless those exhibits have been specifically referenced in this prospectus supplement.</w:t>
      </w:r>
    </w:p>
    <w:p>
      <w:pPr>
        <w:spacing w:after="0" w:line="170"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154940</wp:posOffset>
            </wp:positionV>
            <wp:extent cx="1346200" cy="1037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134620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National Vision Holdings,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selling stockholders may offer and sell from time to time shares of our common stock.</w:t>
      </w:r>
    </w:p>
    <w:p>
      <w:pPr>
        <w:spacing w:after="0" w:line="22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selling stockholders will determine when they sell shares of our common stock, which may be sold on a continuous or delayed basis directly, to or through agents, dealers or underwriters as designated from time to time, or through a combination of these methods. The selling stockholders reserve the sole right to accept, and they and any agents, dealers and underwriters reserve the right to reject, in whole or in part, any proposed purchase of shares of our common stock. If any agents, dealers or underwriters are involved in the sale of any shares of our common stock, the applicable prospectus supplement will set forth any applicable commissions or discounts payable to them. We will not receive any proceeds from the sale of the shares of our common stock by the selling stockholders.</w:t>
      </w:r>
    </w:p>
    <w:p>
      <w:pPr>
        <w:spacing w:after="0" w:line="18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Each time any selling stockholders sell shares of our common stock using this prospectus, we will provide a prospectus supplement and attach it to this prospectus and may also provide you with a free writing prospectus. The prospectus supplement and any free writing prospectus will contain more specific information about the offering and the shares of our common stock being offered, including the names of the selling stockholders and the prices at which the shares of our common stock are sold. The prospectus supplement or free writing prospectus may also add, update, change or clarify information contained in or incorporated by reference in this prospectus. This prospectus may not be used to sell shares of our common stock unless accompanied by a prospectus supplement describing the method and terms of the offering.</w:t>
      </w:r>
    </w:p>
    <w:p>
      <w:pPr>
        <w:spacing w:after="0" w:line="178"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You should carefully read this prospectus and any applicable prospectus supplement and free writing prospectus, together with any documents we incorporate by reference, before you invest in our common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or NASDAQ, under the symbol “EYE.”</w:t>
      </w:r>
    </w:p>
    <w:p>
      <w:pPr>
        <w:spacing w:after="0" w:line="225" w:lineRule="exact"/>
        <w:rPr>
          <w:sz w:val="20"/>
          <w:szCs w:val="20"/>
          <w:color w:val="auto"/>
        </w:rPr>
      </w:pPr>
    </w:p>
    <w:p>
      <w:pPr>
        <w:ind w:right="20" w:firstLine="360"/>
        <w:spacing w:after="0" w:line="286" w:lineRule="auto"/>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Investing in our common stock involves risk. See “Risk Factors” beginning on page </w:t>
      </w:r>
      <w:hyperlink w:anchor="page43">
        <w:r>
          <w:rPr>
            <w:rFonts w:ascii="Arial" w:cs="Arial" w:eastAsia="Arial" w:hAnsi="Arial"/>
            <w:sz w:val="17"/>
            <w:szCs w:val="17"/>
            <w:b w:val="1"/>
            <w:bCs w:val="1"/>
            <w:i w:val="1"/>
            <w:iCs w:val="1"/>
            <w:u w:val="single" w:color="auto"/>
            <w:color w:val="0000EE"/>
          </w:rPr>
          <w:t>4</w:t>
        </w:r>
        <w:r>
          <w:rPr>
            <w:rFonts w:ascii="Arial" w:cs="Arial" w:eastAsia="Arial" w:hAnsi="Arial"/>
            <w:sz w:val="17"/>
            <w:szCs w:val="17"/>
            <w:b w:val="1"/>
            <w:bCs w:val="1"/>
            <w:i w:val="1"/>
            <w:iCs w:val="1"/>
            <w:u w:val="single" w:color="auto"/>
            <w:color w:val="auto"/>
          </w:rPr>
          <w:t xml:space="preserve"> </w:t>
        </w:r>
      </w:hyperlink>
      <w:r>
        <w:rPr>
          <w:rFonts w:ascii="Arial" w:cs="Arial" w:eastAsia="Arial" w:hAnsi="Arial"/>
          <w:sz w:val="17"/>
          <w:szCs w:val="17"/>
          <w:b w:val="1"/>
          <w:bCs w:val="1"/>
          <w:i w:val="1"/>
          <w:iCs w:val="1"/>
          <w:color w:val="auto"/>
        </w:rPr>
        <w:t>of this prospectus and the risk factors in any applicable prospectus supplement and in any documents we incorporate by reference herein or therein to read about factors you should consider before buying shares of our common stock.</w:t>
      </w:r>
    </w:p>
    <w:p>
      <w:pPr>
        <w:spacing w:after="0" w:line="166"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b w:val="1"/>
          <w:bCs w:val="1"/>
          <w:i w:val="1"/>
          <w:i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3980" w:type="dxa"/>
            <w:vAlign w:val="bottom"/>
            <w:gridSpan w:val="15"/>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4"/>
          </w:tcPr>
          <w:p>
            <w:pPr>
              <w:jc w:val="right"/>
              <w:ind w:right="410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gridSpan w:val="8"/>
            <w:shd w:val="clear" w:color="auto" w:fill="CCEEFF"/>
          </w:tcPr>
          <w:p>
            <w:pPr>
              <w:spacing w:after="0" w:line="189"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About This Prospectus</w:t>
              </w:r>
            </w:hyperlink>
          </w:p>
        </w:tc>
        <w:tc>
          <w:tcPr>
            <w:tcW w:w="2340" w:type="dxa"/>
            <w:vAlign w:val="bottom"/>
            <w:gridSpan w:val="6"/>
            <w:shd w:val="clear" w:color="auto" w:fill="CCEEFF"/>
          </w:tcPr>
          <w:p>
            <w:pPr>
              <w:spacing w:after="0"/>
              <w:rPr>
                <w:sz w:val="16"/>
                <w:szCs w:val="16"/>
                <w:color w:val="auto"/>
              </w:rPr>
            </w:pPr>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National Vision Holdings, Inc.</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Risk Factors</w:t>
              </w:r>
            </w:hyperlink>
          </w:p>
        </w:tc>
        <w:tc>
          <w:tcPr>
            <w:tcW w:w="3080" w:type="dxa"/>
            <w:vAlign w:val="bottom"/>
            <w:gridSpan w:val="12"/>
            <w:shd w:val="clear" w:color="auto" w:fill="CCEEFF"/>
          </w:tcPr>
          <w:p>
            <w:pPr>
              <w:spacing w:after="0"/>
              <w:rPr>
                <w:sz w:val="16"/>
                <w:szCs w:val="16"/>
                <w:color w:val="auto"/>
              </w:rPr>
            </w:pPr>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Special Note Regarding Forward-Looking Statements</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shd w:val="clear" w:color="auto" w:fill="CCEEFF"/>
          </w:tcPr>
          <w:p>
            <w:pPr>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Use of Proceeds</w:t>
              </w:r>
            </w:hyperlink>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Capital Stock</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shd w:val="clear" w:color="auto" w:fill="CCEEFF"/>
          </w:tcPr>
          <w:p>
            <w:pPr>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Selling Stockholders</w:t>
              </w:r>
            </w:hyperlink>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60" w:type="dxa"/>
            <w:vAlign w:val="bottom"/>
            <w:gridSpan w:val="6"/>
          </w:tcPr>
          <w:p>
            <w:pPr>
              <w:spacing w:after="0" w:line="189"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Plan of Distribution</w:t>
              </w:r>
            </w:hyperlink>
          </w:p>
        </w:tc>
        <w:tc>
          <w:tcPr>
            <w:tcW w:w="2500" w:type="dxa"/>
            <w:vAlign w:val="bottom"/>
            <w:gridSpan w:val="8"/>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3"/>
            <w:shd w:val="clear" w:color="auto" w:fill="CCEEFF"/>
          </w:tcPr>
          <w:p>
            <w:pPr>
              <w:spacing w:after="0" w:line="189"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Legal Matters</w:t>
              </w:r>
            </w:hyperlink>
          </w:p>
        </w:tc>
        <w:tc>
          <w:tcPr>
            <w:tcW w:w="2980" w:type="dxa"/>
            <w:vAlign w:val="bottom"/>
            <w:gridSpan w:val="11"/>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3"/>
          </w:tcPr>
          <w:p>
            <w:pPr>
              <w:spacing w:after="0" w:line="189"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2980" w:type="dxa"/>
            <w:vAlign w:val="bottom"/>
            <w:gridSpan w:val="11"/>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2"/>
            <w:shd w:val="clear" w:color="auto" w:fill="CCEEFF"/>
          </w:tcPr>
          <w:p>
            <w:pPr>
              <w:spacing w:after="0" w:line="189"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Where You Can Find More Information</w:t>
              </w:r>
            </w:hyperlink>
          </w:p>
        </w:tc>
        <w:tc>
          <w:tcPr>
            <w:tcW w:w="1120" w:type="dxa"/>
            <w:vAlign w:val="bottom"/>
            <w:gridSpan w:val="2"/>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60" w:type="dxa"/>
            <w:vAlign w:val="bottom"/>
            <w:gridSpan w:val="9"/>
          </w:tcPr>
          <w:p>
            <w:pPr>
              <w:spacing w:after="0" w:line="189"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Incorporation by Reference</w:t>
              </w:r>
            </w:hyperlink>
          </w:p>
        </w:tc>
        <w:tc>
          <w:tcPr>
            <w:tcW w:w="880" w:type="dxa"/>
            <w:vAlign w:val="bottom"/>
            <w:gridSpan w:val="3"/>
          </w:tcPr>
          <w:p>
            <w:pPr>
              <w:spacing w:after="0"/>
              <w:rPr>
                <w:sz w:val="16"/>
                <w:szCs w:val="16"/>
                <w:color w:val="auto"/>
              </w:rPr>
            </w:pPr>
          </w:p>
        </w:tc>
        <w:tc>
          <w:tcPr>
            <w:tcW w:w="1120" w:type="dxa"/>
            <w:vAlign w:val="bottom"/>
            <w:gridSpan w:val="2"/>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This prospectus is part of a registration statement on Form S-3 that we filed with the SEC using a “shelf” registration process. Under this shelf registration process, certain selling stockholders may, from time to time, offer and/or sell shares of our common stock in one or more offerings or resales. This prospectus provides you with a general description of the shares of our common stock that such selling stockholders may offer. Each time selling stockholders sell shares of our common stock using this prospectus, we will provide a prospectus supplement and attach it to this prospectus and may also provide you with a free writing prospectus. The prospectus supplement and any free writing prospectus will contain more specific information about the offering and the shares of our common stock being offered, including the names of the selling stockholders and the prices at which the shares of our common stock are sold. The prospectus supplement may also add, update, change or clarify information contained in or incorporated by reference in this prospectus. If there is any inconsistency between the information in this prospectus and the information in the prospectus supplement, you should rely on the information in the prospectus supplement.</w:t>
      </w:r>
    </w:p>
    <w:p>
      <w:pPr>
        <w:spacing w:after="0" w:line="57" w:lineRule="exact"/>
        <w:rPr>
          <w:sz w:val="20"/>
          <w:szCs w:val="20"/>
          <w:color w:val="auto"/>
        </w:rPr>
      </w:pPr>
    </w:p>
    <w:p>
      <w:pPr>
        <w:ind w:right="740" w:firstLine="360"/>
        <w:spacing w:after="0" w:line="282" w:lineRule="auto"/>
        <w:rPr>
          <w:sz w:val="20"/>
          <w:szCs w:val="20"/>
          <w:color w:val="auto"/>
        </w:rPr>
      </w:pPr>
      <w:r>
        <w:rPr>
          <w:rFonts w:ascii="Arial" w:cs="Arial" w:eastAsia="Arial" w:hAnsi="Arial"/>
          <w:sz w:val="18"/>
          <w:szCs w:val="18"/>
          <w:b w:val="1"/>
          <w:bCs w:val="1"/>
          <w:color w:val="auto"/>
        </w:rPr>
        <w:t>THIS PROSPECTUS MAY NOT BE USED TO SELL ANY SHARES OF OUR COMMON STOCK UNLESS ACCOMPANIED BY A PROSPECTUS SUPPLEMENT.</w:t>
      </w:r>
    </w:p>
    <w:p>
      <w:pPr>
        <w:spacing w:after="0" w:line="5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together with the additional information that is incorporated or deemed incorporated by reference in this prospectus. See “Incorporation by Reference” before making an investment in our common stock.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or deemed incorporated by reference as exhibits to the registration statement of which this prospectus is a part. The registration statement, including the exhibits and documents incorporated by reference in this prospectus, can be read on the SEC website or at the SEC offices mentioned under the heading “Where You Can Find More Information.”</w:t>
      </w:r>
    </w:p>
    <w:p>
      <w:pPr>
        <w:spacing w:after="0" w:line="75" w:lineRule="exact"/>
        <w:rPr>
          <w:sz w:val="20"/>
          <w:szCs w:val="20"/>
          <w:color w:val="auto"/>
        </w:rPr>
      </w:pPr>
    </w:p>
    <w:p>
      <w:pPr>
        <w:ind w:right="200" w:firstLine="360"/>
        <w:spacing w:after="0" w:line="287" w:lineRule="auto"/>
        <w:rPr>
          <w:sz w:val="20"/>
          <w:szCs w:val="20"/>
          <w:color w:val="auto"/>
        </w:rPr>
      </w:pPr>
      <w:r>
        <w:rPr>
          <w:rFonts w:ascii="Arial" w:cs="Arial" w:eastAsia="Arial" w:hAnsi="Arial"/>
          <w:sz w:val="16"/>
          <w:szCs w:val="16"/>
          <w:color w:val="auto"/>
        </w:rPr>
        <w:t>You should rely only on the information contained, or incorporated by reference, in this prospectus or in any prospectus supplement or free writing prospectus that we authorize to be delivered to you. Neither we nor any selling stockholders have authorized anyone to provide any information or to make any representations other than those contained, or incorporated by reference, in this prospectus or in any prospectus supplement or free writing prospectus we have prepared. Neither we nor any selling stockholders take responsibility for, or can provide assurance as to the reliability of, any other information that others may provide you. We and any selling stockholders are offering to sell, and seeking offers to buy, securities only in jurisdictions where offers and sales are permitted. You should assume that the information contained, or incorporated by reference, in this prospectus and in any prospectus supplement or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65" w:lineRule="exact"/>
        <w:rPr>
          <w:sz w:val="20"/>
          <w:szCs w:val="20"/>
          <w:color w:val="auto"/>
        </w:rPr>
      </w:pPr>
    </w:p>
    <w:p>
      <w:pPr>
        <w:jc w:val="both"/>
        <w:ind w:right="180" w:firstLine="360"/>
        <w:spacing w:after="0" w:line="279" w:lineRule="auto"/>
        <w:rPr>
          <w:sz w:val="20"/>
          <w:szCs w:val="20"/>
          <w:color w:val="auto"/>
        </w:rPr>
      </w:pPr>
      <w:r>
        <w:rPr>
          <w:rFonts w:ascii="Arial" w:cs="Arial" w:eastAsia="Arial" w:hAnsi="Arial"/>
          <w:sz w:val="17"/>
          <w:szCs w:val="17"/>
          <w:color w:val="auto"/>
        </w:rPr>
        <w:t>In this prospectus, unless the context otherwise requires, all references herein to “National Vision Holdings, Inc.,” “National Vision,” the “Company,” “we,” “our” or “us” refer to National Vision Holdings, Inc., a Delaware corporation, and its consolidated subsidiaries. National Vision Holdings, Inc. conducts substantially all of its activities through its direct, wholly-owned subsidiary, National Vision, Inc., a Georgia corporation, which we refer to herein as “NVI,” and NVI’s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data included, or incorporated by reference,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7" w:lineRule="auto"/>
        <w:rPr>
          <w:rFonts w:ascii="Arial" w:cs="Arial" w:eastAsia="Arial" w:hAnsi="Arial"/>
          <w:sz w:val="17"/>
          <w:szCs w:val="17"/>
          <w:color w:val="000000"/>
        </w:rPr>
      </w:pPr>
      <w:r>
        <w:rPr>
          <w:rFonts w:ascii="Arial" w:cs="Arial" w:eastAsia="Arial" w:hAnsi="Arial"/>
          <w:sz w:val="17"/>
          <w:szCs w:val="17"/>
          <w:color w:val="auto"/>
        </w:rPr>
        <w:t xml:space="preserve">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included, or incorporated by reference, in this prospectus, and we believe these estimates to be accurate as of the date of this prospectus or such other date stated in this prospectus (or in documents we have incorporated by reference).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(or in documents we have incorporated by reference) are prepared by reputable sources, we have not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w:t>
      </w:r>
      <w:hyperlink r:id="rId72">
        <w:r>
          <w:rPr>
            <w:rFonts w:ascii="Arial" w:cs="Arial" w:eastAsia="Arial" w:hAnsi="Arial"/>
            <w:sz w:val="17"/>
            <w:szCs w:val="17"/>
            <w:color w:val="auto"/>
          </w:rPr>
          <w:t xml:space="preserve">high degree of uncertainty and risk due to a variety of factors, including those described in “Risk Factors” in this prospectus, </w:t>
        </w:r>
        <w:r>
          <w:rPr>
            <w:rFonts w:ascii="Arial" w:cs="Arial" w:eastAsia="Arial" w:hAnsi="Arial"/>
            <w:sz w:val="17"/>
            <w:szCs w:val="17"/>
            <w:u w:val="single" w:color="auto"/>
            <w:color w:val="0000EE"/>
          </w:rPr>
          <w:t>“Risk</w:t>
        </w:r>
      </w:hyperlink>
      <w:r>
        <w:rPr>
          <w:rFonts w:ascii="Arial" w:cs="Arial" w:eastAsia="Arial" w:hAnsi="Arial"/>
          <w:sz w:val="17"/>
          <w:szCs w:val="17"/>
          <w:color w:val="auto"/>
        </w:rPr>
        <w:t xml:space="preserve"> </w:t>
      </w:r>
      <w:hyperlink r:id="rId72">
        <w:r>
          <w:rPr>
            <w:rFonts w:ascii="Arial" w:cs="Arial" w:eastAsia="Arial" w:hAnsi="Arial"/>
            <w:sz w:val="17"/>
            <w:szCs w:val="17"/>
            <w:u w:val="single" w:color="auto"/>
            <w:color w:val="0000EE"/>
          </w:rPr>
          <w:t>Factors”</w:t>
        </w:r>
        <w:r>
          <w:rPr>
            <w:rFonts w:ascii="Arial" w:cs="Arial" w:eastAsia="Arial" w:hAnsi="Arial"/>
            <w:sz w:val="17"/>
            <w:szCs w:val="17"/>
            <w:color w:val="0000EE"/>
          </w:rPr>
          <w:t xml:space="preserve"> </w:t>
        </w:r>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73">
        <w:r>
          <w:rPr>
            <w:rFonts w:ascii="Arial" w:cs="Arial" w:eastAsia="Arial" w:hAnsi="Arial"/>
            <w:sz w:val="17"/>
            <w:szCs w:val="17"/>
            <w:u w:val="single" w:color="auto"/>
            <w:color w:val="0000EE"/>
          </w:rPr>
          <w:t xml:space="preserve">“Management’s Discussion and Analysis of Financial Condition and Results of Operations” </w:t>
        </w:r>
      </w:hyperlink>
      <w:hyperlink r:id="rId72">
        <w:r>
          <w:rPr>
            <w:rFonts w:ascii="Arial" w:cs="Arial" w:eastAsia="Arial" w:hAnsi="Arial"/>
            <w:sz w:val="17"/>
            <w:szCs w:val="17"/>
            <w:color w:val="000000"/>
          </w:rPr>
          <w:t>in our Annual Report (as</w:t>
        </w:r>
      </w:hyperlink>
      <w:r>
        <w:rPr>
          <w:rFonts w:ascii="Arial" w:cs="Arial" w:eastAsia="Arial" w:hAnsi="Arial"/>
          <w:sz w:val="17"/>
          <w:szCs w:val="17"/>
          <w:color w:val="0000EE"/>
        </w:rPr>
        <w:t xml:space="preserve"> </w:t>
      </w:r>
      <w:r>
        <w:rPr>
          <w:rFonts w:ascii="Arial" w:cs="Arial" w:eastAsia="Arial" w:hAnsi="Arial"/>
          <w:sz w:val="17"/>
          <w:szCs w:val="17"/>
          <w:color w:val="000000"/>
        </w:rPr>
        <w:t xml:space="preserve">defined herein) and </w:t>
      </w:r>
      <w:hyperlink r:id="rId74">
        <w:r>
          <w:rPr>
            <w:rFonts w:ascii="Arial" w:cs="Arial" w:eastAsia="Arial" w:hAnsi="Arial"/>
            <w:sz w:val="17"/>
            <w:szCs w:val="17"/>
            <w:u w:val="single" w:color="auto"/>
            <w:color w:val="0000EE"/>
          </w:rPr>
          <w:t>“Management’s Discussion and Analysis of Financial Condition and Results of Operations”</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in our Quarterly Reports (as defined herein), each of which is incorporated by reference in this prospectus. These and other factors could cause our future performance to differ materially from our assumptions and estimates. See “Special Note Regarding Forward-Looking Statements.” As a result, you should be aware that market, ranking, and other similar industry data included, or incorporated by reference, in this prospectus, and estimates and beliefs based on that data may not be reliable. Neither we nor the selling stockholders can guarantee the accuracy or completeness of any such information contained, or incorporated by reference, in this prospectus.</w:t>
      </w:r>
    </w:p>
    <w:p>
      <w:pPr>
        <w:spacing w:after="0" w:line="184"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rFonts w:ascii="Arial" w:cs="Arial" w:eastAsia="Arial" w:hAnsi="Arial"/>
          <w:sz w:val="17"/>
          <w:szCs w:val="17"/>
          <w:color w:val="0000EE"/>
        </w:rPr>
      </w:pPr>
    </w:p>
    <w:p>
      <w:pPr>
        <w:ind w:firstLine="360"/>
        <w:spacing w:after="0" w:line="272" w:lineRule="auto"/>
        <w:rPr>
          <w:sz w:val="20"/>
          <w:szCs w:val="20"/>
          <w:color w:val="auto"/>
        </w:rPr>
      </w:pPr>
      <w:r>
        <w:rPr>
          <w:rFonts w:ascii="Arial" w:cs="Arial" w:eastAsia="Arial" w:hAnsi="Arial"/>
          <w:sz w:val="17"/>
          <w:szCs w:val="17"/>
          <w:color w:val="auto"/>
        </w:rPr>
        <w:t>We own a number of registered and common law trademarks and pending applications for trademark registrations in the United States, primarily through our subsidiaries. Solely for convenience, the trademarks, service marks and tradenames referred to in this prospectus and any applicable prospectus supplement (or in documents we have incorporated by reference) are presented without the ®, sm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and any applicable prospectus supplement (or in documents we have incorporated by reference) are the property of their respective owners.</w:t>
      </w:r>
    </w:p>
    <w:p>
      <w:pPr>
        <w:spacing w:after="0" w:line="178"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121"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1,067 retail stores across five brands and 20 consumer websites as of September 29, 2018.</w:t>
      </w:r>
    </w:p>
    <w:p>
      <w:pPr>
        <w:spacing w:after="0" w:line="70"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w:t>
      </w:r>
    </w:p>
    <w:p>
      <w:pPr>
        <w:spacing w:after="0" w:line="5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have two reportable segments: our owned &amp; host segment and our legacy segment. Our owned &amp; host segment includes our two owned brands, America’s Best and Eyeglass World, and our Vista Optical locations in Fred Meyer, Inc. stores. Within this segment, we also provide low-cost vision care products and services to American military service members by operating Vista Optical locations on military bases across the country. Our legacy segment consists of our 28-year strategic relationship with Wal-Mart Stores, Inc., or Walmart, to operate Vision Centers in select Walmart stores. In addition, our wholly-owned subsidiary, FirstSight Vision Services Inc., or FirstSight, which is licensed as a single-service health plan under California law, issues individual vision care benefit plans in connection with our America’s Best operations in California and provides, or arranges for the provision of, optometric services at certain optometric offices next to Walmart and Sam’s Club stores in California. We support our brands through our ever-evolving omni-channel offerings and we also have an established standalone e-commerce business. Our e-commerce platform serves our proprietary e-commerce websites and the e-commerce websites of third parties, including Walmart, Sam’s Club and Giant Eagle.</w:t>
      </w:r>
    </w:p>
    <w:p>
      <w:pPr>
        <w:spacing w:after="0" w:line="75"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Partners LLC, or Berkshire, acquired both NVI and Consolidated Vision Group, Inc., which operated America’s Best stores, and merged these entities, with NVI surviving. In 2009, NVI acquired the Eyeglass World store chain. In 2011, after a multi-year partnership, NVI acquired Arlington Contact Lens Service, Inc. to bolster its e-commerce platform.</w:t>
      </w:r>
    </w:p>
    <w:p>
      <w:pPr>
        <w:spacing w:after="0" w:line="63"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In March 2014, NVI was acquired by affiliates of Kohlberg Kravis Roberts &amp; Co. L.P., or KKR Sponsor. National Vision Holdings, Inc. was incorporated in Delaware on February 14, 2014 under the name “Nautilus Parent, Inc.” and NVI became our wholly-owned subsidiary in connection with the acquisition of the Company by affiliates of KKR Sponsor in March 2014.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85" w:lineRule="exact"/>
        <w:rPr>
          <w:sz w:val="20"/>
          <w:szCs w:val="20"/>
          <w:color w:val="auto"/>
        </w:rPr>
      </w:pPr>
    </w:p>
    <w:p>
      <w:pPr>
        <w:ind w:right="260"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360"/>
        <w:spacing w:after="0" w:line="286" w:lineRule="auto"/>
        <w:rPr>
          <w:rFonts w:ascii="Arial" w:cs="Arial" w:eastAsia="Arial" w:hAnsi="Arial"/>
          <w:sz w:val="16"/>
          <w:szCs w:val="16"/>
          <w:color w:val="0000EE"/>
        </w:rPr>
      </w:pPr>
      <w:r>
        <w:rPr>
          <w:rFonts w:ascii="Arial" w:cs="Arial" w:eastAsia="Arial" w:hAnsi="Arial"/>
          <w:sz w:val="16"/>
          <w:szCs w:val="16"/>
          <w:color w:val="auto"/>
        </w:rPr>
        <w:t xml:space="preserve">An investment in our common stock involves risk. Before investing in our common stock, in addition to the risks and uncertainties described below under “Special Note Regarding Forward-Looking Statements,” you should carefully consider the risks </w:t>
      </w:r>
      <w:hyperlink r:id="rId73">
        <w:r>
          <w:rPr>
            <w:rFonts w:ascii="Arial" w:cs="Arial" w:eastAsia="Arial" w:hAnsi="Arial"/>
            <w:sz w:val="16"/>
            <w:szCs w:val="16"/>
            <w:color w:val="auto"/>
          </w:rPr>
          <w:t xml:space="preserve">and uncertainties discussed under </w:t>
        </w:r>
        <w:r>
          <w:rPr>
            <w:rFonts w:ascii="Arial" w:cs="Arial" w:eastAsia="Arial" w:hAnsi="Arial"/>
            <w:sz w:val="16"/>
            <w:szCs w:val="16"/>
            <w:u w:val="single" w:color="auto"/>
            <w:color w:val="0000EE"/>
          </w:rPr>
          <w:t>“Risk Factors,” “Management’s Discussion and Analysis of Financial Condition and Results of</w:t>
        </w:r>
      </w:hyperlink>
      <w:r>
        <w:rPr>
          <w:rFonts w:ascii="Arial" w:cs="Arial" w:eastAsia="Arial" w:hAnsi="Arial"/>
          <w:sz w:val="16"/>
          <w:szCs w:val="16"/>
          <w:color w:val="auto"/>
        </w:rPr>
        <w:t xml:space="preserve"> </w:t>
      </w:r>
      <w:hyperlink r:id="rId73">
        <w:r>
          <w:rPr>
            <w:rFonts w:ascii="Arial" w:cs="Arial" w:eastAsia="Arial" w:hAnsi="Arial"/>
            <w:sz w:val="16"/>
            <w:szCs w:val="16"/>
            <w:u w:val="single" w:color="auto"/>
            <w:color w:val="0000EE"/>
          </w:rPr>
          <w:t>Operations”</w:t>
        </w:r>
        <w:r>
          <w:rPr>
            <w:rFonts w:ascii="Arial" w:cs="Arial" w:eastAsia="Arial" w:hAnsi="Arial"/>
            <w:sz w:val="16"/>
            <w:szCs w:val="16"/>
            <w:color w:val="0000EE"/>
          </w:rPr>
          <w:t xml:space="preserve"> </w:t>
        </w:r>
        <w:r>
          <w:rPr>
            <w:rFonts w:ascii="Arial" w:cs="Arial" w:eastAsia="Arial" w:hAnsi="Arial"/>
            <w:sz w:val="16"/>
            <w:szCs w:val="16"/>
            <w:color w:val="000000"/>
          </w:rPr>
          <w:t>and our</w:t>
        </w:r>
        <w:r>
          <w:rPr>
            <w:rFonts w:ascii="Arial" w:cs="Arial" w:eastAsia="Arial" w:hAnsi="Arial"/>
            <w:sz w:val="16"/>
            <w:szCs w:val="16"/>
            <w:color w:val="0000EE"/>
          </w:rPr>
          <w:t xml:space="preserve"> </w:t>
        </w:r>
      </w:hyperlink>
      <w:hyperlink r:id="rId77">
        <w:r>
          <w:rPr>
            <w:rFonts w:ascii="Arial" w:cs="Arial" w:eastAsia="Arial" w:hAnsi="Arial"/>
            <w:sz w:val="16"/>
            <w:szCs w:val="16"/>
            <w:u w:val="single" w:color="auto"/>
            <w:color w:val="0000EE"/>
          </w:rPr>
          <w:t xml:space="preserve">audited consolidated financial statements and related notes </w:t>
        </w:r>
      </w:hyperlink>
      <w:hyperlink r:id="rId73">
        <w:r>
          <w:rPr>
            <w:rFonts w:ascii="Arial" w:cs="Arial" w:eastAsia="Arial" w:hAnsi="Arial"/>
            <w:sz w:val="16"/>
            <w:szCs w:val="16"/>
            <w:color w:val="000000"/>
          </w:rPr>
          <w:t xml:space="preserve">thereto in our Annual Report on Form 10-K for </w:t>
        </w:r>
      </w:hyperlink>
      <w:r>
        <w:rPr>
          <w:rFonts w:ascii="Arial" w:cs="Arial" w:eastAsia="Arial" w:hAnsi="Arial"/>
          <w:sz w:val="16"/>
          <w:szCs w:val="16"/>
          <w:color w:val="0000EE"/>
        </w:rPr>
        <w:t xml:space="preserve">the </w:t>
      </w:r>
      <w:hyperlink r:id="rId74">
        <w:r>
          <w:rPr>
            <w:rFonts w:ascii="Arial" w:cs="Arial" w:eastAsia="Arial" w:hAnsi="Arial"/>
            <w:sz w:val="16"/>
            <w:szCs w:val="16"/>
            <w:color w:val="000000"/>
          </w:rPr>
          <w:t xml:space="preserve">fiscal year ended December 30, 2017, or the Annual Report, and </w:t>
        </w:r>
        <w:r>
          <w:rPr>
            <w:rFonts w:ascii="Arial" w:cs="Arial" w:eastAsia="Arial" w:hAnsi="Arial"/>
            <w:sz w:val="16"/>
            <w:szCs w:val="16"/>
            <w:u w:val="single" w:color="auto"/>
            <w:color w:val="0000EE"/>
          </w:rPr>
          <w:t>“Management’s Discussion and Analysis of Financial Condition</w:t>
        </w:r>
      </w:hyperlink>
      <w:r>
        <w:rPr>
          <w:rFonts w:ascii="Arial" w:cs="Arial" w:eastAsia="Arial" w:hAnsi="Arial"/>
          <w:sz w:val="16"/>
          <w:szCs w:val="16"/>
          <w:color w:val="000000"/>
        </w:rPr>
        <w:t xml:space="preserve"> </w:t>
      </w:r>
      <w:hyperlink r:id="rId74">
        <w:r>
          <w:rPr>
            <w:rFonts w:ascii="Arial" w:cs="Arial" w:eastAsia="Arial" w:hAnsi="Arial"/>
            <w:sz w:val="16"/>
            <w:szCs w:val="16"/>
            <w:u w:val="single" w:color="auto"/>
            <w:color w:val="0000EE"/>
          </w:rPr>
          <w:t>and Results of Operations”</w:t>
        </w:r>
        <w:r>
          <w:rPr>
            <w:rFonts w:ascii="Arial" w:cs="Arial" w:eastAsia="Arial" w:hAnsi="Arial"/>
            <w:sz w:val="16"/>
            <w:szCs w:val="16"/>
            <w:color w:val="0000EE"/>
          </w:rPr>
          <w:t xml:space="preserve"> </w:t>
        </w:r>
        <w:r>
          <w:rPr>
            <w:rFonts w:ascii="Arial" w:cs="Arial" w:eastAsia="Arial" w:hAnsi="Arial"/>
            <w:sz w:val="16"/>
            <w:szCs w:val="16"/>
            <w:color w:val="000000"/>
          </w:rPr>
          <w:t>and our</w:t>
        </w:r>
        <w:r>
          <w:rPr>
            <w:rFonts w:ascii="Arial" w:cs="Arial" w:eastAsia="Arial" w:hAnsi="Arial"/>
            <w:sz w:val="16"/>
            <w:szCs w:val="16"/>
            <w:color w:val="0000EE"/>
          </w:rPr>
          <w:t xml:space="preserve"> </w:t>
        </w:r>
      </w:hyperlink>
      <w:hyperlink r:id="rId78">
        <w:r>
          <w:rPr>
            <w:rFonts w:ascii="Arial" w:cs="Arial" w:eastAsia="Arial" w:hAnsi="Arial"/>
            <w:sz w:val="16"/>
            <w:szCs w:val="16"/>
            <w:u w:val="single" w:color="auto"/>
            <w:color w:val="0000EE"/>
          </w:rPr>
          <w:t xml:space="preserve">unaudited condensed consolidated financial statements and related notes </w:t>
        </w:r>
      </w:hyperlink>
      <w:hyperlink r:id="rId74">
        <w:r>
          <w:rPr>
            <w:rFonts w:ascii="Arial" w:cs="Arial" w:eastAsia="Arial" w:hAnsi="Arial"/>
            <w:sz w:val="16"/>
            <w:szCs w:val="16"/>
            <w:color w:val="000000"/>
          </w:rPr>
          <w:t>thereto in our Quarterly</w:t>
        </w:r>
      </w:hyperlink>
      <w:r>
        <w:rPr>
          <w:rFonts w:ascii="Arial" w:cs="Arial" w:eastAsia="Arial" w:hAnsi="Arial"/>
          <w:sz w:val="16"/>
          <w:szCs w:val="16"/>
          <w:color w:val="0000EE"/>
        </w:rPr>
        <w:t xml:space="preserve"> </w:t>
      </w:r>
      <w:r>
        <w:rPr>
          <w:rFonts w:ascii="Arial" w:cs="Arial" w:eastAsia="Arial" w:hAnsi="Arial"/>
          <w:sz w:val="16"/>
          <w:szCs w:val="16"/>
          <w:color w:val="000000"/>
        </w:rPr>
        <w:t>Reports on Form 10-Q for the quarterly periods ended March 31, 2018, June 30, 2018 and September 29, 2018, or our Quarterly Reports, each of which is incorporated by reference in this prospectus, and under “Risk Factors” or any similar caption in the other documents and reports that we file with the SEC after the date of this prospectus that are incorporated or deemed to be incorporated by reference in this prospectus as well as any risks described in any applicable prospectus supplement or free writing prospectus that we provide you in connection with an offering of common stock pursuant to this prospectus. Any of these risks could materially and adversely affect our business, financial condition, or results of operations. The selected risks incorporated by reference in this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69" w:lineRule="exact"/>
        <w:rPr>
          <w:rFonts w:ascii="Arial" w:cs="Arial" w:eastAsia="Arial" w:hAnsi="Arial"/>
          <w:sz w:val="16"/>
          <w:szCs w:val="16"/>
          <w:color w:val="0000EE"/>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Certain matters we discuss in this prospectus and in any prospectus supplement or free writing prospectus that we may provide to you in connection with an offering of our common stock described in this prospectus, and in the documents we incorporate or are deemed to be incorporated by reference by herein or therein,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1" w:lineRule="exact"/>
        <w:rPr>
          <w:sz w:val="20"/>
          <w:szCs w:val="20"/>
          <w:color w:val="auto"/>
        </w:rPr>
      </w:pPr>
    </w:p>
    <w:p>
      <w:pPr>
        <w:ind w:right="20" w:firstLine="3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There are a number of risks, uncertainties, and other important factors, many of which are beyond our control, that could cause our actual results to differ materially from the forward-looking statements contained or incorporated by reference in this prospectus and any prospectus supplement. Such risks, uncertainties, and other important factors include, among others, the risks, uncertainties and factors set forth under </w:t>
      </w:r>
      <w:hyperlink r:id="rId72">
        <w:r>
          <w:rPr>
            <w:rFonts w:ascii="Arial" w:cs="Arial" w:eastAsia="Arial" w:hAnsi="Arial"/>
            <w:sz w:val="18"/>
            <w:szCs w:val="18"/>
            <w:u w:val="single" w:color="auto"/>
            <w:color w:val="0000EE"/>
          </w:rPr>
          <w:t>“Risk Factors”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Annual Report, which is incorporated herein by reference in this prospectus, and the following:</w:t>
      </w:r>
    </w:p>
    <w:p>
      <w:pPr>
        <w:spacing w:after="0" w:line="80"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ind w:firstLine="360"/>
        <w:spacing w:after="0" w:line="276" w:lineRule="auto"/>
        <w:rPr>
          <w:rFonts w:ascii="Arial" w:cs="Arial" w:eastAsia="Arial" w:hAnsi="Arial"/>
          <w:sz w:val="17"/>
          <w:szCs w:val="17"/>
          <w:color w:val="0000EE"/>
        </w:rPr>
      </w:pPr>
      <w:r>
        <w:rPr>
          <w:rFonts w:ascii="Arial" w:cs="Arial" w:eastAsia="Arial" w:hAnsi="Arial"/>
          <w:sz w:val="17"/>
          <w:szCs w:val="17"/>
          <w:color w:val="auto"/>
        </w:rPr>
        <w:t xml:space="preserve">There may be other factors that could cause our actual results to differ materially from the forward-looking statements, </w:t>
      </w:r>
      <w:hyperlink r:id="rId73">
        <w:r>
          <w:rPr>
            <w:rFonts w:ascii="Arial" w:cs="Arial" w:eastAsia="Arial" w:hAnsi="Arial"/>
            <w:sz w:val="17"/>
            <w:szCs w:val="17"/>
            <w:color w:val="auto"/>
          </w:rPr>
          <w:t xml:space="preserve">including factors disclosed under </w:t>
        </w:r>
        <w:r>
          <w:rPr>
            <w:rFonts w:ascii="Arial" w:cs="Arial" w:eastAsia="Arial" w:hAnsi="Arial"/>
            <w:sz w:val="17"/>
            <w:szCs w:val="17"/>
            <w:u w:val="single" w:color="auto"/>
            <w:color w:val="0000EE"/>
          </w:rPr>
          <w:t>“Risk Factors”</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“Management’s Discussion and Analysis of Financial Condition and Results of</w:t>
        </w:r>
      </w:hyperlink>
      <w:r>
        <w:rPr>
          <w:rFonts w:ascii="Arial" w:cs="Arial" w:eastAsia="Arial" w:hAnsi="Arial"/>
          <w:sz w:val="17"/>
          <w:szCs w:val="17"/>
          <w:color w:val="auto"/>
        </w:rPr>
        <w:t xml:space="preserve"> </w:t>
      </w:r>
      <w:hyperlink r:id="rId73">
        <w:r>
          <w:rPr>
            <w:rFonts w:ascii="Arial" w:cs="Arial" w:eastAsia="Arial" w:hAnsi="Arial"/>
            <w:sz w:val="17"/>
            <w:szCs w:val="17"/>
            <w:u w:val="single" w:color="auto"/>
            <w:color w:val="0000EE"/>
          </w:rPr>
          <w:t>Operations”</w:t>
        </w:r>
        <w:r>
          <w:rPr>
            <w:rFonts w:ascii="Arial" w:cs="Arial" w:eastAsia="Arial" w:hAnsi="Arial"/>
            <w:sz w:val="17"/>
            <w:szCs w:val="17"/>
            <w:color w:val="0000EE"/>
          </w:rPr>
          <w:t xml:space="preserve"> </w:t>
        </w:r>
        <w:r>
          <w:rPr>
            <w:rFonts w:ascii="Arial" w:cs="Arial" w:eastAsia="Arial" w:hAnsi="Arial"/>
            <w:sz w:val="17"/>
            <w:szCs w:val="17"/>
            <w:color w:val="000000"/>
          </w:rPr>
          <w:t>in our Annual Report and</w:t>
        </w:r>
        <w:r>
          <w:rPr>
            <w:rFonts w:ascii="Arial" w:cs="Arial" w:eastAsia="Arial" w:hAnsi="Arial"/>
            <w:sz w:val="17"/>
            <w:szCs w:val="17"/>
            <w:color w:val="0000EE"/>
          </w:rPr>
          <w:t xml:space="preserve"> </w:t>
        </w:r>
      </w:hyperlink>
      <w:hyperlink r:id="rId74">
        <w:r>
          <w:rPr>
            <w:rFonts w:ascii="Arial" w:cs="Arial" w:eastAsia="Arial" w:hAnsi="Arial"/>
            <w:sz w:val="17"/>
            <w:szCs w:val="17"/>
            <w:u w:val="single" w:color="auto"/>
            <w:color w:val="0000EE"/>
          </w:rPr>
          <w:t>“Management’s Discussion and Analysis of Financial Condition and Results of Operations”</w:t>
        </w:r>
      </w:hyperlink>
      <w:r>
        <w:rPr>
          <w:rFonts w:ascii="Arial" w:cs="Arial" w:eastAsia="Arial" w:hAnsi="Arial"/>
          <w:sz w:val="17"/>
          <w:szCs w:val="17"/>
          <w:color w:val="0000EE"/>
        </w:rPr>
        <w:t xml:space="preserve"> </w:t>
      </w:r>
      <w:r>
        <w:rPr>
          <w:rFonts w:ascii="Arial" w:cs="Arial" w:eastAsia="Arial" w:hAnsi="Arial"/>
          <w:sz w:val="17"/>
          <w:szCs w:val="17"/>
          <w:color w:val="000000"/>
        </w:rPr>
        <w:t>in our Quarterly Reports, which are incorporated herein by reference. You should evaluate all forward-looking statements made, or incorporated by reference, in this prospectus in the context of these risks and uncertainties.</w:t>
      </w:r>
    </w:p>
    <w:p>
      <w:pPr>
        <w:spacing w:after="0" w:line="64" w:lineRule="exact"/>
        <w:rPr>
          <w:rFonts w:ascii="Arial" w:cs="Arial" w:eastAsia="Arial" w:hAnsi="Arial"/>
          <w:sz w:val="17"/>
          <w:szCs w:val="17"/>
          <w:color w:val="auto"/>
        </w:rPr>
      </w:pPr>
    </w:p>
    <w:p>
      <w:pPr>
        <w:ind w:right="160" w:firstLine="360"/>
        <w:spacing w:after="0" w:line="272"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or in the documents incorporated by reference herein apply only as of the date made and are expressly qualified in their entirety by the cautionary statements included in this prospectus or in the documents incorporated by reference herein. We undertake no obligation to publicly update or revise any forward-looking statements to reflect subsequent events or circumstances.</w:t>
      </w:r>
    </w:p>
    <w:p>
      <w:pPr>
        <w:spacing w:after="0" w:line="178"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not receive any of the proceeds from a sale of shares of our common stock by any selling stockholders.</w:t>
      </w:r>
    </w:p>
    <w:p>
      <w:pPr>
        <w:spacing w:after="0" w:line="24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incorporated by reference as exhibits to the registration statement of which this prospectus is a part.</w:t>
      </w:r>
    </w:p>
    <w:p>
      <w:pPr>
        <w:spacing w:after="0" w:line="73"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 Our authorized capital stock consists of 200,000,000 shares of common stock, par value $0.01 per share, and 50,000,000 shares of preferred stock, par value $0.01 per share. No shares of preferred stock are issued or outstanding as of the date of this prospectus. Unless our board of directors, or Board of Directors, determines otherwise, we will issue all shares of our capital stock in uncertificated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All shares of our common stock outstanding as of the date of this prospectus are fully paid and non-assessable. The rights, powers, preferences and privileges of holders of our common stock will be subject to those of the holders of any shares of our preferred stock we may authorize and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3"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62" w:lineRule="exact"/>
        <w:rPr>
          <w:rFonts w:ascii="Arial" w:cs="Arial" w:eastAsia="Arial" w:hAnsi="Arial"/>
          <w:sz w:val="18"/>
          <w:szCs w:val="18"/>
          <w:color w:val="auto"/>
        </w:rPr>
      </w:pPr>
    </w:p>
    <w:p>
      <w:pPr>
        <w:ind w:left="700" w:right="80" w:hanging="356"/>
        <w:spacing w:after="0" w:line="279"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7" w:lineRule="exact"/>
        <w:rPr>
          <w:sz w:val="20"/>
          <w:szCs w:val="20"/>
          <w:color w:val="auto"/>
        </w:rPr>
      </w:pPr>
    </w:p>
    <w:p>
      <w:pPr>
        <w:ind w:left="700" w:right="22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8"/>
          <w:szCs w:val="18"/>
          <w:color w:val="auto"/>
        </w:rPr>
      </w:pPr>
    </w:p>
    <w:p>
      <w:pPr>
        <w:ind w:left="700" w:right="100" w:hanging="356"/>
        <w:spacing w:after="0" w:line="257"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outstanding voting stock that is not owned by the interested stockholder.</w:t>
      </w:r>
    </w:p>
    <w:p>
      <w:pPr>
        <w:spacing w:after="0" w:line="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6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KKR Sponsor and Berkshire, or the Sponsors,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20" w:firstLine="360"/>
        <w:spacing w:after="0" w:line="268"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 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the Sponsors under the stockholders agreement,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that special meetings of our stockholders may be called at any time only by or at the direction of the Board of Directors or the chairman of the Board of Directors. Our amended and restated bylaws prohibits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w:t>
      </w:r>
    </w:p>
    <w:p>
      <w:pPr>
        <w:spacing w:after="0" w:line="81"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influence or obtain control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right="60" w:firstLine="360"/>
        <w:spacing w:after="0" w:line="263"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Any amendment, alteration, change, addition, rescission or repeal of our amended and restated bylaws by our stockholders requires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6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12" w:lineRule="auto"/>
        <w:rPr>
          <w:sz w:val="20"/>
          <w:szCs w:val="20"/>
          <w:color w:val="auto"/>
        </w:rPr>
      </w:pPr>
      <w:r>
        <w:rPr>
          <w:rFonts w:ascii="Arial" w:cs="Arial" w:eastAsia="Arial" w:hAnsi="Arial"/>
          <w:sz w:val="18"/>
          <w:szCs w:val="18"/>
          <w:color w:val="auto"/>
        </w:rPr>
        <w:t>The following provisions in our amended and restated certificate of incorporation may be amended, altered, repealed or rescinded only by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2" w:lineRule="exact"/>
        <w:rPr>
          <w:sz w:val="20"/>
          <w:szCs w:val="20"/>
          <w:color w:val="auto"/>
        </w:rPr>
      </w:pPr>
    </w:p>
    <w:p>
      <w:pPr>
        <w:ind w:left="700" w:hanging="356"/>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supermajority vote for stockholders to amend our amended and restated bylaws;</w:t>
      </w:r>
    </w:p>
    <w:p>
      <w:pPr>
        <w:spacing w:after="0" w:line="111" w:lineRule="exact"/>
        <w:rPr>
          <w:rFonts w:ascii="Arial" w:cs="Arial" w:eastAsia="Arial" w:hAnsi="Arial"/>
          <w:sz w:val="17"/>
          <w:szCs w:val="17"/>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1"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3"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supermajority vote.</w:t>
      </w:r>
    </w:p>
    <w:p>
      <w:pPr>
        <w:spacing w:after="0" w:line="112" w:lineRule="exact"/>
        <w:rPr>
          <w:sz w:val="20"/>
          <w:szCs w:val="20"/>
          <w:color w:val="auto"/>
        </w:rPr>
      </w:pPr>
    </w:p>
    <w:p>
      <w:pPr>
        <w:ind w:right="120" w:firstLine="360"/>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Information about selling stockholders will be set forth in a prospectus supplement, in a post-effective amendment or in filings we will make with the SEC that are incorporated by reference in this prospectus.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selling stockholders may sell the shares of our common stock covered by this prospectus in any of the following ways (or in any combination):</w:t>
      </w:r>
    </w:p>
    <w:p>
      <w:pPr>
        <w:spacing w:after="0" w:line="62" w:lineRule="exact"/>
        <w:rPr>
          <w:sz w:val="20"/>
          <w:szCs w:val="20"/>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or through underwriters, brokers or dealers (acting as agent or principal);</w:t>
      </w:r>
    </w:p>
    <w:p>
      <w:pPr>
        <w:spacing w:after="0" w:line="117" w:lineRule="exact"/>
        <w:rPr>
          <w:rFonts w:ascii="Arial" w:cs="Arial" w:eastAsia="Arial" w:hAnsi="Arial"/>
          <w:sz w:val="18"/>
          <w:szCs w:val="18"/>
          <w:color w:val="auto"/>
        </w:rPr>
      </w:pPr>
    </w:p>
    <w:p>
      <w:pPr>
        <w:ind w:left="700" w:right="160" w:hanging="356"/>
        <w:spacing w:after="0" w:line="308"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through a block trade in which the broker or dealer engaged to handle the block trade will attempt to sell the securities as an agent, but may position and resell a portion of the block as principal to facilitate the transaction;</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directly to one or more purchasers, including through a specific bidding or auction process or otherwise;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directly to or through agents;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1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w:t>
      </w:r>
    </w:p>
    <w:p>
      <w:pPr>
        <w:spacing w:after="0" w:line="62"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Each time that the selling stockholders sell shares of our common stock covered by this prospectus, we will provide a prospectus supplement that will describe the method of distribution and set forth the terms and conditions of the offering of such shares, including:</w:t>
      </w:r>
    </w:p>
    <w:p>
      <w:pPr>
        <w:spacing w:after="0" w:line="73" w:lineRule="exact"/>
        <w:rPr>
          <w:sz w:val="20"/>
          <w:szCs w:val="20"/>
          <w:color w:val="auto"/>
        </w:rPr>
      </w:pPr>
    </w:p>
    <w:p>
      <w:pPr>
        <w:ind w:left="700" w:right="12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shares underwritten or purchased by each of them;</w:t>
      </w:r>
    </w:p>
    <w:p>
      <w:pPr>
        <w:spacing w:after="0" w:line="62" w:lineRule="exact"/>
        <w:rPr>
          <w:rFonts w:ascii="Arial" w:cs="Arial" w:eastAsia="Arial" w:hAnsi="Arial"/>
          <w:sz w:val="18"/>
          <w:szCs w:val="18"/>
          <w:color w:val="auto"/>
        </w:rPr>
      </w:pPr>
    </w:p>
    <w:p>
      <w:pPr>
        <w:jc w:val="both"/>
        <w:ind w:left="700" w:right="40" w:hanging="356"/>
        <w:spacing w:after="0" w:line="26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offering price of the shares and the proceeds to the selling stockholders, and any underwriting discounts, commissions, concessions or agency fees allowed or reallowed or paid to dealers, and other items constituting underwriters’, dealers’, or agents’ compensation, as applicable;</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options under which underwriters may purchase additional shares from the selling stockholders;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securities exchange or market on which the shares may be listed or traded.</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Any offering price and any discounts, commissions, concessions or agency fees allowed or reallowed or paid to dealers may be changed from time to time. The selling stockholders may determine the price or other terms of the shares of our common stock offered under this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spacing w:after="0" w:line="8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 selling stockholders sell securities to a dealer acting as a principal, the dealer may resell such securities at varying prices to be determined by such dealer in its discretion at the time of resale without consulting with the selling stockholders and such resale prices may not be disclosed in the applicable prospectus supplement.</w:t>
      </w:r>
    </w:p>
    <w:p>
      <w:pPr>
        <w:spacing w:after="0" w:line="73"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The selling stockholders may distribute the shares from time to time in one or more transactions at a fixed price or at prices that may be changed from time to time, at market prices prevailing at the time of sale, at prices relating to such prevailing market prices or at negotiated prices. Any of the prices may represent a discount of then-prevailing market prices.</w:t>
      </w:r>
    </w:p>
    <w:p>
      <w:pPr>
        <w:spacing w:after="0" w:line="5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Underwriters, dealers or any other third parties described above may offer and sell the offered shares from time to time in one or more transactions, including negotiated transactions, at a fixed public offering price or at varying prices determined at the time of sale. If underwriters or dealers are used in the sale of any shares, the shares will be acquired by the underwriters or dealers for their own account and may be resold from time to time in one or more transactions, including negotiated transactions, at a fixed public offering price or at varying prices determined at the time of sale. The shares may be either offered to the public through underwriting syndicates represented by managing underwriters, or directly by underwriters. Generally, the underwriters’ obligations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purchase the shares will be subject to certain conditions precedent. The underwriters will be obligated to purchase all of the shares if they purchase any of the shares (other than any shares purchased upon exercise of any option to purchase additional shares), unless otherwise specified in the prospectus supplement. The selling stockholders may use underwriters with whom we have a material relationship. We will describe the nature of any such relationship in the prospectus supplement, naming the underwriter or underwriters.</w:t>
      </w:r>
    </w:p>
    <w:p>
      <w:pPr>
        <w:spacing w:after="0" w:line="80"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The selling stockholders may sell the shares through agents from time to time. The prospectus supplement will name any agent involved in the offer or sale of the shares and any commissions paid to them. Generally, any agent will be acting on a best efforts basis for the period of its appointment. The selling stockholders may engage in at the market offerings into an existing trading market in accordance with Rule 415(a)(4) under the Securities Act. The selling stockholders may authorize underwriters, dealers or agents to solicit offers by certain purchasers to purchase the shares from the selling stockholders at the public offering price set forth in the prospectus supplement pursuant to delayed delivery contracts providing for payment and delivery on a specified date in the future. These contracts will be subject only to those conditions set forth in the prospectus supplement, and the prospectus supplement will set forth any commissions to be paid for solicitation of these contracts. Any underwriters, broker-dealers and agents that participate in the distribution of the shares may be deemed to be “underwriters” as defined in the Securities Act. Any commissions paid or any discounts or concessions allowed to any such persons, and any profits they receive on resale of the shares, may be deemed to be underwriting discounts and commissions under the Securities Act. We will identify any underwriters or agents and describe their compensation in a prospectus supplement.</w:t>
      </w:r>
    </w:p>
    <w:p>
      <w:pPr>
        <w:spacing w:after="0" w:line="6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Offered shares may also be offered and sold, if so indicated in the applicable prospectus supplement, in connection with a remarketing upon their purchase, in accordance with a redemption or repayment pursuant to their terms, or otherwise, by one or more marketing firms, acting as principals for their own accounts or as agents for the selling stockholders. Any remarketing firm will be identified and the terms of its agreements, if any, with us and its compensation will be described in the applicable prospectus supplement.</w:t>
      </w:r>
    </w:p>
    <w:p>
      <w:pPr>
        <w:spacing w:after="0" w:line="80"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Underwriters or agents may purchase and sell the shares in the open market. These transactions may include over-allotments or short sales of the securities, stabilizing transactions, syndicate covering transactions and penalty bids.</w:t>
      </w:r>
    </w:p>
    <w:p>
      <w:pPr>
        <w:spacing w:after="0" w:line="3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Over-allotment or short sales involve sales by persons participating in the offering of more securities than were sold to them. In these circumstances, these persons would cover such over-allotments or short positions by making purchases in the open market or by exercising their over-allotment option, if any. Stabilizing transactions consist of bids or purchases for the purpose of preventing or retarding a decline in the market price of the shares and are permitted so long as the stabilizing bids do not exceed a specified maximum. Syndicate covering transactions involve the placing of any bid on behalf of the underwriting syndicate or the effecting of any purchase to reduce a short position created in connection with the offering. The underwriters or agents also may impose a penalty bid, which permits them to reclaim selling concessions allowed to syndicate members or certain dealers if they repurchase the shares in stabilizing or covering transactions. These activities may stabilize, maintain or otherwise affect the market price of the shares, which may be higher than the price that might otherwise prevail in the open market. These activities, if begun, may be discontinued at any time. These transactions may be effected on any exchange on which the shares are traded, in the over-the-counter market or otherwise.</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under the symbol “EYE.”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at the time of any offering made under this prospectus a member of the Financial Industry Regulatory Authority, Inc., or FINRA, participating in the offering has a “conflict of interest” as defined in FINRA’s Rule 5121, or Rule 5121, that offering will be conducted in accordance with the relevant provisions of Rule 5121.</w:t>
      </w:r>
    </w:p>
    <w:p>
      <w:pPr>
        <w:spacing w:after="0" w:line="73"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There can be no assurance that the selling stockholders will sell all or any of the shares of common stock offered by this prospectus.</w:t>
      </w:r>
    </w:p>
    <w:p>
      <w:pPr>
        <w:spacing w:after="0" w:line="62" w:lineRule="exact"/>
        <w:rPr>
          <w:sz w:val="20"/>
          <w:szCs w:val="20"/>
          <w:color w:val="auto"/>
        </w:rPr>
      </w:pPr>
    </w:p>
    <w:p>
      <w:pPr>
        <w:ind w:right="620" w:firstLine="360"/>
        <w:spacing w:after="0" w:line="308" w:lineRule="auto"/>
        <w:rPr>
          <w:sz w:val="20"/>
          <w:szCs w:val="20"/>
          <w:color w:val="auto"/>
        </w:rPr>
      </w:pPr>
      <w:r>
        <w:rPr>
          <w:rFonts w:ascii="Arial" w:cs="Arial" w:eastAsia="Arial" w:hAnsi="Arial"/>
          <w:sz w:val="17"/>
          <w:szCs w:val="17"/>
          <w:color w:val="auto"/>
        </w:rPr>
        <w:t>The selling stockholders may also sell securities under Rule 144 of the Securities Act, if available, or pursuant to other available exemptions from registration requirements under the Securities Act, rather than under this prospectus.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99" w:firstLine="360"/>
        <w:spacing w:after="0" w:line="264" w:lineRule="auto"/>
        <w:rPr>
          <w:sz w:val="20"/>
          <w:szCs w:val="20"/>
          <w:color w:val="auto"/>
        </w:rPr>
      </w:pPr>
      <w:r>
        <w:rPr>
          <w:rFonts w:ascii="Arial" w:cs="Arial" w:eastAsia="Arial" w:hAnsi="Arial"/>
          <w:sz w:val="18"/>
          <w:szCs w:val="18"/>
          <w:color w:val="auto"/>
        </w:rPr>
        <w:t>Agents, dealers and underwriters may be entitled to indemnification by us and the selling stockholders against certain civil liabilities, including liabilities under the Securities Act, or to contribution with respect to payments which the agents, dealers or underwriters may be required to make in respect thereof.</w:t>
      </w:r>
    </w:p>
    <w:p>
      <w:pPr>
        <w:spacing w:after="0" w:line="73" w:lineRule="exact"/>
        <w:rPr>
          <w:sz w:val="20"/>
          <w:szCs w:val="20"/>
          <w:color w:val="auto"/>
        </w:rPr>
      </w:pPr>
    </w:p>
    <w:p>
      <w:pPr>
        <w:jc w:val="both"/>
        <w:ind w:right="119" w:firstLine="360"/>
        <w:spacing w:after="0" w:line="277" w:lineRule="auto"/>
        <w:rPr>
          <w:sz w:val="20"/>
          <w:szCs w:val="20"/>
          <w:color w:val="auto"/>
        </w:rPr>
      </w:pPr>
      <w:r>
        <w:rPr>
          <w:rFonts w:ascii="Arial" w:cs="Arial" w:eastAsia="Arial" w:hAnsi="Arial"/>
          <w:sz w:val="18"/>
          <w:szCs w:val="18"/>
          <w:color w:val="auto"/>
        </w:rPr>
        <w:t>The specific terms of the lock-up provisions in respect of any given offering will be described in the applicable prospectus supplement.</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Unless we state otherwise in the applicable prospectus supplement, the validity of the shares of common stock offered by this prospectus will be passed upon for us and the selling stockholders by Simpson Thacher &amp; Bartlett LLP, New York, New York.</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w:t>
      </w:r>
      <w:hyperlink r:id="rId77">
        <w:r>
          <w:rPr>
            <w:rFonts w:ascii="Arial" w:cs="Arial" w:eastAsia="Arial" w:hAnsi="Arial"/>
            <w:sz w:val="17"/>
            <w:szCs w:val="17"/>
            <w:u w:val="single" w:color="auto"/>
            <w:color w:val="0000EE"/>
          </w:rPr>
          <w:t>consolidated financial statements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incorporated in this prospectus by reference from the Company’s Annual Report on Form 10-K have been audited by Deloitte &amp; Touche LLP, an independent registered public accounting firm, as stated in their </w:t>
      </w:r>
      <w:hyperlink r:id="rId77">
        <w:r>
          <w:rPr>
            <w:rFonts w:ascii="Arial" w:cs="Arial" w:eastAsia="Arial" w:hAnsi="Arial"/>
            <w:sz w:val="17"/>
            <w:szCs w:val="17"/>
            <w:u w:val="single" w:color="auto"/>
            <w:color w:val="0000EE"/>
          </w:rPr>
          <w:t>report</w:t>
        </w:r>
      </w:hyperlink>
      <w:r>
        <w:rPr>
          <w:rFonts w:ascii="Arial" w:cs="Arial" w:eastAsia="Arial" w:hAnsi="Arial"/>
          <w:sz w:val="17"/>
          <w:szCs w:val="17"/>
          <w:color w:val="auto"/>
        </w:rPr>
        <w:t>, which is incorporated herein by reference. Such consolidated financial statements have been so incorporated in reliance upon the report of such firm given upon their authority as experts in accounting and auditing.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0"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Securities Exchange Act of 1934, as amended, or the Exchange Act, and applicable SEC rules, are not deemed “filed”) and all documents that we subsequently file with the SEC under Sections 13(a), 13(c), 14 or 15(d) of the Exchange Act prior to the termination of the offering of shares by means of this prospectus but excluding any documents furnished to, rather than filed with, the SEC, will also be incorporated by reference in this prospectus and deemed to be part of this prospectus, from their respective filing dates:</w:t>
      </w:r>
    </w:p>
    <w:p>
      <w:pPr>
        <w:spacing w:after="0" w:line="58" w:lineRule="exact"/>
        <w:rPr>
          <w:sz w:val="20"/>
          <w:szCs w:val="20"/>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9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30, 2017, filed on March 8, 2018;</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95">
        <w:r>
          <w:rPr>
            <w:rFonts w:ascii="Arial" w:cs="Arial" w:eastAsia="Arial" w:hAnsi="Arial"/>
            <w:sz w:val="18"/>
            <w:szCs w:val="18"/>
            <w:u w:val="single" w:color="auto"/>
            <w:color w:val="0000EE"/>
          </w:rPr>
          <w:t>March 31, 2018</w:t>
        </w:r>
      </w:hyperlink>
      <w:r>
        <w:rPr>
          <w:rFonts w:ascii="Arial" w:cs="Arial" w:eastAsia="Arial" w:hAnsi="Arial"/>
          <w:sz w:val="18"/>
          <w:szCs w:val="18"/>
          <w:color w:val="auto"/>
        </w:rPr>
        <w:t xml:space="preserve">, filed on May 15, 2018, </w:t>
      </w:r>
      <w:hyperlink r:id="rId96">
        <w:r>
          <w:rPr>
            <w:rFonts w:ascii="Arial" w:cs="Arial" w:eastAsia="Arial" w:hAnsi="Arial"/>
            <w:sz w:val="18"/>
            <w:szCs w:val="18"/>
            <w:u w:val="single" w:color="auto"/>
            <w:color w:val="0000EE"/>
          </w:rPr>
          <w:t>June 30, 2018</w:t>
        </w:r>
      </w:hyperlink>
      <w:r>
        <w:rPr>
          <w:rFonts w:ascii="Arial" w:cs="Arial" w:eastAsia="Arial" w:hAnsi="Arial"/>
          <w:sz w:val="18"/>
          <w:szCs w:val="18"/>
          <w:color w:val="auto"/>
        </w:rPr>
        <w:t xml:space="preserve">, filed on August 14, 2018, and </w:t>
      </w:r>
      <w:hyperlink r:id="rId97">
        <w:r>
          <w:rPr>
            <w:rFonts w:ascii="Arial" w:cs="Arial" w:eastAsia="Arial" w:hAnsi="Arial"/>
            <w:sz w:val="18"/>
            <w:szCs w:val="18"/>
            <w:u w:val="single" w:color="auto"/>
            <w:color w:val="0000EE"/>
          </w:rPr>
          <w:t>September 29, 2018</w:t>
        </w:r>
      </w:hyperlink>
      <w:r>
        <w:rPr>
          <w:rFonts w:ascii="Arial" w:cs="Arial" w:eastAsia="Arial" w:hAnsi="Arial"/>
          <w:sz w:val="18"/>
          <w:szCs w:val="18"/>
          <w:color w:val="auto"/>
        </w:rPr>
        <w:t>, filed on November 13, 2018;</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33"/>
        </w:numPr>
        <w:rPr>
          <w:rFonts w:ascii="Arial" w:cs="Arial" w:eastAsia="Arial" w:hAnsi="Arial"/>
          <w:sz w:val="18"/>
          <w:szCs w:val="18"/>
          <w:color w:val="0000EE"/>
        </w:rPr>
      </w:pPr>
      <w:hyperlink r:id="rId98">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January 23, 2018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19, 2018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7, 2018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July 30, 2018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September 10,</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EE"/>
          </w:rPr>
          <w:t>2018</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99">
        <w:r>
          <w:rPr>
            <w:rFonts w:ascii="Arial" w:cs="Arial" w:eastAsia="Arial" w:hAnsi="Arial"/>
            <w:sz w:val="18"/>
            <w:szCs w:val="18"/>
            <w:u w:val="single" w:color="auto"/>
            <w:color w:val="0000EE"/>
          </w:rPr>
          <w:t>October 9, 2018</w:t>
        </w:r>
      </w:hyperlink>
      <w:hyperlink r:id="rId98">
        <w:r>
          <w:rPr>
            <w:rFonts w:ascii="Arial" w:cs="Arial" w:eastAsia="Arial" w:hAnsi="Arial"/>
            <w:sz w:val="18"/>
            <w:szCs w:val="18"/>
            <w:color w:val="000000"/>
          </w:rPr>
          <w:t>; and</w:t>
        </w:r>
      </w:hyperlink>
    </w:p>
    <w:p>
      <w:pPr>
        <w:spacing w:after="0" w:line="62" w:lineRule="exact"/>
        <w:rPr>
          <w:rFonts w:ascii="Arial" w:cs="Arial" w:eastAsia="Arial" w:hAnsi="Arial"/>
          <w:sz w:val="18"/>
          <w:szCs w:val="18"/>
          <w:color w:val="0000EE"/>
        </w:rPr>
      </w:pPr>
    </w:p>
    <w:p>
      <w:pPr>
        <w:ind w:left="700" w:right="340" w:hanging="356"/>
        <w:spacing w:after="0" w:line="308" w:lineRule="auto"/>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the Registration Statement on </w:t>
      </w:r>
      <w:hyperlink r:id="rId66">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October 24, 2017, including any amendments or reports filed for the purposes of updating such description.</w:t>
      </w:r>
    </w:p>
    <w:p>
      <w:pPr>
        <w:spacing w:after="0" w:line="38" w:lineRule="exact"/>
        <w:rPr>
          <w:rFonts w:ascii="Arial" w:cs="Arial" w:eastAsia="Arial" w:hAnsi="Arial"/>
          <w:sz w:val="18"/>
          <w:szCs w:val="18"/>
          <w:color w:val="0000EE"/>
        </w:rPr>
      </w:pPr>
    </w:p>
    <w:p>
      <w:pPr>
        <w:ind w:right="40" w:firstLine="360"/>
        <w:spacing w:after="0" w:line="264"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81"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National Vision Holdings, Inc., 2435 Commerce Avenue, Bldg. 2200, Duluth, Georgia 30096; Attention: Corporate Secretary (telephone: 770-822-3600).</w:t>
      </w:r>
    </w:p>
    <w:p>
      <w:pPr>
        <w:spacing w:after="0" w:line="4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9,149,908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226695</wp:posOffset>
            </wp:positionV>
            <wp:extent cx="1346200" cy="1046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60"/>
        <w:spacing w:after="0"/>
        <w:rPr>
          <w:sz w:val="20"/>
          <w:szCs w:val="20"/>
          <w:color w:val="auto"/>
        </w:rPr>
      </w:pPr>
      <w:r>
        <w:rPr>
          <w:rFonts w:ascii="Arial" w:cs="Arial" w:eastAsia="Arial" w:hAnsi="Arial"/>
          <w:sz w:val="32"/>
          <w:szCs w:val="32"/>
          <w:b w:val="1"/>
          <w:bCs w:val="1"/>
          <w:color w:val="auto"/>
        </w:rPr>
        <w:t>National Vision Holdings, Inc.</w:t>
      </w:r>
    </w:p>
    <w:p>
      <w:pPr>
        <w:spacing w:after="0" w:line="200" w:lineRule="exact"/>
        <w:rPr>
          <w:sz w:val="20"/>
          <w:szCs w:val="20"/>
          <w:color w:val="auto"/>
        </w:rPr>
      </w:pPr>
    </w:p>
    <w:p>
      <w:pPr>
        <w:spacing w:after="0" w:line="283" w:lineRule="exact"/>
        <w:rPr>
          <w:sz w:val="20"/>
          <w:szCs w:val="20"/>
          <w:color w:val="auto"/>
        </w:rPr>
      </w:pPr>
    </w:p>
    <w:p>
      <w:pPr>
        <w:jc w:val="center"/>
        <w:ind w:right="-260"/>
        <w:spacing w:after="0"/>
        <w:rPr>
          <w:sz w:val="20"/>
          <w:szCs w:val="20"/>
          <w:color w:val="auto"/>
        </w:rPr>
      </w:pPr>
      <w:r>
        <w:rPr>
          <w:rFonts w:ascii="Arial" w:cs="Arial" w:eastAsia="Arial" w:hAnsi="Arial"/>
          <w:sz w:val="36"/>
          <w:szCs w:val="3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739140</wp:posOffset>
            </wp:positionV>
            <wp:extent cx="14490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Prospectus</w:t>
      </w:r>
    </w:p>
    <w:p>
      <w:pPr>
        <w:spacing w:after="0" w:line="200" w:lineRule="exact"/>
        <w:rPr>
          <w:sz w:val="20"/>
          <w:szCs w:val="20"/>
          <w:color w:val="auto"/>
        </w:rPr>
      </w:pPr>
    </w:p>
    <w:p>
      <w:pPr>
        <w:spacing w:after="0" w:line="242"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158115</wp:posOffset>
            </wp:positionV>
            <wp:extent cx="14490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60"/>
        <w:spacing w:after="0"/>
        <w:rPr>
          <w:sz w:val="20"/>
          <w:szCs w:val="20"/>
          <w:color w:val="auto"/>
        </w:rPr>
      </w:pPr>
      <w:r>
        <w:rPr>
          <w:rFonts w:ascii="Arial" w:cs="Arial" w:eastAsia="Arial" w:hAnsi="Arial"/>
          <w:sz w:val="29"/>
          <w:szCs w:val="29"/>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1257935</wp:posOffset>
            </wp:positionV>
            <wp:extent cx="6071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1300480</wp:posOffset>
            </wp:positionV>
            <wp:extent cx="60718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1609725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279"/>
      </w:cols>
      <w:pgMar w:left="1180" w:top="27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2"/>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lvl w:ilvl="1">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2"/>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4"/>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62"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jpe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jpe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5" Type="http://schemas.openxmlformats.org/officeDocument/2006/relationships/hyperlink" Target="http://www.sec.gov/Archives/edgar/data/1710155/000171015519000016/nvhi201810-k.htm#s6EC36FDE58E05D88A13A59F4362EAA98" TargetMode="External"/><Relationship Id="rId16" Type="http://schemas.openxmlformats.org/officeDocument/2006/relationships/hyperlink" Target="http://www.sec.gov/Archives/edgar/data/1710155/000171015519000016/nvhi201810-k.htm#sB189B02D768953BDB9F0C86DA6BC291B" TargetMode="External"/><Relationship Id="rId17" Type="http://schemas.openxmlformats.org/officeDocument/2006/relationships/hyperlink" Target="http://www.sec.gov/Archives/edgar/data/1710155/000171015519000016/nvhi201810-k.htm#s71BC5D7FCE305B54AD2C8694055D01E6" TargetMode="External"/><Relationship Id="rId18" Type="http://schemas.openxmlformats.org/officeDocument/2006/relationships/hyperlink" Target="http://www.sec.gov/Archives/edgar/data/1710155/000171015519000053/a19q2nvhi10-q.htm#s9531E99ED55957F1804B0F3A92C24659" TargetMode="External"/><Relationship Id="rId19" Type="http://schemas.openxmlformats.org/officeDocument/2006/relationships/hyperlink" Target="http://www.sec.gov/Archives/edgar/data/1710155/000171015519000053/a19q2nvhi10-q.htm#s7A1352E146C559F2966843536E3F3E39" TargetMode="External"/><Relationship Id="rId24" Type="http://schemas.openxmlformats.org/officeDocument/2006/relationships/hyperlink" Target="http://www.sec.gov/Archives/edgar/data/1710155/000114420419021138/tv516766-def14a.htm#tNAT12" TargetMode="External"/><Relationship Id="rId46" Type="http://schemas.openxmlformats.org/officeDocument/2006/relationships/hyperlink" Target="http://www.sec.gov/Archives/edgar/data/1710155/000171015519000016/nvhi201810-k.htm#s4C65F2E878D455B7841494F04E58BD9E" TargetMode="External"/><Relationship Id="rId59" Type="http://schemas.openxmlformats.org/officeDocument/2006/relationships/hyperlink" Target="http://www.sec.gov/Archives/edgar/data/1710155/000171015519000016/nvhi201810-k.htm" TargetMode="External"/><Relationship Id="rId60" Type="http://schemas.openxmlformats.org/officeDocument/2006/relationships/hyperlink" Target="http://www.sec.gov/Archives/edgar/data/1710155/000171015519000027/a19q1nvhi10-q.htm" TargetMode="External"/><Relationship Id="rId61" Type="http://schemas.openxmlformats.org/officeDocument/2006/relationships/hyperlink" Target="http://www.sec.gov/Archives/edgar/data/1710155/000171015519000053/a19q2nvhi10-q.htm" TargetMode="External"/><Relationship Id="rId63" Type="http://schemas.openxmlformats.org/officeDocument/2006/relationships/hyperlink" Target="http://www.sec.gov/Archives/edgar/data/1710155/000114420419035109/tv525351_8k.htm" TargetMode="External"/><Relationship Id="rId64" Type="http://schemas.openxmlformats.org/officeDocument/2006/relationships/hyperlink" Target="http://www.sec.gov/Archives/edgar/data/1710155/000114420419035565/tv525585_8k.htm" TargetMode="External"/><Relationship Id="rId65" Type="http://schemas.openxmlformats.org/officeDocument/2006/relationships/hyperlink" Target="http://www.sec.gov/Archives/edgar/data/1710155/000162828019008915/a2019form8-knewboardmember.htm" TargetMode="External"/><Relationship Id="rId66" Type="http://schemas.openxmlformats.org/officeDocument/2006/relationships/hyperlink" Target="http://www.sec.gov/Archives/edgar/data/1710155/000156761917002227/s001582x13_8a12b.htm" TargetMode="External"/><Relationship Id="rId72" Type="http://schemas.openxmlformats.org/officeDocument/2006/relationships/hyperlink" Target="http://www.sec.gov/Archives/edgar/data/1710155/000171015518000012/nhvi201710-k.htm#s272BD4872AC25AB497B958EDC98B510D" TargetMode="External"/><Relationship Id="rId73" Type="http://schemas.openxmlformats.org/officeDocument/2006/relationships/hyperlink" Target="http://www.sec.gov/Archives/edgar/data/1710155/000171015518000012/nhvi201710-k.htm#sCCD93DE5963C5257BA576CBD1DEC8130" TargetMode="External"/><Relationship Id="rId74" Type="http://schemas.openxmlformats.org/officeDocument/2006/relationships/hyperlink" Target="http://www.sec.gov/Archives/edgar/data/1710155/000171015518000049/a18q3nvhi10-q.htm#sAA05FACE43C9523E868C3A1EBF2D2D49" TargetMode="External"/><Relationship Id="rId77" Type="http://schemas.openxmlformats.org/officeDocument/2006/relationships/hyperlink" Target="http://www.sec.gov/Archives/edgar/data/1710155/000171015518000012/nhvi201710-k.htm#sdd5dd138aabd4a64a25eebf34b704c50" TargetMode="External"/><Relationship Id="rId78" Type="http://schemas.openxmlformats.org/officeDocument/2006/relationships/hyperlink" Target="http://www.sec.gov/Archives/edgar/data/1710155/000171015518000049/a18q3nvhi10-q.htm#s5F1E8EE6A5E35FB78512212683984101" TargetMode="External"/><Relationship Id="rId94" Type="http://schemas.openxmlformats.org/officeDocument/2006/relationships/hyperlink" Target="http://www.sec.gov/Archives/edgar/data/1710155/000171015518000012/nhvi201710-k.htm" TargetMode="External"/><Relationship Id="rId95" Type="http://schemas.openxmlformats.org/officeDocument/2006/relationships/hyperlink" Target="http://www.sec.gov/Archives/edgar/data/1710155/000171015518000020/a18q1nhvi10-q.htm" TargetMode="External"/><Relationship Id="rId96" Type="http://schemas.openxmlformats.org/officeDocument/2006/relationships/hyperlink" Target="http://www.sec.gov/Archives/edgar/data/1710155/000171015518000035/a18q2nvhi10-q.htm" TargetMode="External"/><Relationship Id="rId97" Type="http://schemas.openxmlformats.org/officeDocument/2006/relationships/hyperlink" Target="http://www.sec.gov/Archives/edgar/data/1710155/000171015518000049/a18q3nvhi10-q.htm" TargetMode="External"/><Relationship Id="rId98" Type="http://schemas.openxmlformats.org/officeDocument/2006/relationships/hyperlink" Target="http://www.sec.gov/Archives/edgar/data/1710155/000171015518000038/form8-kttaylorcurrentdraft.htm" TargetMode="External"/><Relationship Id="rId99" Type="http://schemas.openxmlformats.org/officeDocument/2006/relationships/hyperlink" Target="http://www.sec.gov/Archives/edgar/data/1710155/000114036118040325/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2019-12-20T16:14:08Z</dcterms:created>
  <dcterms:modified xsi:type="dcterms:W3CDTF">2019-12-20T16:14:08Z</dcterms:modified>
</cp:coreProperties>
</file>