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58420</wp:posOffset>
            </wp:positionV>
            <wp:extent cx="7650480" cy="43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85090</wp:posOffset>
            </wp:positionV>
            <wp:extent cx="7650480" cy="43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CURRENT REPORT</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 xml:space="preserve">Date of Report (Date Earliest Event reported): </w:t>
      </w:r>
      <w:r>
        <w:rPr>
          <w:rFonts w:ascii="Arial" w:cs="Arial" w:eastAsia="Arial" w:hAnsi="Arial"/>
          <w:sz w:val="19"/>
          <w:szCs w:val="19"/>
          <w:color w:val="auto"/>
        </w:rPr>
        <w:t>February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78740</wp:posOffset>
            </wp:positionV>
            <wp:extent cx="7650480" cy="43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National Vision Holdings, Inc.</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64770</wp:posOffset>
            </wp:positionV>
            <wp:extent cx="7650480" cy="43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ectPr>
          <w:pgSz w:w="12240" w:h="15840" w:orient="portrait"/>
          <w:cols w:equalWidth="0" w:num="1">
            <w:col w:w="11980"/>
          </w:cols>
          <w:pgMar w:left="120" w:top="574" w:right="1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19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80"/>
        <w:spacing w:after="0"/>
        <w:rPr>
          <w:sz w:val="20"/>
          <w:szCs w:val="20"/>
          <w:color w:val="auto"/>
        </w:rPr>
      </w:pPr>
      <w:r>
        <w:rPr>
          <w:rFonts w:ascii="Arial" w:cs="Arial" w:eastAsia="Arial" w:hAnsi="Arial"/>
          <w:sz w:val="17"/>
          <w:szCs w:val="17"/>
          <w:b w:val="1"/>
          <w:bCs w:val="1"/>
          <w:color w:val="auto"/>
        </w:rPr>
        <w:t>001-38257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46-4841717</w:t>
      </w:r>
    </w:p>
    <w:p>
      <w:pPr>
        <w:spacing w:after="0" w:line="96" w:lineRule="exact"/>
        <w:rPr>
          <w:sz w:val="24"/>
          <w:szCs w:val="24"/>
          <w:color w:val="auto"/>
        </w:rPr>
      </w:pPr>
    </w:p>
    <w:p>
      <w:pPr>
        <w:sectPr>
          <w:pgSz w:w="12240" w:h="15840" w:orient="portrait"/>
          <w:cols w:equalWidth="0" w:num="3">
            <w:col w:w="4880" w:space="720"/>
            <w:col w:w="2900" w:space="720"/>
            <w:col w:w="2760"/>
          </w:cols>
          <w:pgMar w:left="120" w:top="574" w:right="140"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46" w:lineRule="exact"/>
        <w:rPr>
          <w:sz w:val="24"/>
          <w:szCs w:val="24"/>
          <w:color w:val="auto"/>
        </w:rPr>
      </w:pPr>
    </w:p>
    <w:p>
      <w:pPr>
        <w:sectPr>
          <w:pgSz w:w="12240" w:h="15840" w:orient="portrait"/>
          <w:cols w:equalWidth="0" w:num="3">
            <w:col w:w="4240" w:space="720"/>
            <w:col w:w="2680" w:space="720"/>
            <w:col w:w="3620"/>
          </w:cols>
          <w:pgMar w:left="120" w:top="574" w:right="140" w:bottom="1440" w:gutter="0" w:footer="0" w:header="0"/>
          <w:type w:val="continuous"/>
        </w:sectPr>
      </w:pPr>
    </w:p>
    <w:p>
      <w:pPr>
        <w:ind w:left="1680"/>
        <w:spacing w:after="0"/>
        <w:rPr>
          <w:sz w:val="20"/>
          <w:szCs w:val="20"/>
          <w:color w:val="auto"/>
        </w:rPr>
      </w:pPr>
      <w:r>
        <w:rPr>
          <w:rFonts w:ascii="Arial" w:cs="Arial" w:eastAsia="Arial" w:hAnsi="Arial"/>
          <w:sz w:val="17"/>
          <w:szCs w:val="17"/>
          <w:color w:val="auto"/>
        </w:rPr>
        <w:t>of incorporation)</w:t>
      </w:r>
    </w:p>
    <w:p>
      <w:pPr>
        <w:sectPr>
          <w:pgSz w:w="12240" w:h="15840" w:orient="portrait"/>
          <w:cols w:equalWidth="0" w:num="1">
            <w:col w:w="11980"/>
          </w:cols>
          <w:pgMar w:left="120" w:top="574" w:right="140" w:bottom="1440" w:gutter="0" w:footer="0" w:header="0"/>
          <w:type w:val="continuous"/>
        </w:sect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2435 Commerce Avenue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Bldg. 2200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Duluth, Georgia 30096-4980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(770) 822-3600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(Address, including zip code, and telephone number,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66675</wp:posOffset>
            </wp:positionV>
            <wp:extent cx="7650480" cy="43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pacing w:after="0" w:line="347" w:lineRule="exact"/>
        <w:rPr>
          <w:sz w:val="24"/>
          <w:szCs w:val="24"/>
          <w:color w:val="auto"/>
        </w:rPr>
      </w:pPr>
    </w:p>
    <w:p>
      <w:pPr>
        <w:ind w:right="20"/>
        <w:spacing w:after="0" w:line="275"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27" w:lineRule="exact"/>
        <w:rPr>
          <w:sz w:val="24"/>
          <w:szCs w:val="24"/>
          <w:color w:val="auto"/>
        </w:rPr>
      </w:pPr>
    </w:p>
    <w:p>
      <w:pPr>
        <w:ind w:left="980" w:hanging="437"/>
        <w:spacing w:after="0"/>
        <w:tabs>
          <w:tab w:leader="none" w:pos="9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00" w:lineRule="exact"/>
        <w:rPr>
          <w:rFonts w:ascii="MS PGothic" w:cs="MS PGothic" w:eastAsia="MS PGothic" w:hAnsi="MS PGothic"/>
          <w:sz w:val="19"/>
          <w:szCs w:val="19"/>
          <w:color w:val="auto"/>
        </w:rPr>
      </w:pPr>
    </w:p>
    <w:p>
      <w:pPr>
        <w:spacing w:after="0" w:line="237" w:lineRule="exact"/>
        <w:rPr>
          <w:rFonts w:ascii="MS PGothic" w:cs="MS PGothic" w:eastAsia="MS PGothic" w:hAnsi="MS PGothic"/>
          <w:sz w:val="19"/>
          <w:szCs w:val="19"/>
          <w:color w:val="auto"/>
        </w:rPr>
      </w:pPr>
    </w:p>
    <w:p>
      <w:pPr>
        <w:ind w:left="980" w:hanging="437"/>
        <w:spacing w:after="0"/>
        <w:tabs>
          <w:tab w:leader="none" w:pos="9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200" w:lineRule="exact"/>
        <w:rPr>
          <w:rFonts w:ascii="MS PGothic" w:cs="MS PGothic" w:eastAsia="MS PGothic" w:hAnsi="MS PGothic"/>
          <w:sz w:val="19"/>
          <w:szCs w:val="19"/>
          <w:color w:val="auto"/>
        </w:rPr>
      </w:pPr>
    </w:p>
    <w:p>
      <w:pPr>
        <w:spacing w:after="0" w:line="237" w:lineRule="exact"/>
        <w:rPr>
          <w:rFonts w:ascii="MS PGothic" w:cs="MS PGothic" w:eastAsia="MS PGothic" w:hAnsi="MS PGothic"/>
          <w:sz w:val="19"/>
          <w:szCs w:val="19"/>
          <w:color w:val="auto"/>
        </w:rPr>
      </w:pPr>
    </w:p>
    <w:p>
      <w:pPr>
        <w:ind w:left="980" w:hanging="437"/>
        <w:spacing w:after="0"/>
        <w:tabs>
          <w:tab w:leader="none" w:pos="9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00" w:lineRule="exact"/>
        <w:rPr>
          <w:rFonts w:ascii="MS PGothic" w:cs="MS PGothic" w:eastAsia="MS PGothic" w:hAnsi="MS PGothic"/>
          <w:sz w:val="19"/>
          <w:szCs w:val="19"/>
          <w:color w:val="auto"/>
        </w:rPr>
      </w:pPr>
    </w:p>
    <w:p>
      <w:pPr>
        <w:spacing w:after="0" w:line="237" w:lineRule="exact"/>
        <w:rPr>
          <w:rFonts w:ascii="MS PGothic" w:cs="MS PGothic" w:eastAsia="MS PGothic" w:hAnsi="MS PGothic"/>
          <w:sz w:val="19"/>
          <w:szCs w:val="19"/>
          <w:color w:val="auto"/>
        </w:rPr>
      </w:pPr>
    </w:p>
    <w:p>
      <w:pPr>
        <w:ind w:left="980" w:hanging="437"/>
        <w:spacing w:after="0"/>
        <w:tabs>
          <w:tab w:leader="none" w:pos="9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380" w:lineRule="exact"/>
        <w:rPr>
          <w:sz w:val="24"/>
          <w:szCs w:val="24"/>
          <w:color w:val="auto"/>
        </w:rPr>
      </w:pPr>
    </w:p>
    <w:p>
      <w:pPr>
        <w:spacing w:after="0" w:line="257"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2240" w:h="15840" w:orient="portrait"/>
          <w:cols w:equalWidth="0" w:num="1">
            <w:col w:w="11980"/>
          </w:cols>
          <w:pgMar w:left="120" w:top="574" w:right="140" w:bottom="1440" w:gutter="0" w:footer="0" w:header="0"/>
          <w:type w:val="continuous"/>
        </w:sectPr>
      </w:pPr>
    </w:p>
    <w:p>
      <w:pPr>
        <w:spacing w:after="0" w:line="31" w:lineRule="exact"/>
        <w:rPr>
          <w:sz w:val="24"/>
          <w:szCs w:val="24"/>
          <w:color w:val="auto"/>
        </w:rPr>
      </w:pPr>
    </w:p>
    <w:p>
      <w:pPr>
        <w:ind w:left="680"/>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63" w:lineRule="exact"/>
        <w:rPr>
          <w:sz w:val="20"/>
          <w:szCs w:val="20"/>
          <w:color w:val="auto"/>
        </w:rPr>
      </w:pPr>
      <w:r>
        <w:rPr>
          <w:rFonts w:ascii="MS PGothic" w:cs="MS PGothic" w:eastAsia="MS PGothic" w:hAnsi="MS PGothic"/>
          <w:sz w:val="18"/>
          <w:szCs w:val="18"/>
          <w:color w:val="auto"/>
        </w:rPr>
        <w:t>☐</w:t>
      </w:r>
    </w:p>
    <w:p>
      <w:pPr>
        <w:spacing w:after="0" w:line="206" w:lineRule="exact"/>
        <w:rPr>
          <w:sz w:val="24"/>
          <w:szCs w:val="24"/>
          <w:color w:val="auto"/>
        </w:rPr>
      </w:pPr>
    </w:p>
    <w:p>
      <w:pPr>
        <w:sectPr>
          <w:pgSz w:w="12240" w:h="15840" w:orient="portrait"/>
          <w:cols w:equalWidth="0" w:num="2">
            <w:col w:w="2760" w:space="500"/>
            <w:col w:w="8720"/>
          </w:cols>
          <w:pgMar w:left="120" w:top="574" w:right="140" w:bottom="1440" w:gutter="0" w:footer="0" w:header="0"/>
          <w:type w:val="continuous"/>
        </w:sectPr>
      </w:pPr>
    </w:p>
    <w:p>
      <w:pPr>
        <w:ind w:right="300" w:firstLine="685"/>
        <w:spacing w:after="0" w:line="24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2240" w:h="15840" w:orient="portrait"/>
          <w:cols w:equalWidth="0" w:num="1">
            <w:col w:w="11980"/>
          </w:cols>
          <w:pgMar w:left="120" w:top="574" w:right="140" w:bottom="1440" w:gutter="0" w:footer="0" w:header="0"/>
          <w:type w:val="continuous"/>
        </w:sectPr>
      </w:pPr>
    </w:p>
    <w:bookmarkStart w:id="1" w:name="page2"/>
    <w:bookmarkEnd w:id="1"/>
    <w:p>
      <w:pPr>
        <w:ind w:right="460"/>
        <w:spacing w:after="0" w:line="282" w:lineRule="auto"/>
        <w:rPr>
          <w:sz w:val="20"/>
          <w:szCs w:val="20"/>
          <w:color w:val="auto"/>
        </w:rPr>
      </w:pPr>
      <w:r>
        <w:rPr>
          <w:rFonts w:ascii="Arial" w:cs="Arial" w:eastAsia="Arial" w:hAnsi="Arial"/>
          <w:sz w:val="19"/>
          <w:szCs w:val="19"/>
          <w:b w:val="1"/>
          <w:bCs w:val="1"/>
          <w:color w:val="auto"/>
        </w:rPr>
        <w:t>Item 5.02 Departure of Directors or Certain Officers; Election of Directors; Appointment of Certain Officers; Compensatory Arrangements of Certain Officers.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On February 13, 2019, National Vision Holdings, Inc. (the “Company”) reported that Mitchell Goodman, Senior Vice President, General Counsel and Secretary, is taking a medical leave of absence. Effective February 13, 2019, Jared Brandman, the Company’s Vice President, Assistant General Counsel and Assistant Secretary has been appointed to the position of Senior Vice President, General Counsel and Secretary, and will be assuming Mr. Goodman’s duties and responsibilities.</w:t>
      </w:r>
    </w:p>
    <w:p>
      <w:pPr>
        <w:sectPr>
          <w:pgSz w:w="12240" w:h="15840" w:orient="portrait"/>
          <w:cols w:equalWidth="0" w:num="1">
            <w:col w:w="12000"/>
          </w:cols>
          <w:pgMar w:left="120" w:top="464" w:right="120"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by the undersigned hereunto duly authorized.</w:t>
      </w:r>
    </w:p>
    <w:p>
      <w:pPr>
        <w:spacing w:after="0" w:line="35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3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9"/>
                <w:szCs w:val="19"/>
                <w:color w:val="auto"/>
              </w:rPr>
              <w:t>National Vision Holdings, Inc.</w:t>
            </w:r>
          </w:p>
        </w:tc>
      </w:tr>
      <w:tr>
        <w:trPr>
          <w:trHeight w:val="570"/>
        </w:trPr>
        <w:tc>
          <w:tcPr>
            <w:tcW w:w="3240" w:type="dxa"/>
            <w:vAlign w:val="bottom"/>
          </w:tcPr>
          <w:p>
            <w:pPr>
              <w:spacing w:after="0"/>
              <w:rPr>
                <w:sz w:val="20"/>
                <w:szCs w:val="20"/>
                <w:color w:val="auto"/>
              </w:rPr>
            </w:pPr>
            <w:r>
              <w:rPr>
                <w:rFonts w:ascii="Arial" w:cs="Arial" w:eastAsia="Arial" w:hAnsi="Arial"/>
                <w:sz w:val="19"/>
                <w:szCs w:val="19"/>
                <w:color w:val="auto"/>
              </w:rPr>
              <w:t>Date: February 19, 2019</w:t>
            </w:r>
          </w:p>
        </w:tc>
        <w:tc>
          <w:tcPr>
            <w:tcW w:w="2540" w:type="dxa"/>
            <w:vAlign w:val="bottom"/>
          </w:tcPr>
          <w:p>
            <w:pPr>
              <w:ind w:left="1380"/>
              <w:spacing w:after="0"/>
              <w:rPr>
                <w:sz w:val="20"/>
                <w:szCs w:val="20"/>
                <w:color w:val="auto"/>
              </w:rPr>
            </w:pPr>
            <w:r>
              <w:rPr>
                <w:rFonts w:ascii="Arial" w:cs="Arial" w:eastAsia="Arial" w:hAnsi="Arial"/>
                <w:sz w:val="19"/>
                <w:szCs w:val="19"/>
                <w:color w:val="auto"/>
              </w:rPr>
              <w:t>By:</w:t>
            </w:r>
          </w:p>
        </w:tc>
        <w:tc>
          <w:tcPr>
            <w:tcW w:w="4940" w:type="dxa"/>
            <w:vAlign w:val="bottom"/>
          </w:tcPr>
          <w:p>
            <w:pPr>
              <w:ind w:left="20"/>
              <w:spacing w:after="0"/>
              <w:rPr>
                <w:sz w:val="20"/>
                <w:szCs w:val="20"/>
                <w:color w:val="auto"/>
              </w:rPr>
            </w:pPr>
            <w:r>
              <w:rPr>
                <w:rFonts w:ascii="Arial" w:cs="Arial" w:eastAsia="Arial" w:hAnsi="Arial"/>
                <w:sz w:val="19"/>
                <w:szCs w:val="19"/>
                <w:color w:val="auto"/>
              </w:rPr>
              <w:t>/s/ L. Reade Fahs</w:t>
            </w:r>
          </w:p>
        </w:tc>
      </w:tr>
      <w:tr>
        <w:trPr>
          <w:trHeight w:val="30"/>
        </w:trPr>
        <w:tc>
          <w:tcPr>
            <w:tcW w:w="3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50"/>
        </w:trPr>
        <w:tc>
          <w:tcPr>
            <w:tcW w:w="3240" w:type="dxa"/>
            <w:vAlign w:val="bottom"/>
          </w:tcPr>
          <w:p>
            <w:pPr>
              <w:spacing w:after="0"/>
              <w:rPr>
                <w:sz w:val="21"/>
                <w:szCs w:val="21"/>
                <w:color w:val="auto"/>
              </w:rPr>
            </w:pPr>
          </w:p>
        </w:tc>
        <w:tc>
          <w:tcPr>
            <w:tcW w:w="2540" w:type="dxa"/>
            <w:vAlign w:val="bottom"/>
          </w:tcPr>
          <w:p>
            <w:pPr>
              <w:ind w:left="1380"/>
              <w:spacing w:after="0"/>
              <w:rPr>
                <w:sz w:val="20"/>
                <w:szCs w:val="20"/>
                <w:color w:val="auto"/>
              </w:rPr>
            </w:pPr>
            <w:r>
              <w:rPr>
                <w:rFonts w:ascii="Arial" w:cs="Arial" w:eastAsia="Arial" w:hAnsi="Arial"/>
                <w:sz w:val="19"/>
                <w:szCs w:val="19"/>
                <w:color w:val="auto"/>
              </w:rPr>
              <w:t>Name:</w:t>
            </w:r>
          </w:p>
        </w:tc>
        <w:tc>
          <w:tcPr>
            <w:tcW w:w="4940" w:type="dxa"/>
            <w:vAlign w:val="bottom"/>
          </w:tcPr>
          <w:p>
            <w:pPr>
              <w:ind w:left="80"/>
              <w:spacing w:after="0"/>
              <w:rPr>
                <w:sz w:val="20"/>
                <w:szCs w:val="20"/>
                <w:color w:val="auto"/>
              </w:rPr>
            </w:pPr>
            <w:r>
              <w:rPr>
                <w:rFonts w:ascii="Arial" w:cs="Arial" w:eastAsia="Arial" w:hAnsi="Arial"/>
                <w:sz w:val="19"/>
                <w:szCs w:val="19"/>
                <w:color w:val="auto"/>
              </w:rPr>
              <w:t>L. Reade Fahs</w:t>
            </w:r>
          </w:p>
        </w:tc>
      </w:tr>
      <w:tr>
        <w:trPr>
          <w:trHeight w:val="285"/>
        </w:trPr>
        <w:tc>
          <w:tcPr>
            <w:tcW w:w="3240" w:type="dxa"/>
            <w:vAlign w:val="bottom"/>
          </w:tcPr>
          <w:p>
            <w:pPr>
              <w:spacing w:after="0"/>
              <w:rPr>
                <w:sz w:val="24"/>
                <w:szCs w:val="24"/>
                <w:color w:val="auto"/>
              </w:rPr>
            </w:pPr>
          </w:p>
        </w:tc>
        <w:tc>
          <w:tcPr>
            <w:tcW w:w="2540" w:type="dxa"/>
            <w:vAlign w:val="bottom"/>
          </w:tcPr>
          <w:p>
            <w:pPr>
              <w:ind w:left="1380"/>
              <w:spacing w:after="0"/>
              <w:rPr>
                <w:sz w:val="20"/>
                <w:szCs w:val="20"/>
                <w:color w:val="auto"/>
              </w:rPr>
            </w:pPr>
            <w:r>
              <w:rPr>
                <w:rFonts w:ascii="Arial" w:cs="Arial" w:eastAsia="Arial" w:hAnsi="Arial"/>
                <w:sz w:val="19"/>
                <w:szCs w:val="19"/>
                <w:color w:val="auto"/>
              </w:rPr>
              <w:t>Title:</w:t>
            </w:r>
          </w:p>
        </w:tc>
        <w:tc>
          <w:tcPr>
            <w:tcW w:w="4940" w:type="dxa"/>
            <w:vAlign w:val="bottom"/>
          </w:tcPr>
          <w:p>
            <w:pPr>
              <w:ind w:left="80"/>
              <w:spacing w:after="0"/>
              <w:rPr>
                <w:sz w:val="20"/>
                <w:szCs w:val="20"/>
                <w:color w:val="auto"/>
              </w:rPr>
            </w:pPr>
            <w:r>
              <w:rPr>
                <w:rFonts w:ascii="Arial" w:cs="Arial" w:eastAsia="Arial" w:hAnsi="Arial"/>
                <w:sz w:val="19"/>
                <w:szCs w:val="19"/>
                <w:color w:val="auto"/>
              </w:rPr>
              <w:t>Chief Executive Officer</w:t>
            </w:r>
          </w:p>
        </w:tc>
      </w:tr>
    </w:tbl>
    <w:p>
      <w:pPr>
        <w:spacing w:after="0" w:line="1" w:lineRule="exact"/>
        <w:rPr>
          <w:sz w:val="20"/>
          <w:szCs w:val="20"/>
          <w:color w:val="auto"/>
        </w:rPr>
      </w:pPr>
    </w:p>
    <w:sectPr>
      <w:pgSz w:w="12240" w:h="15840" w:orient="portrait"/>
      <w:cols w:equalWidth="0" w:num="1">
        <w:col w:w="11940"/>
      </w:cols>
      <w:pgMar w:left="120" w:top="464" w:right="1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2019-12-15T20:11:38Z</dcterms:created>
  <dcterms:modified xsi:type="dcterms:W3CDTF">2019-12-15T20:11:38Z</dcterms:modified>
</cp:coreProperties>
</file>