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8"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5328285</wp:posOffset>
            </wp:positionH>
            <wp:positionV relativeFrom="paragraph">
              <wp:posOffset>-611505</wp:posOffset>
            </wp:positionV>
            <wp:extent cx="8255" cy="6121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12140"/>
                    </a:xfrm>
                    <a:prstGeom prst="rect">
                      <a:avLst/>
                    </a:prstGeom>
                    <a:noFill/>
                  </pic:spPr>
                </pic:pic>
              </a:graphicData>
            </a:graphic>
          </wp:anchor>
        </w:drawing>
        <w:drawing>
          <wp:anchor simplePos="0" relativeHeight="251657728" behindDoc="1" locked="0" layoutInCell="0" allowOverlap="1">
            <wp:simplePos x="0" y="0"/>
            <wp:positionH relativeFrom="column">
              <wp:posOffset>4020820</wp:posOffset>
            </wp:positionH>
            <wp:positionV relativeFrom="paragraph">
              <wp:posOffset>-619760</wp:posOffset>
            </wp:positionV>
            <wp:extent cx="8255" cy="6203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20395"/>
                    </a:xfrm>
                    <a:prstGeom prst="rect">
                      <a:avLst/>
                    </a:prstGeom>
                    <a:noFill/>
                  </pic:spPr>
                </pic:pic>
              </a:graphicData>
            </a:graphic>
          </wp:anchor>
        </w:drawing>
        <w:drawing>
          <wp:anchor simplePos="0" relativeHeight="251657728" behindDoc="1" locked="0" layoutInCell="0" allowOverlap="1">
            <wp:simplePos x="0" y="0"/>
            <wp:positionH relativeFrom="column">
              <wp:posOffset>4045585</wp:posOffset>
            </wp:positionH>
            <wp:positionV relativeFrom="paragraph">
              <wp:posOffset>-594995</wp:posOffset>
            </wp:positionV>
            <wp:extent cx="1266190" cy="5708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190" cy="57086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-1597025</wp:posOffset>
            </wp:positionH>
            <wp:positionV relativeFrom="paragraph">
              <wp:posOffset>29845</wp:posOffset>
            </wp:positionV>
            <wp:extent cx="6967220" cy="17621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220" cy="1762125"/>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Clark Bill</w:t>
        </w:r>
      </w:hyperlink>
    </w:p>
    <w:p>
      <w:pPr>
        <w:spacing w:after="0" w:line="308" w:lineRule="exact"/>
        <w:rPr>
          <w:sz w:val="24"/>
          <w:szCs w:val="24"/>
          <w:color w:val="auto"/>
        </w:rPr>
      </w:pPr>
    </w:p>
    <w:p>
      <w:pPr>
        <w:ind w:left="120"/>
        <w:spacing w:after="0"/>
        <w:tabs>
          <w:tab w:leader="none" w:pos="1320" w:val="left"/>
          <w:tab w:leader="none" w:pos="25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right="520"/>
        <w:spacing w:after="0" w:line="380" w:lineRule="auto"/>
        <w:rPr>
          <w:sz w:val="20"/>
          <w:szCs w:val="20"/>
          <w:color w:val="auto"/>
        </w:rPr>
      </w:pPr>
      <w:r>
        <w:rPr>
          <w:rFonts w:ascii="Arial" w:cs="Arial" w:eastAsia="Arial" w:hAnsi="Arial"/>
          <w:sz w:val="16"/>
          <w:szCs w:val="16"/>
          <w:color w:val="0000FF"/>
        </w:rPr>
        <w:t>C/O NATIONAL VISION HOLDINGS, INC. 2435 COMMERCE AVENUE, BLDG. 2200</w:t>
      </w:r>
    </w:p>
    <w:p>
      <w:pPr>
        <w:spacing w:after="0" w:line="168" w:lineRule="exact"/>
        <w:rPr>
          <w:sz w:val="24"/>
          <w:szCs w:val="24"/>
          <w:color w:val="auto"/>
        </w:rPr>
      </w:pPr>
    </w:p>
    <w:tbl>
      <w:tblPr>
        <w:tblLayout w:type="fixed"/>
        <w:tblInd w:w="80" w:type="dxa"/>
        <w:tblCellMar>
          <w:top w:w="0" w:type="dxa"/>
          <w:left w:w="0" w:type="dxa"/>
          <w:bottom w:w="0" w:type="dxa"/>
          <w:right w:w="0" w:type="dxa"/>
        </w:tblCellMar>
      </w:tblPr>
      <w:tr>
        <w:trPr>
          <w:trHeight w:val="156"/>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4"/>
        </w:trPr>
        <w:tc>
          <w:tcPr>
            <w:tcW w:w="20" w:type="dxa"/>
            <w:vAlign w:val="bottom"/>
          </w:tcPr>
          <w:p>
            <w:pPr>
              <w:spacing w:after="0"/>
              <w:rPr>
                <w:sz w:val="20"/>
                <w:szCs w:val="20"/>
                <w:color w:val="auto"/>
              </w:rPr>
            </w:pPr>
          </w:p>
        </w:tc>
        <w:tc>
          <w:tcPr>
            <w:tcW w:w="980" w:type="dxa"/>
            <w:vAlign w:val="bottom"/>
          </w:tcPr>
          <w:p>
            <w:pPr>
              <w:ind w:left="20"/>
              <w:spacing w:after="0"/>
              <w:rPr>
                <w:sz w:val="20"/>
                <w:szCs w:val="20"/>
                <w:color w:val="auto"/>
              </w:rPr>
            </w:pPr>
            <w:r>
              <w:rPr>
                <w:rFonts w:ascii="Arial" w:cs="Arial" w:eastAsia="Arial" w:hAnsi="Arial"/>
                <w:sz w:val="17"/>
                <w:szCs w:val="17"/>
                <w:color w:val="0000FF"/>
              </w:rPr>
              <w:t>DULUTH</w:t>
            </w:r>
          </w:p>
        </w:tc>
        <w:tc>
          <w:tcPr>
            <w:tcW w:w="1080" w:type="dxa"/>
            <w:vAlign w:val="bottom"/>
          </w:tcPr>
          <w:p>
            <w:pPr>
              <w:ind w:left="260"/>
              <w:spacing w:after="0"/>
              <w:rPr>
                <w:sz w:val="20"/>
                <w:szCs w:val="20"/>
                <w:color w:val="auto"/>
              </w:rPr>
            </w:pPr>
            <w:r>
              <w:rPr>
                <w:rFonts w:ascii="Arial" w:cs="Arial" w:eastAsia="Arial" w:hAnsi="Arial"/>
                <w:sz w:val="17"/>
                <w:szCs w:val="17"/>
                <w:color w:val="0000FF"/>
              </w:rPr>
              <w:t>GA</w:t>
            </w:r>
          </w:p>
        </w:tc>
        <w:tc>
          <w:tcPr>
            <w:tcW w:w="1600" w:type="dxa"/>
            <w:vAlign w:val="bottom"/>
          </w:tcPr>
          <w:p>
            <w:pPr>
              <w:ind w:left="420"/>
              <w:spacing w:after="0"/>
              <w:rPr>
                <w:sz w:val="20"/>
                <w:szCs w:val="20"/>
                <w:color w:val="auto"/>
              </w:rPr>
            </w:pPr>
            <w:r>
              <w:rPr>
                <w:rFonts w:ascii="Arial" w:cs="Arial" w:eastAsia="Arial" w:hAnsi="Arial"/>
                <w:sz w:val="17"/>
                <w:szCs w:val="17"/>
                <w:color w:val="0000FF"/>
              </w:rPr>
              <w:t>30096-4980</w:t>
            </w:r>
          </w:p>
        </w:tc>
      </w:tr>
      <w:tr>
        <w:trPr>
          <w:trHeight w:val="152"/>
        </w:trPr>
        <w:tc>
          <w:tcPr>
            <w:tcW w:w="2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99"/>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9"/>
        </w:trPr>
        <w:tc>
          <w:tcPr>
            <w:tcW w:w="3840" w:type="dxa"/>
            <w:vAlign w:val="bottom"/>
            <w:gridSpan w:val="2"/>
          </w:tcPr>
          <w:p>
            <w:pPr>
              <w:ind w:left="80"/>
              <w:spacing w:after="0" w:line="138" w:lineRule="exact"/>
              <w:rPr>
                <w:rFonts w:ascii="Arial" w:cs="Arial" w:eastAsia="Arial" w:hAnsi="Arial"/>
                <w:sz w:val="16"/>
                <w:szCs w:val="16"/>
                <w:color w:val="0000EE"/>
              </w:rPr>
            </w:pPr>
            <w:hyperlink r:id="rId14">
              <w:r>
                <w:rPr>
                  <w:rFonts w:ascii="Arial" w:cs="Arial" w:eastAsia="Arial" w:hAnsi="Arial"/>
                  <w:sz w:val="16"/>
                  <w:szCs w:val="16"/>
                  <w:u w:val="single" w:color="auto"/>
                  <w:color w:val="0000EE"/>
                </w:rPr>
                <w:t>National Vision Holdings, Inc.</w:t>
              </w:r>
              <w:r>
                <w:rPr>
                  <w:rFonts w:ascii="Arial" w:cs="Arial" w:eastAsia="Arial" w:hAnsi="Arial"/>
                  <w:sz w:val="16"/>
                  <w:szCs w:val="16"/>
                  <w:color w:val="0000EE"/>
                </w:rPr>
                <w:t xml:space="preserve">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EYE</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0" w:type="dxa"/>
            <w:vAlign w:val="bottom"/>
          </w:tcPr>
          <w:p>
            <w:pPr>
              <w:spacing w:after="0"/>
              <w:rPr>
                <w:sz w:val="3"/>
                <w:szCs w:val="3"/>
                <w:color w:val="auto"/>
              </w:rPr>
            </w:pPr>
          </w:p>
        </w:tc>
        <w:tc>
          <w:tcPr>
            <w:tcW w:w="364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2"/>
        </w:trPr>
        <w:tc>
          <w:tcPr>
            <w:tcW w:w="2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0"/>
        </w:trPr>
        <w:tc>
          <w:tcPr>
            <w:tcW w:w="200" w:type="dxa"/>
            <w:vAlign w:val="bottom"/>
            <w:tcBorders>
              <w:bottom w:val="single" w:sz="8" w:color="2C2C2C"/>
            </w:tcBorders>
          </w:tcPr>
          <w:p>
            <w:pPr>
              <w:spacing w:after="0"/>
              <w:rPr>
                <w:sz w:val="16"/>
                <w:szCs w:val="16"/>
                <w:color w:val="auto"/>
              </w:rPr>
            </w:pPr>
          </w:p>
        </w:tc>
        <w:tc>
          <w:tcPr>
            <w:tcW w:w="3640" w:type="dxa"/>
            <w:vAlign w:val="bottom"/>
            <w:tcBorders>
              <w:bottom w:val="single" w:sz="8" w:color="2C2C2C"/>
            </w:tcBorders>
          </w:tcPr>
          <w:p>
            <w:pPr>
              <w:spacing w:after="0"/>
              <w:rPr>
                <w:sz w:val="16"/>
                <w:szCs w:val="16"/>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6"/>
        </w:trPr>
        <w:tc>
          <w:tcPr>
            <w:tcW w:w="200" w:type="dxa"/>
            <w:vAlign w:val="bottom"/>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line="129" w:lineRule="exact"/>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00" w:type="dxa"/>
            <w:vAlign w:val="bottom"/>
            <w:vMerge w:val="continue"/>
          </w:tcPr>
          <w:p>
            <w:pPr>
              <w:spacing w:after="0"/>
              <w:rPr>
                <w:sz w:val="4"/>
                <w:szCs w:val="4"/>
                <w:color w:val="auto"/>
              </w:rPr>
            </w:pPr>
          </w:p>
        </w:tc>
        <w:tc>
          <w:tcPr>
            <w:tcW w:w="3640" w:type="dxa"/>
            <w:vAlign w:val="bottom"/>
            <w:vMerge w:val="continue"/>
          </w:tcPr>
          <w:p>
            <w:pPr>
              <w:spacing w:after="0"/>
              <w:rPr>
                <w:sz w:val="4"/>
                <w:szCs w:val="4"/>
                <w:color w:val="auto"/>
              </w:rPr>
            </w:pPr>
          </w:p>
        </w:tc>
        <w:tc>
          <w:tcPr>
            <w:tcW w:w="48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200" w:type="dxa"/>
            <w:vAlign w:val="bottom"/>
            <w:vMerge w:val="continue"/>
          </w:tcPr>
          <w:p>
            <w:pPr>
              <w:spacing w:after="0"/>
              <w:rPr>
                <w:sz w:val="5"/>
                <w:szCs w:val="5"/>
                <w:color w:val="auto"/>
              </w:rPr>
            </w:pPr>
          </w:p>
        </w:tc>
        <w:tc>
          <w:tcPr>
            <w:tcW w:w="364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2800" w:type="dxa"/>
            <w:vAlign w:val="bottom"/>
            <w:gridSpan w:val="2"/>
            <w:vMerge w:val="restart"/>
          </w:tcPr>
          <w:p>
            <w:pPr>
              <w:ind w:left="260"/>
              <w:spacing w:after="0"/>
              <w:rPr>
                <w:sz w:val="20"/>
                <w:szCs w:val="20"/>
                <w:color w:val="auto"/>
              </w:rPr>
            </w:pPr>
            <w:r>
              <w:rPr>
                <w:rFonts w:ascii="Arial" w:cs="Arial" w:eastAsia="Arial" w:hAnsi="Arial"/>
                <w:sz w:val="17"/>
                <w:szCs w:val="17"/>
                <w:color w:val="0000FF"/>
              </w:rPr>
              <w:t>SVP, Chief People Officer</w:t>
            </w:r>
          </w:p>
        </w:tc>
        <w:tc>
          <w:tcPr>
            <w:tcW w:w="0" w:type="dxa"/>
            <w:vAlign w:val="bottom"/>
          </w:tcPr>
          <w:p>
            <w:pPr>
              <w:spacing w:after="0"/>
              <w:rPr>
                <w:sz w:val="1"/>
                <w:szCs w:val="1"/>
                <w:color w:val="auto"/>
              </w:rPr>
            </w:pPr>
          </w:p>
        </w:tc>
      </w:tr>
      <w:tr>
        <w:trPr>
          <w:trHeight w:val="215"/>
        </w:trPr>
        <w:tc>
          <w:tcPr>
            <w:tcW w:w="3840" w:type="dxa"/>
            <w:vAlign w:val="bottom"/>
            <w:gridSpan w:val="2"/>
          </w:tcPr>
          <w:p>
            <w:pPr>
              <w:ind w:left="80"/>
              <w:spacing w:after="0"/>
              <w:rPr>
                <w:sz w:val="20"/>
                <w:szCs w:val="20"/>
                <w:color w:val="auto"/>
              </w:rPr>
            </w:pPr>
            <w:r>
              <w:rPr>
                <w:rFonts w:ascii="Arial" w:cs="Arial" w:eastAsia="Arial" w:hAnsi="Arial"/>
                <w:sz w:val="17"/>
                <w:szCs w:val="17"/>
                <w:color w:val="0000FF"/>
              </w:rPr>
              <w:t>02/28/2021</w:t>
            </w:r>
          </w:p>
        </w:tc>
        <w:tc>
          <w:tcPr>
            <w:tcW w:w="480" w:type="dxa"/>
            <w:vAlign w:val="bottom"/>
          </w:tcPr>
          <w:p>
            <w:pPr>
              <w:spacing w:after="0"/>
              <w:rPr>
                <w:sz w:val="18"/>
                <w:szCs w:val="18"/>
                <w:color w:val="auto"/>
              </w:rPr>
            </w:pPr>
          </w:p>
        </w:tc>
        <w:tc>
          <w:tcPr>
            <w:tcW w:w="28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1"/>
        </w:trPr>
        <w:tc>
          <w:tcPr>
            <w:tcW w:w="200" w:type="dxa"/>
            <w:vAlign w:val="bottom"/>
            <w:tcBorders>
              <w:bottom w:val="single" w:sz="8" w:color="2C2C2C"/>
            </w:tcBorders>
          </w:tcPr>
          <w:p>
            <w:pPr>
              <w:spacing w:after="0"/>
              <w:rPr>
                <w:sz w:val="24"/>
                <w:szCs w:val="24"/>
                <w:color w:val="auto"/>
              </w:rPr>
            </w:pPr>
          </w:p>
        </w:tc>
        <w:tc>
          <w:tcPr>
            <w:tcW w:w="3640" w:type="dxa"/>
            <w:vAlign w:val="bottom"/>
            <w:tcBorders>
              <w:bottom w:val="single" w:sz="8" w:color="2C2C2C"/>
            </w:tcBorders>
          </w:tcPr>
          <w:p>
            <w:pPr>
              <w:spacing w:after="0"/>
              <w:rPr>
                <w:sz w:val="24"/>
                <w:szCs w:val="24"/>
                <w:color w:val="auto"/>
              </w:rPr>
            </w:pPr>
          </w:p>
        </w:tc>
        <w:tc>
          <w:tcPr>
            <w:tcW w:w="328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200" w:type="dxa"/>
            <w:vAlign w:val="bottom"/>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2"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0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ind w:left="44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-2435225</wp:posOffset>
            </wp:positionH>
            <wp:positionV relativeFrom="paragraph">
              <wp:posOffset>211455</wp:posOffset>
            </wp:positionV>
            <wp:extent cx="6967220" cy="13157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7220" cy="1315720"/>
                    </a:xfrm>
                    <a:prstGeom prst="rect">
                      <a:avLst/>
                    </a:prstGeom>
                    <a:noFill/>
                  </pic:spPr>
                </pic:pic>
              </a:graphicData>
            </a:graphic>
          </wp:anchor>
        </w:drawing>
      </w:r>
    </w:p>
    <w:p>
      <w:pPr>
        <w:spacing w:after="0" w:line="394"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5"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ind w:left="68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9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8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8"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720" w:type="dxa"/>
            <w:vAlign w:val="bottom"/>
            <w:gridSpan w:val="2"/>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48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72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9"/>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80"/>
              <w:spacing w:after="0"/>
              <w:rPr>
                <w:sz w:val="20"/>
                <w:szCs w:val="20"/>
                <w:color w:val="auto"/>
              </w:rPr>
            </w:pPr>
            <w:r>
              <w:rPr>
                <w:rFonts w:ascii="Arial" w:cs="Arial" w:eastAsia="Arial" w:hAnsi="Arial"/>
                <w:sz w:val="17"/>
                <w:szCs w:val="17"/>
                <w:color w:val="0000FF"/>
              </w:rPr>
              <w:t>02/28/2021</w:t>
            </w:r>
          </w:p>
        </w:tc>
        <w:tc>
          <w:tcPr>
            <w:tcW w:w="1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center"/>
              <w:ind w:right="119"/>
              <w:spacing w:after="0"/>
              <w:rPr>
                <w:sz w:val="20"/>
                <w:szCs w:val="20"/>
                <w:color w:val="auto"/>
              </w:rPr>
            </w:pPr>
            <w:r>
              <w:rPr>
                <w:rFonts w:ascii="Arial" w:cs="Arial" w:eastAsia="Arial" w:hAnsi="Arial"/>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91"/>
              </w:rPr>
              <w:t>766</w:t>
            </w:r>
          </w:p>
        </w:tc>
        <w:tc>
          <w:tcPr>
            <w:tcW w:w="660" w:type="dxa"/>
            <w:vAlign w:val="bottom"/>
            <w:tcBorders>
              <w:bottom w:val="single" w:sz="8" w:color="2C2C2C"/>
            </w:tcBorders>
          </w:tcPr>
          <w:p>
            <w:pPr>
              <w:ind w:left="42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gridSpan w:val="2"/>
          </w:tcPr>
          <w:p>
            <w:pPr>
              <w:jc w:val="right"/>
              <w:ind w:right="2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1320" w:type="dxa"/>
            <w:vAlign w:val="bottom"/>
            <w:tcBorders>
              <w:bottom w:val="single" w:sz="8" w:color="2C2C2C"/>
            </w:tcBorders>
            <w:gridSpan w:val="3"/>
          </w:tcPr>
          <w:p>
            <w:pPr>
              <w:ind w:left="580"/>
              <w:spacing w:after="0"/>
              <w:rPr>
                <w:sz w:val="20"/>
                <w:szCs w:val="20"/>
                <w:color w:val="auto"/>
              </w:rPr>
            </w:pPr>
            <w:r>
              <w:rPr>
                <w:rFonts w:ascii="Arial" w:cs="Arial" w:eastAsia="Arial" w:hAnsi="Arial"/>
                <w:sz w:val="17"/>
                <w:szCs w:val="17"/>
                <w:color w:val="0000FF"/>
              </w:rPr>
              <w:t>766</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Pr>
          <w:p>
            <w:pPr>
              <w:spacing w:after="0"/>
              <w:rPr>
                <w:sz w:val="22"/>
                <w:szCs w:val="22"/>
                <w:color w:val="auto"/>
              </w:rPr>
            </w:pPr>
          </w:p>
        </w:tc>
        <w:tc>
          <w:tcPr>
            <w:tcW w:w="1720" w:type="dxa"/>
            <w:vAlign w:val="bottom"/>
            <w:gridSpan w:val="2"/>
          </w:tcPr>
          <w:p>
            <w:pPr>
              <w:ind w:left="780"/>
              <w:spacing w:after="0"/>
              <w:rPr>
                <w:sz w:val="20"/>
                <w:szCs w:val="20"/>
                <w:color w:val="auto"/>
              </w:rPr>
            </w:pPr>
            <w:r>
              <w:rPr>
                <w:rFonts w:ascii="Arial" w:cs="Arial" w:eastAsia="Arial" w:hAnsi="Arial"/>
                <w:sz w:val="17"/>
                <w:szCs w:val="17"/>
                <w:color w:val="0000FF"/>
              </w:rPr>
              <w:t>02/28/2021</w:t>
            </w:r>
          </w:p>
        </w:tc>
        <w:tc>
          <w:tcPr>
            <w:tcW w:w="1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39"/>
              <w:spacing w:after="0"/>
              <w:rPr>
                <w:sz w:val="20"/>
                <w:szCs w:val="20"/>
                <w:color w:val="auto"/>
              </w:rPr>
            </w:pPr>
            <w:r>
              <w:rPr>
                <w:rFonts w:ascii="Arial" w:cs="Arial" w:eastAsia="Arial" w:hAnsi="Arial"/>
                <w:sz w:val="13"/>
                <w:szCs w:val="13"/>
                <w:color w:val="0000FF"/>
                <w:w w:val="74"/>
              </w:rPr>
              <w:t>F</w:t>
            </w:r>
          </w:p>
        </w:tc>
        <w:tc>
          <w:tcPr>
            <w:tcW w:w="200" w:type="dxa"/>
            <w:vAlign w:val="bottom"/>
          </w:tcPr>
          <w:p>
            <w:pPr>
              <w:spacing w:after="0"/>
              <w:rPr>
                <w:sz w:val="22"/>
                <w:szCs w:val="22"/>
                <w:color w:val="auto"/>
              </w:rPr>
            </w:pPr>
          </w:p>
        </w:tc>
        <w:tc>
          <w:tcPr>
            <w:tcW w:w="520" w:type="dxa"/>
            <w:vAlign w:val="bottom"/>
          </w:tcPr>
          <w:p>
            <w:pPr>
              <w:ind w:left="240"/>
              <w:spacing w:after="0"/>
              <w:rPr>
                <w:sz w:val="20"/>
                <w:szCs w:val="20"/>
                <w:color w:val="auto"/>
              </w:rPr>
            </w:pPr>
            <w:r>
              <w:rPr>
                <w:rFonts w:ascii="Arial" w:cs="Arial" w:eastAsia="Arial" w:hAnsi="Arial"/>
                <w:sz w:val="17"/>
                <w:szCs w:val="17"/>
                <w:color w:val="0000FF"/>
                <w:w w:val="91"/>
              </w:rPr>
              <w:t>272</w:t>
            </w:r>
          </w:p>
        </w:tc>
        <w:tc>
          <w:tcPr>
            <w:tcW w:w="660" w:type="dxa"/>
            <w:vAlign w:val="bottom"/>
          </w:tcPr>
          <w:p>
            <w:pPr>
              <w:ind w:left="420"/>
              <w:spacing w:after="0"/>
              <w:rPr>
                <w:sz w:val="20"/>
                <w:szCs w:val="20"/>
                <w:color w:val="auto"/>
              </w:rPr>
            </w:pPr>
            <w:r>
              <w:rPr>
                <w:rFonts w:ascii="Arial" w:cs="Arial" w:eastAsia="Arial" w:hAnsi="Arial"/>
                <w:sz w:val="17"/>
                <w:szCs w:val="17"/>
                <w:color w:val="0000FF"/>
              </w:rPr>
              <w:t>D</w:t>
            </w:r>
          </w:p>
        </w:tc>
        <w:tc>
          <w:tcPr>
            <w:tcW w:w="520" w:type="dxa"/>
            <w:vAlign w:val="bottom"/>
          </w:tcPr>
          <w:p>
            <w:pPr>
              <w:jc w:val="right"/>
              <w:ind w:right="19"/>
              <w:spacing w:after="0"/>
              <w:rPr>
                <w:sz w:val="20"/>
                <w:szCs w:val="20"/>
                <w:color w:val="auto"/>
              </w:rPr>
            </w:pPr>
            <w:r>
              <w:rPr>
                <w:rFonts w:ascii="Arial" w:cs="Arial" w:eastAsia="Arial" w:hAnsi="Arial"/>
                <w:sz w:val="11"/>
                <w:szCs w:val="11"/>
                <w:color w:val="008000"/>
              </w:rPr>
              <w:t>(2)</w:t>
            </w:r>
          </w:p>
        </w:tc>
        <w:tc>
          <w:tcPr>
            <w:tcW w:w="40" w:type="dxa"/>
            <w:vAlign w:val="bottom"/>
          </w:tcPr>
          <w:p>
            <w:pPr>
              <w:spacing w:after="0"/>
              <w:rPr>
                <w:sz w:val="22"/>
                <w:szCs w:val="22"/>
                <w:color w:val="auto"/>
              </w:rPr>
            </w:pPr>
          </w:p>
        </w:tc>
        <w:tc>
          <w:tcPr>
            <w:tcW w:w="1320" w:type="dxa"/>
            <w:vAlign w:val="bottom"/>
            <w:gridSpan w:val="3"/>
          </w:tcPr>
          <w:p>
            <w:pPr>
              <w:ind w:left="580"/>
              <w:spacing w:after="0"/>
              <w:rPr>
                <w:sz w:val="20"/>
                <w:szCs w:val="20"/>
                <w:color w:val="auto"/>
              </w:rPr>
            </w:pPr>
            <w:r>
              <w:rPr>
                <w:rFonts w:ascii="Arial" w:cs="Arial" w:eastAsia="Arial" w:hAnsi="Arial"/>
                <w:sz w:val="17"/>
                <w:szCs w:val="17"/>
                <w:color w:val="0000FF"/>
              </w:rPr>
              <w:t>494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38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8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vMerge w:val="restart"/>
          </w:tcPr>
          <w:p>
            <w:pPr>
              <w:ind w:left="320"/>
              <w:spacing w:after="0"/>
              <w:rPr>
                <w:sz w:val="20"/>
                <w:szCs w:val="20"/>
                <w:color w:val="auto"/>
              </w:rPr>
            </w:pPr>
            <w:r>
              <w:rPr>
                <w:rFonts w:ascii="Arial" w:cs="Arial" w:eastAsia="Arial" w:hAnsi="Arial"/>
                <w:sz w:val="11"/>
                <w:szCs w:val="11"/>
                <w:color w:val="008000"/>
              </w:rPr>
              <w:t>(1)</w:t>
            </w:r>
          </w:p>
        </w:tc>
        <w:tc>
          <w:tcPr>
            <w:tcW w:w="1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6"/>
                <w:szCs w:val="16"/>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(3)</w:t>
            </w: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Common</w:t>
            </w:r>
          </w:p>
        </w:tc>
        <w:tc>
          <w:tcPr>
            <w:tcW w:w="520" w:type="dxa"/>
            <w:vAlign w:val="bottom"/>
            <w:vMerge w:val="restart"/>
          </w:tcPr>
          <w:p>
            <w:pPr>
              <w:ind w:left="100"/>
              <w:spacing w:after="0"/>
              <w:rPr>
                <w:sz w:val="20"/>
                <w:szCs w:val="20"/>
                <w:color w:val="auto"/>
              </w:rPr>
            </w:pPr>
            <w:r>
              <w:rPr>
                <w:rFonts w:ascii="Arial" w:cs="Arial" w:eastAsia="Arial" w:hAnsi="Arial"/>
                <w:sz w:val="17"/>
                <w:szCs w:val="17"/>
                <w:color w:val="0000FF"/>
              </w:rPr>
              <w:t>766</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vMerge w:val="restart"/>
          </w:tcPr>
          <w:p>
            <w:pPr>
              <w:ind w:left="60"/>
              <w:spacing w:after="0" w:line="144" w:lineRule="exact"/>
              <w:rPr>
                <w:sz w:val="20"/>
                <w:szCs w:val="20"/>
                <w:color w:val="auto"/>
              </w:rPr>
            </w:pPr>
            <w:r>
              <w:rPr>
                <w:rFonts w:ascii="Arial" w:cs="Arial" w:eastAsia="Arial" w:hAnsi="Arial"/>
                <w:sz w:val="13"/>
                <w:szCs w:val="13"/>
                <w:color w:val="0000FF"/>
              </w:rPr>
              <w:t>Stock</w:t>
            </w:r>
          </w:p>
        </w:tc>
        <w:tc>
          <w:tcPr>
            <w:tcW w:w="780" w:type="dxa"/>
            <w:vAlign w:val="bottom"/>
            <w:vMerge w:val="continue"/>
          </w:tcPr>
          <w:p>
            <w:pPr>
              <w:spacing w:after="0"/>
              <w:rPr>
                <w:sz w:val="5"/>
                <w:szCs w:val="5"/>
                <w:color w:val="auto"/>
              </w:rPr>
            </w:pPr>
          </w:p>
        </w:tc>
        <w:tc>
          <w:tcPr>
            <w:tcW w:w="1100" w:type="dxa"/>
            <w:vAlign w:val="bottom"/>
            <w:vMerge w:val="restart"/>
          </w:tcPr>
          <w:p>
            <w:pPr>
              <w:ind w:left="260"/>
              <w:spacing w:after="0" w:line="144" w:lineRule="exact"/>
              <w:rPr>
                <w:sz w:val="20"/>
                <w:szCs w:val="20"/>
                <w:color w:val="auto"/>
              </w:rPr>
            </w:pPr>
            <w:r>
              <w:rPr>
                <w:rFonts w:ascii="Arial" w:cs="Arial" w:eastAsia="Arial" w:hAnsi="Arial"/>
                <w:sz w:val="13"/>
                <w:szCs w:val="13"/>
                <w:color w:val="0000FF"/>
              </w:rPr>
              <w:t>02/28/2021</w:t>
            </w:r>
          </w:p>
        </w:tc>
        <w:tc>
          <w:tcPr>
            <w:tcW w:w="1100" w:type="dxa"/>
            <w:vAlign w:val="bottom"/>
          </w:tcPr>
          <w:p>
            <w:pPr>
              <w:spacing w:after="0"/>
              <w:rPr>
                <w:sz w:val="5"/>
                <w:szCs w:val="5"/>
                <w:color w:val="auto"/>
              </w:rPr>
            </w:pPr>
          </w:p>
        </w:tc>
        <w:tc>
          <w:tcPr>
            <w:tcW w:w="620" w:type="dxa"/>
            <w:vAlign w:val="bottom"/>
            <w:vMerge w:val="restart"/>
          </w:tcPr>
          <w:p>
            <w:pPr>
              <w:ind w:left="140"/>
              <w:spacing w:after="0" w:line="144" w:lineRule="exact"/>
              <w:rPr>
                <w:sz w:val="20"/>
                <w:szCs w:val="20"/>
                <w:color w:val="auto"/>
              </w:rPr>
            </w:pPr>
            <w:r>
              <w:rPr>
                <w:rFonts w:ascii="Arial" w:cs="Arial" w:eastAsia="Arial" w:hAnsi="Arial"/>
                <w:sz w:val="13"/>
                <w:szCs w:val="13"/>
                <w:color w:val="0000FF"/>
              </w:rPr>
              <w:t>M</w:t>
            </w:r>
          </w:p>
        </w:tc>
        <w:tc>
          <w:tcPr>
            <w:tcW w:w="180" w:type="dxa"/>
            <w:vAlign w:val="bottom"/>
          </w:tcPr>
          <w:p>
            <w:pPr>
              <w:spacing w:after="0"/>
              <w:rPr>
                <w:sz w:val="5"/>
                <w:szCs w:val="5"/>
                <w:color w:val="auto"/>
              </w:rPr>
            </w:pPr>
          </w:p>
        </w:tc>
        <w:tc>
          <w:tcPr>
            <w:tcW w:w="780" w:type="dxa"/>
            <w:vAlign w:val="bottom"/>
            <w:vMerge w:val="restart"/>
          </w:tcPr>
          <w:p>
            <w:pPr>
              <w:ind w:left="440"/>
              <w:spacing w:after="0" w:line="144" w:lineRule="exact"/>
              <w:rPr>
                <w:sz w:val="20"/>
                <w:szCs w:val="20"/>
                <w:color w:val="auto"/>
              </w:rPr>
            </w:pPr>
            <w:r>
              <w:rPr>
                <w:rFonts w:ascii="Arial" w:cs="Arial" w:eastAsia="Arial" w:hAnsi="Arial"/>
                <w:sz w:val="13"/>
                <w:szCs w:val="13"/>
                <w:color w:val="0000FF"/>
              </w:rPr>
              <w:t>766</w:t>
            </w:r>
          </w:p>
        </w:tc>
        <w:tc>
          <w:tcPr>
            <w:tcW w:w="7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restart"/>
          </w:tcPr>
          <w:p>
            <w:pPr>
              <w:ind w:left="240"/>
              <w:spacing w:after="0" w:line="144"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00" w:type="dxa"/>
            <w:vAlign w:val="bottom"/>
            <w:vMerge w:val="restart"/>
          </w:tcPr>
          <w:p>
            <w:pPr>
              <w:ind w:left="240"/>
              <w:spacing w:after="0" w:line="144" w:lineRule="exact"/>
              <w:rPr>
                <w:sz w:val="20"/>
                <w:szCs w:val="20"/>
                <w:color w:val="auto"/>
              </w:rPr>
            </w:pPr>
            <w:r>
              <w:rPr>
                <w:rFonts w:ascii="Arial" w:cs="Arial" w:eastAsia="Arial" w:hAnsi="Arial"/>
                <w:sz w:val="13"/>
                <w:szCs w:val="13"/>
                <w:color w:val="0000FF"/>
                <w:w w:val="85"/>
              </w:rPr>
              <w:t>12,509</w:t>
            </w:r>
          </w:p>
        </w:tc>
        <w:tc>
          <w:tcPr>
            <w:tcW w:w="280" w:type="dxa"/>
            <w:vAlign w:val="bottom"/>
          </w:tcPr>
          <w:p>
            <w:pPr>
              <w:spacing w:after="0"/>
              <w:rPr>
                <w:sz w:val="5"/>
                <w:szCs w:val="5"/>
                <w:color w:val="auto"/>
              </w:rPr>
            </w:pPr>
          </w:p>
        </w:tc>
        <w:tc>
          <w:tcPr>
            <w:tcW w:w="680" w:type="dxa"/>
            <w:vAlign w:val="bottom"/>
            <w:vMerge w:val="restart"/>
          </w:tcPr>
          <w:p>
            <w:pPr>
              <w:ind w:left="320"/>
              <w:spacing w:after="0" w:line="144"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660" w:type="dxa"/>
            <w:vAlign w:val="bottom"/>
            <w:vMerge w:val="restart"/>
          </w:tcPr>
          <w:p>
            <w:pPr>
              <w:ind w:left="140"/>
              <w:spacing w:after="0"/>
              <w:rPr>
                <w:sz w:val="20"/>
                <w:szCs w:val="20"/>
                <w:color w:val="auto"/>
              </w:rPr>
            </w:pPr>
            <w:r>
              <w:rPr>
                <w:rFonts w:ascii="Arial" w:cs="Arial" w:eastAsia="Arial" w:hAnsi="Arial"/>
                <w:sz w:val="13"/>
                <w:szCs w:val="13"/>
                <w:color w:val="0000FF"/>
              </w:rPr>
              <w:t>Stock</w:t>
            </w:r>
          </w:p>
        </w:tc>
        <w:tc>
          <w:tcPr>
            <w:tcW w:w="5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-2066925</wp:posOffset>
            </wp:positionV>
            <wp:extent cx="7033260" cy="21101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3260" cy="2110105"/>
                    </a:xfrm>
                    <a:prstGeom prst="rect">
                      <a:avLst/>
                    </a:prstGeom>
                    <a:noFill/>
                  </pic:spPr>
                </pic:pic>
              </a:graphicData>
            </a:graphic>
          </wp:anchor>
        </w:drawing>
      </w:r>
    </w:p>
    <w:p>
      <w:pPr>
        <w:spacing w:after="0" w:line="6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4"/>
          <w:szCs w:val="24"/>
          <w:color w:val="auto"/>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restricted stock unit represents a contingent right to receive one share of NVHI common stock.</w:t>
      </w:r>
    </w:p>
    <w:p>
      <w:pPr>
        <w:spacing w:after="0" w:line="45" w:lineRule="exact"/>
        <w:rPr>
          <w:rFonts w:ascii="Arial" w:cs="Arial" w:eastAsia="Arial" w:hAnsi="Arial"/>
          <w:sz w:val="13"/>
          <w:szCs w:val="13"/>
          <w:color w:val="008000"/>
        </w:rPr>
      </w:pPr>
    </w:p>
    <w:p>
      <w:pPr>
        <w:ind w:left="40" w:right="420" w:firstLine="3"/>
        <w:spacing w:after="0" w:line="253" w:lineRule="auto"/>
        <w:tabs>
          <w:tab w:leader="none" w:pos="17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2021, 766 restricted stock units vested and 272 shares of the Company's common stock were withheld to satisfy tax withholding obligations. The closing price on February 26, 2021 (as February 28, 2021 fell on a weekend) of the Company's common stock on NASDAQ was $47.49 per share.</w:t>
      </w:r>
    </w:p>
    <w:p>
      <w:pPr>
        <w:spacing w:after="0" w:line="23" w:lineRule="exact"/>
        <w:rPr>
          <w:rFonts w:ascii="Arial" w:cs="Arial" w:eastAsia="Arial" w:hAnsi="Arial"/>
          <w:sz w:val="13"/>
          <w:szCs w:val="13"/>
          <w:color w:val="008000"/>
        </w:rPr>
      </w:pPr>
    </w:p>
    <w:p>
      <w:pPr>
        <w:ind w:left="180" w:hanging="137"/>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2020, the reporting person was granted 2.298 restricted stock units, vesting in three equal annual installments beginning on the first anniversary of the grant date.</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86"/>
              </w:rPr>
              <w:t>/s/ Jared Brandman, as</w:t>
            </w:r>
          </w:p>
        </w:tc>
        <w:tc>
          <w:tcPr>
            <w:tcW w:w="500" w:type="dxa"/>
            <w:vAlign w:val="bottom"/>
          </w:tcPr>
          <w:p>
            <w:pPr>
              <w:spacing w:after="0"/>
              <w:rPr>
                <w:sz w:val="16"/>
                <w:szCs w:val="16"/>
                <w:color w:val="auto"/>
              </w:rPr>
            </w:pPr>
          </w:p>
        </w:tc>
        <w:tc>
          <w:tcPr>
            <w:tcW w:w="940" w:type="dxa"/>
            <w:vAlign w:val="bottom"/>
            <w:gridSpan w:val="2"/>
            <w:vMerge w:val="restart"/>
          </w:tcPr>
          <w:p>
            <w:pPr>
              <w:ind w:left="160"/>
              <w:spacing w:after="0"/>
              <w:rPr>
                <w:sz w:val="20"/>
                <w:szCs w:val="20"/>
                <w:color w:val="auto"/>
              </w:rPr>
            </w:pPr>
            <w:r>
              <w:rPr>
                <w:rFonts w:ascii="Arial" w:cs="Arial" w:eastAsia="Arial" w:hAnsi="Arial"/>
                <w:sz w:val="17"/>
                <w:szCs w:val="17"/>
                <w:color w:val="0000FF"/>
                <w:w w:val="89"/>
              </w:rPr>
              <w:t>03/02/2021</w:t>
            </w:r>
          </w:p>
        </w:tc>
        <w:tc>
          <w:tcPr>
            <w:tcW w:w="0" w:type="dxa"/>
            <w:vAlign w:val="bottom"/>
          </w:tcPr>
          <w:p>
            <w:pPr>
              <w:spacing w:after="0"/>
              <w:rPr>
                <w:sz w:val="1"/>
                <w:szCs w:val="1"/>
                <w:color w:val="auto"/>
              </w:rPr>
            </w:pPr>
          </w:p>
        </w:tc>
      </w:tr>
      <w:tr>
        <w:trPr>
          <w:trHeight w:val="84"/>
        </w:trPr>
        <w:tc>
          <w:tcPr>
            <w:tcW w:w="1140" w:type="dxa"/>
            <w:vAlign w:val="bottom"/>
            <w:vMerge w:val="restart"/>
          </w:tcPr>
          <w:p>
            <w:pPr>
              <w:spacing w:after="0" w:line="189" w:lineRule="exact"/>
              <w:rPr>
                <w:sz w:val="20"/>
                <w:szCs w:val="20"/>
                <w:color w:val="auto"/>
              </w:rPr>
            </w:pPr>
            <w:r>
              <w:rPr>
                <w:rFonts w:ascii="Arial" w:cs="Arial" w:eastAsia="Arial" w:hAnsi="Arial"/>
                <w:sz w:val="17"/>
                <w:szCs w:val="17"/>
                <w:color w:val="0000FF"/>
                <w:w w:val="92"/>
              </w:rPr>
              <w:t>Attorney-in-Fact</w:t>
            </w:r>
          </w:p>
        </w:tc>
        <w:tc>
          <w:tcPr>
            <w:tcW w:w="900" w:type="dxa"/>
            <w:vAlign w:val="bottom"/>
            <w:gridSpan w:val="2"/>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4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04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778111" TargetMode="External"/><Relationship Id="rId14" Type="http://schemas.openxmlformats.org/officeDocument/2006/relationships/hyperlink" Target="http://www.sec.gov/cgi-bin/browse-edgar?action=getcompany&amp;CIK=00017101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2021-03-02T15:41:12Z</dcterms:created>
  <dcterms:modified xsi:type="dcterms:W3CDTF">2021-03-02T15:41:12Z</dcterms:modified>
</cp:coreProperties>
</file>