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February 28, 2022</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552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20" w:type="dxa"/>
            <w:vAlign w:val="bottom"/>
          </w:tcPr>
          <w:p>
            <w:pPr>
              <w:jc w:val="center"/>
              <w:ind w:right="283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66"/>
        </w:trPr>
        <w:tc>
          <w:tcPr>
            <w:tcW w:w="5520" w:type="dxa"/>
            <w:vAlign w:val="bottom"/>
          </w:tcPr>
          <w:p>
            <w:pPr>
              <w:jc w:val="center"/>
              <w:ind w:left="18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3"/>
                <w:szCs w:val="23"/>
                <w:color w:val="auto"/>
              </w:rPr>
            </w:pPr>
          </w:p>
        </w:tc>
      </w:tr>
      <w:tr>
        <w:trPr>
          <w:trHeight w:val="206"/>
        </w:trPr>
        <w:tc>
          <w:tcPr>
            <w:tcW w:w="5520" w:type="dxa"/>
            <w:vAlign w:val="bottom"/>
          </w:tcPr>
          <w:p>
            <w:pPr>
              <w:jc w:val="center"/>
              <w:ind w:left="187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National Vision Holdings, Inc. (“National Vision”) issued a press release announcing financial results for the quarter and full fiscal year ended January 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February 28, 2022.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940" w:type="dxa"/>
            <w:vAlign w:val="bottom"/>
          </w:tcPr>
          <w:p>
            <w:pPr>
              <w:spacing w:after="0"/>
              <w:rPr>
                <w:sz w:val="20"/>
                <w:szCs w:val="20"/>
                <w:color w:val="auto"/>
              </w:rPr>
            </w:pPr>
            <w:r>
              <w:rPr>
                <w:rFonts w:ascii="Arial" w:cs="Arial" w:eastAsia="Arial" w:hAnsi="Arial"/>
                <w:sz w:val="18"/>
                <w:szCs w:val="18"/>
                <w:color w:val="auto"/>
              </w:rPr>
              <w:t>Date: February 28, 2022</w:t>
            </w:r>
          </w:p>
        </w:tc>
        <w:tc>
          <w:tcPr>
            <w:tcW w:w="2520" w:type="dxa"/>
            <w:vAlign w:val="bottom"/>
          </w:tcPr>
          <w:p>
            <w:pPr>
              <w:ind w:left="11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940" w:type="dxa"/>
            <w:vAlign w:val="bottom"/>
          </w:tcPr>
          <w:p>
            <w:pPr>
              <w:spacing w:after="0"/>
              <w:rPr>
                <w:sz w:val="19"/>
                <w:szCs w:val="19"/>
                <w:color w:val="auto"/>
              </w:rPr>
            </w:pPr>
          </w:p>
        </w:tc>
        <w:tc>
          <w:tcPr>
            <w:tcW w:w="2520" w:type="dxa"/>
            <w:vAlign w:val="bottom"/>
          </w:tcPr>
          <w:p>
            <w:pPr>
              <w:ind w:left="11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940" w:type="dxa"/>
            <w:vAlign w:val="bottom"/>
          </w:tcPr>
          <w:p>
            <w:pPr>
              <w:spacing w:after="0"/>
              <w:rPr>
                <w:sz w:val="20"/>
                <w:szCs w:val="20"/>
                <w:color w:val="auto"/>
              </w:rPr>
            </w:pPr>
          </w:p>
        </w:tc>
        <w:tc>
          <w:tcPr>
            <w:tcW w:w="2520" w:type="dxa"/>
            <w:vAlign w:val="bottom"/>
          </w:tcPr>
          <w:p>
            <w:pPr>
              <w:ind w:left="11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 xml:space="preserve">National Vision Holdings, Inc. Reports Fourth Quarter and Fiscal 2021 Financial Results </w:t>
      </w:r>
      <w:r>
        <w:rPr>
          <w:rFonts w:ascii="Arial" w:cs="Arial" w:eastAsia="Arial" w:hAnsi="Arial"/>
          <w:sz w:val="25"/>
          <w:szCs w:val="25"/>
          <w:b w:val="1"/>
          <w:bCs w:val="1"/>
          <w:i w:val="1"/>
          <w:iCs w:val="1"/>
          <w:color w:val="auto"/>
        </w:rPr>
        <w:t>Expands Share Repurchase Program by $100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 compared to fourth quarter 2019:</w:t>
      </w:r>
    </w:p>
    <w:p>
      <w:pPr>
        <w:spacing w:after="0" w:line="25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18.9% to $477.9 million</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13.8%; Adjusted Comparable Store Sales Growth of 11.5%</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58.6% to $6.2 million; Diluted EPS increased 56.2% to $0.07</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increased 1.7% to $16.8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increased 35.4% to $0.13</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Announces plans to open at least 80 new stores in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 compared to fourth quarter 2020:</w:t>
      </w:r>
    </w:p>
    <w:p>
      <w:pPr>
        <w:spacing w:after="0" w:line="25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decreased 3.8% to $477.9 million</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1.7%; Adjusted Comparable Store Sales Growth of 1.2%</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decreased 82.3% to $6.2 million; Diluted EPS decreased 82.2% to $0.07</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decreased 73.3% to $16.8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decreased 71.3% to $0.13</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 February 28, 2022 --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fourth quarter and fiscal year ended January 1, 2022 and is providing its outlook for fiscal 2022.</w:t>
      </w:r>
    </w:p>
    <w:p>
      <w:pPr>
        <w:spacing w:after="0" w:line="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Given the impact of the COVID-19 pandemic in 2020, consistent with our second and third quarter releases, this release includes a comparison of fiscal 2021 results to fiscal 2019 pre-COVID results, in addition to a comparison to fiscal 2020. For a complete discussion of fiscal 2021 results as compared to fiscal 2020, please see the Form 10-K filing for the year ended January 1, 2022 filed with the Securities and Exchange Commission.</w:t>
      </w:r>
    </w:p>
    <w:p>
      <w:pPr>
        <w:spacing w:after="0" w:line="4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“National Vision had another great year in 2021, delivering record annual sales and profitability. We capped it off with better-than-expected results in the fourth quarter, including positive comps driven once again by an increase in customer transactions,” stated Reade Fahs, chief executive officer.</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“While our start to 2022 has been challenged by short-term macro headwinds related to the Omicron variant and severe weather impacting store operations and customer traffic, we remain excited about our ability to continue to grow market share. Our two growth brands – America’s Best and Eyeglass World – continue to perform well reflecting the on-going consistency of our business model. Given our white space opportunity, and the continued favorable market share shifts toward our value positioning, we have increased our planned new store openings to at least 80 stores this year, including a doubling of our annual Eyeglass World builds.”</w:t>
      </w:r>
    </w:p>
    <w:p>
      <w:pPr>
        <w:spacing w:after="0" w:line="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Mr. Fahs concluded, “I have been so impressed with the resilience and dedication to patient and customer care demonstrated by the entire National Vision team, including the 2,000-plus optometrists practicing in or next to our stores, as we all navigate these unusual times. Going forward, while the macro environment remains dynamic, I remain confident in our ability to deliver the consistent sustainable growth we have experienced for the past few decades.”</w:t>
      </w:r>
    </w:p>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Non-GAAP to 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2021 Summary compared to Fourth Quarter 2019</w:t>
      </w:r>
    </w:p>
    <w:p>
      <w:pPr>
        <w:spacing w:after="0" w:line="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increased 18.9% to $477.9 million compared to the fourth quarter of 2019.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was positively impacted by 1.1%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growth was 13.8% and Adjusted Comparable Store Sales Growth was 11.5%.</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fourth quarter of 2021, the Company opened 16 new stores and ended the quarter with 1,278 stores. Overall, store count grew 11.0% from December 28, 2019 to January 1, 2022.</w:t>
      </w: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applicable to revenue increased 16.1% to $217.7 million compared to the fourth quarter of 2019. As a percentage of net revenue, costs applicable to revenue decreased 110 basis points to 45.6% compared to the fourth quarter of 2019. This decrease as a percentage of net revenue was primarily driven by increased eyeglass mix and higher eyeglass margin.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26.2% to $224.8 million compared to the fourth quarter of 2019. As a percentage of net revenue, SG&amp;A increased 270 basis points to 47.0% compared to the fourth quarter of 2019. This increase as a percentage of net revenue was primarily driven by higher advertising investment, and to a lesser extent, higher corporate overhead and payroll expense, partially offset by leverage of occupancy expense and lower performance-based incentive compensation.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Net income increased 58.6% to $6.2 million compared to the fourth quarter of 2019.</w:t>
      </w:r>
    </w:p>
    <w:p>
      <w:pPr>
        <w:spacing w:after="0" w:line="9" w:lineRule="exact"/>
        <w:rPr>
          <w:rFonts w:ascii="Arial" w:cs="Arial" w:eastAsia="Arial" w:hAnsi="Arial"/>
          <w:sz w:val="18"/>
          <w:szCs w:val="18"/>
          <w:i w:val="1"/>
          <w:iCs w:val="1"/>
          <w:color w:val="auto"/>
        </w:rPr>
      </w:pPr>
    </w:p>
    <w:p>
      <w:pPr>
        <w:ind w:left="340" w:hanging="332"/>
        <w:spacing w:after="0" w:line="265" w:lineRule="auto"/>
        <w:tabs>
          <w:tab w:leader="none" w:pos="335"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Diluted earnings per share increased 56.2% to $0.07 compared to the fourth quarter of 2019. Adjusted Diluted EPS increased 35.4% to $0.13 compared to the fourth quarter of 2019. The net change in margin on unearned revenue positively impacted Adjusted Diluted EPS by $0.03.</w:t>
      </w:r>
    </w:p>
    <w:p>
      <w:pPr>
        <w:jc w:val="both"/>
        <w:ind w:left="34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1.7% to $16.8 million compared to the fourth quarter of 2019. Adjusted Operating Margin decreased 60 basis points to 3.5% compared to the fourth quarter of 2019. The net change in margin on unearned revenue benefited Adjusted Operating Income by $3.5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Summary compared to Fourth Quarter 2020</w:t>
      </w:r>
    </w:p>
    <w:p>
      <w:pPr>
        <w:spacing w:after="0" w:line="27" w:lineRule="exact"/>
        <w:rPr>
          <w:sz w:val="20"/>
          <w:szCs w:val="20"/>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decreased 3.8% to $477.9 million compared to the fourth quarter of 2020. Net revenue was negatively impacted by 1.4% due to the timing of unearned revenue.</w:t>
      </w: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14th week in the fourth quarter of fiscal 2020 added $32.2 million to net revenue and approximately $0.01 to diluted earnings per share for the quarter and the year. The additional week is not included in comparable store sales growth and Adjusted Comparable Store Sales Growth for the quarter or the year.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1.7% and Adjusted Comparable Store Sales Growth was 1.2%.</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opened 16 new stores and ended the quarter with 1,278 stores. Overall, store count grew 6.1% from January 2, 2021 to January 1, 2022.</w:t>
      </w:r>
    </w:p>
    <w:p>
      <w:pPr>
        <w:spacing w:after="0" w:line="32" w:lineRule="exact"/>
        <w:rPr>
          <w:rFonts w:ascii="Arial" w:cs="Arial" w:eastAsia="Arial" w:hAnsi="Arial"/>
          <w:sz w:val="16"/>
          <w:szCs w:val="16"/>
          <w:color w:val="auto"/>
        </w:rPr>
      </w:pPr>
    </w:p>
    <w:p>
      <w:pPr>
        <w:jc w:val="both"/>
        <w:ind w:left="340" w:right="2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0.6% to $217.7 million compared to the fourth quarter of 2020. As a percentage of net revenue, costs applicable to revenue increased 200 basis points to 45.6% compared to the fourth quarter of 2020. This increase, as a percentage of net revenue, was primarily driven by higher growth in optometrist-related costs, lower eyeglass mix, and lower eyeglass margin.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increased 12.5% to $224.8 million compared to the fourth quarter of 2020. As a percentage of net revenue, SG&amp;A increased 680 basis points to 47.0% compared to the fourth quarter of 2020. This increase, as a percentage of net revenue, was driven by higher payroll expense, higher advertising investment, and corporate overhead.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82.3% to $6.2 million compared to the fourth quarter of 2020.</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35"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Diluted earnings per share decreased 82.2% to $0.07 compared to the fourth quarter of 2020. Adjusted Diluted EPS decreased 71.3% to $0.13 compared to the fourth quarter of 2020. The net change in margin on unearned revenue negatively impacted Adjusted Diluted EPS by $0.04.</w:t>
      </w:r>
    </w:p>
    <w:p>
      <w:pPr>
        <w:jc w:val="both"/>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73.3% to $16.8 million compared to the fourth quarter of 2020. Adjusted Operating Margin decreased 910 basis points to 3.5% compared to the fourth quarter of 2020. The net change in margin on unearned revenue negatively impacted Adjusted Operating Income by $5.5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Summary compared to Fiscal 2019</w:t>
      </w:r>
    </w:p>
    <w:p>
      <w:pPr>
        <w:spacing w:after="0" w:line="27" w:lineRule="exact"/>
        <w:rPr>
          <w:sz w:val="20"/>
          <w:szCs w:val="20"/>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20.6% to $2.08 billion compared to fiscal year 2019. Net revenue was positively impacted by 0.2% due to the timing of unearned revenue.</w:t>
      </w: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was 15.1% and Adjusted Comparable Store Sales Growth was 14.7%.</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applicable to revenue increased 12.2% to $904.8 million compared to fiscal year 2019. As a percentage of net revenue, costs applicable to revenue decreased 330 basis points to 43.5% compared to fiscal year 2019. This decrease as a percentage of net revenue was primarily driven by higher eyeglass mix, higher eyeglass margin, and lower growth in optometrist-related costs.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SG&amp;A increased 21.0% to $900.8 million compared to fiscal year 2019. As a percentage of net revenue, SG&amp;A increased 10 basis points to 43.3% compared to fiscal year 2019. This increase as a percentage of net revenue was primarily driven by increases in advertising investment and performance-based incentive compensation, offset by leverage of corporate overhead and occupancy expenses.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Net income increased 291% to $128.2 million compared to fiscal year 2019.</w:t>
      </w:r>
    </w:p>
    <w:p>
      <w:pPr>
        <w:sectPr>
          <w:pgSz w:w="11900" w:h="16838" w:orient="portrait"/>
          <w:cols w:equalWidth="0" w:num="1">
            <w:col w:w="11240"/>
          </w:cols>
          <w:pgMar w:left="320" w:top="931" w:right="339" w:bottom="1440" w:gutter="0" w:footer="0" w:header="0"/>
        </w:sectPr>
      </w:pPr>
    </w:p>
    <w:bookmarkStart w:id="6" w:name="page7"/>
    <w:bookmarkEnd w:id="6"/>
    <w:p>
      <w:pPr>
        <w:ind w:left="340" w:hanging="332"/>
        <w:spacing w:after="0" w:line="258"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257% to $1.43 compared to fiscal year 2019. Adjusted Diluted EPS increased 97.7% to $1.48 compared to fiscal year 2019. The net change in margin on unearned revenue positively impacted Adjusted Diluted EPS by $0.02.</w:t>
      </w:r>
    </w:p>
    <w:p>
      <w:pPr>
        <w:spacing w:after="0" w:line="1" w:lineRule="exact"/>
        <w:rPr>
          <w:rFonts w:ascii="Arial" w:cs="Arial" w:eastAsia="Arial" w:hAnsi="Arial"/>
          <w:sz w:val="18"/>
          <w:szCs w:val="18"/>
          <w:i w:val="1"/>
          <w:iCs w:val="1"/>
          <w:color w:val="auto"/>
        </w:rPr>
      </w:pPr>
    </w:p>
    <w:p>
      <w:pPr>
        <w:ind w:left="340" w:hanging="332"/>
        <w:spacing w:after="0" w:line="323"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Operating Income increased 79.1% to $204.7 million compared to fiscal year 2019. Adjusted Operating Margin increased 320 basis points to 9.8% compared to fiscal year 2019. The net change in margin on unearned revenue positively impacted Adjusted Operating Income by $2.7 million.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Summary compared to Fiscal 2020</w:t>
      </w:r>
    </w:p>
    <w:p>
      <w:pPr>
        <w:spacing w:after="0" w:line="27" w:lineRule="exact"/>
        <w:rPr>
          <w:sz w:val="20"/>
          <w:szCs w:val="20"/>
          <w:color w:val="auto"/>
        </w:rPr>
      </w:pP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 increased 21.5% to $2.08 billion compared to fiscal year 2020. Net revenue was positively impacted by 0.4% due to the timing of unearned revenue.</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Comparable store sales growth was 22.4% and Adjusted Comparable Store Sales Growth was 23.0%.</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applicable to revenue increased 15.0% to $904.8 million compared to fiscal year 2020. As a percentage of net revenue, costs applicable to revenue decreased 250 basis points to 43.5% compared to fiscal year 2020. This decrease as a percentage of net revenue was primarily driven by lower growth in optometrist-related costs, increased eyeglass mix and higher eyeglass margin.</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SG&amp;A increased 24.3% to $900.8 million compared to fiscal year 2020. As a percentage of net revenue, SG&amp;A increased 90 basis points to 43.3% compared to fiscal year 2020. This increase as a percentage of net revenue was primarily driven by increases in advertising investment and performance-based incentive compensation, partially offset by leverage of store payroll and occupancy expenses.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increased 254% to $128.2 million compared to fiscal year 2020.</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227% to $1.43 compared to fiscal year 2020. Adjusted Diluted EPS increased 62.6% to $1.48 compared to fiscal year 2020. The net change in margin on unearned revenue positively impacted Adjusted Diluted EPS by $0.05.</w:t>
      </w:r>
    </w:p>
    <w:p>
      <w:pPr>
        <w:ind w:left="340" w:hanging="332"/>
        <w:spacing w:after="0" w:line="323"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Operating Income increased 52.6% to $204.7 million compared to fiscal year 2020. Adjusted Operating Margin increased 200 basis points to 9.8% compared to fiscal year 2020. The net change in margin on unearned revenue positively impacted Adjusted Operating Income by $5.5 million.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w:t>
      </w:r>
    </w:p>
    <w:p>
      <w:pPr>
        <w:spacing w:after="0" w:line="27" w:lineRule="exact"/>
        <w:rPr>
          <w:sz w:val="20"/>
          <w:szCs w:val="20"/>
          <w:color w:val="auto"/>
        </w:rPr>
      </w:pPr>
    </w:p>
    <w:p>
      <w:pPr>
        <w:ind w:left="340" w:right="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cash balance was $305.8 million as of January 1, 2022. The Company had no borrowings under its $300.0 million first lien revolving credit facility, exclusive of letters of credit of $6.4 million.</w:t>
      </w:r>
    </w:p>
    <w:p>
      <w:pPr>
        <w:ind w:left="34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Total debt was $570.1 million as of January 1, 2022, consisting of outstanding first lien term loans, convertible senior notes (“2025 Notes”) and finance lease obligations, net of unamortized discounts.</w:t>
      </w:r>
    </w:p>
    <w:p>
      <w:pPr>
        <w:ind w:left="320" w:hanging="312"/>
        <w:spacing w:after="0"/>
        <w:tabs>
          <w:tab w:leader="none" w:pos="32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Cash flows from operating activities for 2021 increased to $258.9 million compared to $235.0 million for 2020 and $165.1 million for 2019.</w:t>
      </w:r>
    </w:p>
    <w:p>
      <w:pPr>
        <w:spacing w:after="0" w:line="20" w:lineRule="exact"/>
        <w:rPr>
          <w:rFonts w:ascii="Arial" w:cs="Arial" w:eastAsia="Arial" w:hAnsi="Arial"/>
          <w:sz w:val="17"/>
          <w:szCs w:val="17"/>
          <w:i w:val="1"/>
          <w:iCs w:val="1"/>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Capital expenditures for 2021 totaled $95.5 million compared to $76.8 million for 2020 and $101.3 million for 2019.</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2021, the Company voluntarily prepaid $50 million in existing term loans.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 w:lineRule="exact"/>
        <w:rPr>
          <w:sz w:val="20"/>
          <w:szCs w:val="20"/>
          <w:color w:val="auto"/>
        </w:rPr>
      </w:pPr>
    </w:p>
    <w:p>
      <w:pPr>
        <w:jc w:val="both"/>
        <w:ind w:left="340" w:hanging="332"/>
        <w:spacing w:after="0" w:line="250" w:lineRule="auto"/>
        <w:tabs>
          <w:tab w:leader="none" w:pos="33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In November 2021, the Company's board of directors authorized an increase in the Company's repurchase program up to $100 million aggregate amount of shares of the Company's common stock. During the fourth quarter of 2021, the Company repurchased 1,425,285 shares of its common stock for a total consideration of $69.9 million under the share repurchase program.</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2022, the board authorized another $100 million increase in the repurchase program, which now has $130 million remaining.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Outlook</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continuing its practice of providing selected full year guidance for 2022 and the outlook reflects current expected impacts related to COVID-19. However, the ultimate impacts of COVID-19 on the Company's financial outlook remains uncertain. The outlook shown below assumes no material deterioration to the Company's current business operations as a result of geopolitical instability or COVID-19 and its variants, government actions and regulations, but does take into account first quarter to date impacts from the Omicron variant and severe weather.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outlook for the 52 weeks ending December 31, 2022:</w:t>
      </w:r>
    </w:p>
    <w:p>
      <w:pPr>
        <w:sectPr>
          <w:pgSz w:w="11900" w:h="16838" w:orient="portrait"/>
          <w:cols w:equalWidth="0" w:num="1">
            <w:col w:w="11240"/>
          </w:cols>
          <w:pgMar w:left="320" w:top="935" w:right="339" w:bottom="1440" w:gutter="0" w:footer="0" w:header="0"/>
        </w:sectPr>
      </w:pPr>
    </w:p>
    <w:bookmarkStart w:id="7" w:name="page8"/>
    <w:bookmarkEnd w:id="7"/>
    <w:tbl>
      <w:tblPr>
        <w:tblLayout w:type="fixed"/>
        <w:tblInd w:w="38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40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Fiscal 2022 Outlook</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5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At least 80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p>
        </w:tc>
        <w:tc>
          <w:tcPr>
            <w:tcW w:w="5400" w:type="dxa"/>
            <w:vAlign w:val="bottom"/>
          </w:tcPr>
          <w:p>
            <w:pPr>
              <w:jc w:val="center"/>
              <w:ind w:left="70"/>
              <w:spacing w:after="0"/>
              <w:rPr>
                <w:sz w:val="20"/>
                <w:szCs w:val="20"/>
                <w:color w:val="auto"/>
              </w:rPr>
            </w:pPr>
            <w:r>
              <w:rPr>
                <w:rFonts w:ascii="Arial" w:cs="Arial" w:eastAsia="Arial" w:hAnsi="Arial"/>
                <w:sz w:val="18"/>
                <w:szCs w:val="18"/>
                <w:color w:val="auto"/>
                <w:w w:val="92"/>
              </w:rPr>
              <w:t>(1%) - 1.5%</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4"/>
              </w:rPr>
              <w:t>$2.12 - $2.17 billion</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400" w:type="dxa"/>
            <w:vAlign w:val="bottom"/>
          </w:tcPr>
          <w:p>
            <w:pPr>
              <w:jc w:val="center"/>
              <w:ind w:left="70"/>
              <w:spacing w:after="0"/>
              <w:rPr>
                <w:sz w:val="20"/>
                <w:szCs w:val="20"/>
                <w:color w:val="auto"/>
              </w:rPr>
            </w:pPr>
            <w:r>
              <w:rPr>
                <w:rFonts w:ascii="Arial" w:cs="Arial" w:eastAsia="Arial" w:hAnsi="Arial"/>
                <w:sz w:val="18"/>
                <w:szCs w:val="18"/>
                <w:color w:val="auto"/>
                <w:w w:val="94"/>
              </w:rPr>
              <w:t>$140 - $150 million</w:t>
            </w:r>
          </w:p>
        </w:tc>
      </w:tr>
      <w:tr>
        <w:trPr>
          <w:trHeight w:val="229"/>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p>
        </w:tc>
        <w:tc>
          <w:tcPr>
            <w:tcW w:w="5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$1.03 - $1.10</w:t>
            </w:r>
          </w:p>
        </w:tc>
      </w:tr>
      <w:tr>
        <w:trPr>
          <w:trHeight w:val="229"/>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5400" w:type="dxa"/>
            <w:vAlign w:val="bottom"/>
          </w:tcPr>
          <w:p>
            <w:pPr>
              <w:jc w:val="center"/>
              <w:ind w:left="90"/>
              <w:spacing w:after="0"/>
              <w:rPr>
                <w:sz w:val="20"/>
                <w:szCs w:val="20"/>
                <w:color w:val="auto"/>
              </w:rPr>
            </w:pPr>
            <w:r>
              <w:rPr>
                <w:rFonts w:ascii="Arial" w:cs="Arial" w:eastAsia="Arial" w:hAnsi="Arial"/>
                <w:sz w:val="18"/>
                <w:szCs w:val="18"/>
                <w:color w:val="auto"/>
                <w:w w:val="95"/>
              </w:rPr>
              <w:t>~$103 million</w:t>
            </w:r>
          </w:p>
        </w:tc>
      </w:tr>
      <w:tr>
        <w:trPr>
          <w:trHeight w:val="230"/>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3</w:t>
            </w:r>
          </w:p>
        </w:tc>
        <w:tc>
          <w:tcPr>
            <w:tcW w:w="5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~$18 million</w:t>
            </w:r>
          </w:p>
        </w:tc>
      </w:tr>
      <w:tr>
        <w:trPr>
          <w:trHeight w:val="229"/>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4</w:t>
            </w:r>
          </w:p>
        </w:tc>
        <w:tc>
          <w:tcPr>
            <w:tcW w:w="5400" w:type="dxa"/>
            <w:vAlign w:val="bottom"/>
          </w:tcPr>
          <w:p>
            <w:pPr>
              <w:jc w:val="center"/>
              <w:ind w:left="70"/>
              <w:spacing w:after="0"/>
              <w:rPr>
                <w:sz w:val="20"/>
                <w:szCs w:val="20"/>
                <w:color w:val="auto"/>
              </w:rPr>
            </w:pPr>
            <w:r>
              <w:rPr>
                <w:rFonts w:ascii="Arial" w:cs="Arial" w:eastAsia="Arial" w:hAnsi="Arial"/>
                <w:sz w:val="18"/>
                <w:szCs w:val="18"/>
                <w:color w:val="auto"/>
                <w:w w:val="94"/>
              </w:rPr>
              <w:t>~26%</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5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$110 - $115 million</w:t>
            </w: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 Assumes approximately 95.3 million shares, including 12.9 million shares for the convertible notes under the if-converted method</w:t>
      </w:r>
    </w:p>
    <w:p>
      <w:pPr>
        <w:spacing w:after="0" w:line="23" w:lineRule="exact"/>
        <w:rPr>
          <w:sz w:val="20"/>
          <w:szCs w:val="20"/>
          <w:color w:val="auto"/>
        </w:rPr>
      </w:pPr>
    </w:p>
    <w:p>
      <w:pPr>
        <w:jc w:val="both"/>
        <w:ind w:left="400" w:right="400"/>
        <w:spacing w:after="0" w:line="234" w:lineRule="auto"/>
        <w:rPr>
          <w:sz w:val="20"/>
          <w:szCs w:val="20"/>
          <w:color w:val="auto"/>
        </w:rPr>
      </w:pPr>
      <w:r>
        <w:rPr>
          <w:rFonts w:ascii="Arial" w:cs="Arial" w:eastAsia="Arial" w:hAnsi="Arial"/>
          <w:sz w:val="18"/>
          <w:szCs w:val="18"/>
          <w:color w:val="auto"/>
        </w:rPr>
        <w:t>2 - Includes amortization of acquisition intangibles of approximately $7.5 million, which is excluded in the definition of Adjusted Operating Income</w:t>
      </w:r>
    </w:p>
    <w:p>
      <w:pPr>
        <w:spacing w:after="0" w:line="1" w:lineRule="exact"/>
        <w:rPr>
          <w:sz w:val="20"/>
          <w:szCs w:val="20"/>
          <w:color w:val="auto"/>
        </w:rPr>
      </w:pPr>
    </w:p>
    <w:p>
      <w:pPr>
        <w:jc w:val="both"/>
        <w:ind w:left="400" w:right="400"/>
        <w:spacing w:after="0" w:line="234" w:lineRule="auto"/>
        <w:rPr>
          <w:sz w:val="20"/>
          <w:szCs w:val="20"/>
          <w:color w:val="auto"/>
        </w:rPr>
      </w:pPr>
      <w:r>
        <w:rPr>
          <w:rFonts w:ascii="Arial" w:cs="Arial" w:eastAsia="Arial" w:hAnsi="Arial"/>
          <w:sz w:val="18"/>
          <w:szCs w:val="18"/>
          <w:color w:val="auto"/>
        </w:rPr>
        <w:t>3 - Before the impact of gains or losses related to hedge ineffectiveness and charges related to amortization of debt discounts and deferred financing costs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4 - Excluding the impact of stock option exercises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2022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The fiscal 2022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2022 outlook. The Company uses these forward looking measures internally to assess and benchmark its results and strategic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conference call to discuss the fourth quarter 2021 financial results is scheduled for today, February 28, 2022, at 10:00 a.m. Eastern Time. The U.S. toll free dial-in for the conference call is 866-754-6931 and the international dial-in is 636-812-6625. The conference passcode is 8984784. A live audio webcast of the conference call will be available on the “Investor” section of the Company’s website </w:t>
      </w:r>
      <w:r>
        <w:rPr>
          <w:rFonts w:ascii="Arial" w:cs="Arial" w:eastAsia="Arial" w:hAnsi="Arial"/>
          <w:sz w:val="18"/>
          <w:szCs w:val="18"/>
          <w:u w:val="single" w:color="auto"/>
          <w:color w:val="006EBF"/>
        </w:rPr>
        <w:t>www.nationalvision.com/investors</w:t>
      </w:r>
      <w:r>
        <w:rPr>
          <w:rFonts w:ascii="Arial" w:cs="Arial" w:eastAsia="Arial" w:hAnsi="Arial"/>
          <w:sz w:val="18"/>
          <w:szCs w:val="18"/>
          <w:color w:val="auto"/>
        </w:rPr>
        <w:t>, where presentation materials will be posted prior to the conference call.</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Monday, March 7, 2022, by dialing 855-859-2056 from the U.S. or 404-537-3406 from international locations, and entering conference passcode 8984784. A replay of the audio webcast will also be archived on the “Investors” section of the Company’s website.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1,200 retail stores in 44 states plus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ectPr>
          <w:pgSz w:w="11900" w:h="16838" w:orient="portrait"/>
          <w:cols w:equalWidth="0" w:num="1">
            <w:col w:w="11240"/>
          </w:cols>
          <w:pgMar w:left="320" w:top="97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2022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including risks stemming from vaccination and testing programs and mandates; customer behavior in response to the continuing pandemic and its more recent outbreaks of variants, including the impact of such behavior on in-store traffic and sales; overall decline in the health of the economy and other factors impacting consumer spending, including inflation; our ability to keep our reopened stores open in a safe and cost-effective manner, or at all, in light of the continuing COVID-19 pandemic and its resurgence and variants;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risks associated with environmental, social and governance issues, including climate change;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w:t>
      </w:r>
    </w:p>
    <w:p>
      <w:pPr>
        <w:sectPr>
          <w:pgSz w:w="11900" w:h="16838" w:orient="portrait"/>
          <w:cols w:equalWidth="0" w:num="1">
            <w:col w:w="11240"/>
          </w:cols>
          <w:pgMar w:left="320" w:top="931"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2020, we introduced Adjusted Operating Income and Adjusted Operating Margin as measures of performance we will use in connection with Adjusted EBITDA, Adjusted EBITDA Margin and Adjusted Diluted EPS. We believe Adjusted Operating Income and Adjusted Operating Margin enhance an understanding of our performance by highlighting the results from ongoing operations and the profitability of our business. Further, consistent with our presentation of Adjusted Operating Income, beginning with the first quarter of 2020, we no longer exclude new store pre-opening expenses and non-cash rent from our presentation of Adjusted EBITDA, Adjusted SG&amp;A, and Adjusted Diluted EPS. See our Form 8-K filed with the SEC on February 26, 2020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Operating Income: </w:t>
      </w:r>
      <w:r>
        <w:rPr>
          <w:rFonts w:ascii="Arial" w:cs="Arial" w:eastAsia="Arial" w:hAnsi="Arial"/>
          <w:sz w:val="17"/>
          <w:szCs w:val="17"/>
          <w:color w:val="auto"/>
        </w:rPr>
        <w:t>We define Adjusted Operating Income as net income, plus interest expense and income tax provision (benefit),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(benefit) and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adjusted to exclude stock compensation expense, loss on extinguishment of debt, asset impairment, litigation settlement, secondary offering expenses, management realignment expenses, long-term incentive plan expenses,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diluted earnings per share, adjusted for the per share impact of stock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Adjusted SG&amp;A: </w:t>
      </w:r>
      <w:r>
        <w:rPr>
          <w:rFonts w:ascii="Arial" w:cs="Arial" w:eastAsia="Arial" w:hAnsi="Arial"/>
          <w:sz w:val="16"/>
          <w:szCs w:val="16"/>
          <w:color w:val="auto"/>
        </w:rPr>
        <w:t>We define Adjusted SG&amp;A as SG&amp;A adjusted to exclude stock compensation expense, litigation settlement, secondary offering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realignment expenses, long-term incentive plan expense, and other expenses except for the share of losses on equity method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Adjusted Comparable Store Sales Growth: </w:t>
      </w:r>
      <w:r>
        <w:rPr>
          <w:rFonts w:ascii="Arial" w:cs="Arial" w:eastAsia="Arial" w:hAnsi="Arial"/>
          <w:sz w:val="18"/>
          <w:szCs w:val="18"/>
          <w:color w:val="auto"/>
        </w:rPr>
        <w:t>We measure Adjusted Comparable Store Sales Growth as the increase or decrease in sales recorded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w:t>
      </w:r>
    </w:p>
    <w:p>
      <w:pPr>
        <w:sectPr>
          <w:pgSz w:w="11900" w:h="16838" w:orient="portrait"/>
          <w:cols w:equalWidth="0" w:num="1">
            <w:col w:w="11240"/>
          </w:cols>
          <w:pgMar w:left="320" w:top="935" w:right="339" w:bottom="1440" w:gutter="0" w:footer="0" w:header="0"/>
        </w:sectPr>
      </w:pPr>
    </w:p>
    <w:bookmarkStart w:id="10" w:name="page11"/>
    <w:bookmarkEnd w:id="10"/>
    <w:p>
      <w:pPr>
        <w:jc w:val="both"/>
        <w:ind w:firstLine="8"/>
        <w:spacing w:after="0" w:line="291" w:lineRule="auto"/>
        <w:tabs>
          <w:tab w:leader="none" w:pos="3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stores to the public in 2020 as a result of the COVID-19 pandemic.</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Operating Income, Adjusted Operating Margin, Adjusted EBITDA, Adjusted EBITDA Margin, Adjusted Diluted EPS, Adjusted SG&amp;A, Adjusted SG&amp;A Percent of Net Revenue and Adjusted Comparable Store Sales Growth are not recognized terms under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9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1, 2022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35"/>
        </w:trPr>
        <w:tc>
          <w:tcPr>
            <w:tcW w:w="7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8"/>
              </w:rPr>
              <w:t>January 1, 2022</w:t>
            </w:r>
          </w:p>
        </w:tc>
        <w:tc>
          <w:tcPr>
            <w:tcW w:w="260" w:type="dxa"/>
            <w:vAlign w:val="bottom"/>
          </w:tcPr>
          <w:p>
            <w:pPr>
              <w:spacing w:after="0"/>
              <w:rPr>
                <w:sz w:val="11"/>
                <w:szCs w:val="11"/>
                <w:color w:val="auto"/>
              </w:rPr>
            </w:pP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January 2, 2021</w:t>
            </w:r>
          </w:p>
        </w:tc>
        <w:tc>
          <w:tcPr>
            <w:tcW w:w="0" w:type="dxa"/>
            <w:vAlign w:val="bottom"/>
          </w:tcPr>
          <w:p>
            <w:pPr>
              <w:spacing w:after="0"/>
              <w:rPr>
                <w:sz w:val="1"/>
                <w:szCs w:val="1"/>
                <w:color w:val="auto"/>
              </w:rPr>
            </w:pPr>
          </w:p>
        </w:tc>
      </w:tr>
      <w:tr>
        <w:trPr>
          <w:trHeight w:val="94"/>
        </w:trPr>
        <w:tc>
          <w:tcPr>
            <w:tcW w:w="7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305,800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514,576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346,436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Non-current operating lease obligations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83,840 and 82,183 shares issued as</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0"/>
              </w:rPr>
              <w:t>of January 1, 2022 and January 2, 2021, respectively; 81,405 and 81,239 shares outstanding as</w:t>
            </w:r>
          </w:p>
        </w:tc>
        <w:tc>
          <w:tcPr>
            <w:tcW w:w="2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of January 1, 2022 and January 2, 2021, respectively</w:t>
            </w:r>
          </w:p>
        </w:tc>
        <w:tc>
          <w:tcPr>
            <w:tcW w:w="2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6"/>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6"/>
              </w:rPr>
              <w:t>Treasury stock, at cost; 2,435 and 944 shares as of January 1, 2022 and January 2, 2021,</w:t>
            </w:r>
          </w:p>
        </w:tc>
        <w:tc>
          <w:tcPr>
            <w:tcW w:w="2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(101,791)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2021 includes 52 weeks. Fiscal year 2020 includes 53 weeks.</w:t>
      </w:r>
    </w:p>
    <w:p>
      <w:pPr>
        <w:sectPr>
          <w:pgSz w:w="11900" w:h="16838" w:orient="portrait"/>
          <w:cols w:equalWidth="0" w:num="1">
            <w:col w:w="11240"/>
          </w:cols>
          <w:pgMar w:left="320" w:top="85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Years Ended January 1, 2022, January 2, 2021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0"/>
              </w:rPr>
              <w:t>Three Months Ended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Fiscal Year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0"/>
              <w:spacing w:after="0" w:line="172" w:lineRule="exact"/>
              <w:rPr>
                <w:sz w:val="20"/>
                <w:szCs w:val="20"/>
                <w:color w:val="auto"/>
              </w:rPr>
            </w:pPr>
            <w:r>
              <w:rPr>
                <w:rFonts w:ascii="Arial" w:cs="Arial" w:eastAsia="Arial" w:hAnsi="Arial"/>
                <w:sz w:val="18"/>
                <w:szCs w:val="18"/>
                <w:color w:val="auto"/>
                <w:w w:val="87"/>
              </w:rPr>
              <w:t>January 1,</w:t>
            </w: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January 2, 2021</w:t>
            </w:r>
          </w:p>
        </w:tc>
        <w:tc>
          <w:tcPr>
            <w:tcW w:w="1180" w:type="dxa"/>
            <w:vAlign w:val="bottom"/>
            <w:gridSpan w:val="2"/>
          </w:tcPr>
          <w:p>
            <w:pPr>
              <w:jc w:val="center"/>
              <w:spacing w:after="0" w:line="172" w:lineRule="exact"/>
              <w:rPr>
                <w:sz w:val="20"/>
                <w:szCs w:val="20"/>
                <w:color w:val="auto"/>
              </w:rPr>
            </w:pPr>
            <w:r>
              <w:rPr>
                <w:rFonts w:ascii="Arial" w:cs="Arial" w:eastAsia="Arial" w:hAnsi="Arial"/>
                <w:sz w:val="18"/>
                <w:szCs w:val="18"/>
                <w:color w:val="auto"/>
                <w:w w:val="90"/>
              </w:rPr>
              <w:t>December 28,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391,477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412,399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329,654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1,718,344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1,418,283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1,426,136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477,851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401,763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1,711,760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1,724,331</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551,783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574,351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216,481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904,779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806,519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w w:val="95"/>
              </w:rPr>
              <w:t>Selling, general and administrative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744,488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844,237</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73,575</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6,219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128,244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Unrealized gain (loss) on hedge instruments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175"/>
        </w:trPr>
        <w:tc>
          <w:tcPr>
            <w:tcW w:w="3640" w:type="dxa"/>
            <w:vAlign w:val="bottom"/>
          </w:tcPr>
          <w:p>
            <w:pPr>
              <w:ind w:left="220"/>
              <w:spacing w:after="0" w:line="176" w:lineRule="exact"/>
              <w:rPr>
                <w:sz w:val="20"/>
                <w:szCs w:val="20"/>
                <w:color w:val="auto"/>
              </w:rPr>
            </w:pPr>
            <w:r>
              <w:rPr>
                <w:rFonts w:ascii="Arial" w:cs="Arial" w:eastAsia="Arial" w:hAnsi="Arial"/>
                <w:sz w:val="18"/>
                <w:szCs w:val="18"/>
                <w:color w:val="auto"/>
              </w:rPr>
              <w:t>Tax provision (benefit) of unrealized gain</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on hedge instruments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January 1, 2022 and December 28, 2019 include 13 weeks. Three months ended January 2, 2021 includes 14 weeks.</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i w:val="1"/>
          <w:iCs w:val="1"/>
          <w:color w:val="auto"/>
        </w:rPr>
        <w:t>Diluted EPS for the fourth quarter of 2021 and 2020 and fiscal year 2021 is calculated using the if-converted method for the 2025 Notes. We added back $9.5 million and $5.3 million of interest expense (after tax) related to the 2025 Notes for fiscal year 2021 and the fourth quarter 2020, respectively, and assumed conversion of the 2025 Notes at the beginning of each respective period. The 2025 Notes were antidilutive for the fourth quarter of 2021 and fiscal year 2020 and, therefore, excluded from the computation of the weighted average shares for diluted EPS. Fourth quarter and fiscal year 2019 diluted EPS was calculated using the treasury stock method.</w:t>
      </w:r>
    </w:p>
    <w:p>
      <w:pPr>
        <w:sectPr>
          <w:pgSz w:w="11900" w:h="16838" w:orient="portrait"/>
          <w:cols w:equalWidth="0" w:num="1">
            <w:col w:w="11240"/>
          </w:cols>
          <w:pgMar w:left="320" w:top="850"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Years Ended January 1, 2022, January 2, 2021 and December 28,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Fiscal Year 2021</w:t>
            </w: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auto"/>
              </w:rPr>
              <w:t>Fiscal Year 2020</w:t>
            </w:r>
          </w:p>
        </w:tc>
        <w:tc>
          <w:tcPr>
            <w:tcW w:w="1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w w:val="88"/>
              </w:rPr>
              <w:t>Fiscal Year 2019</w:t>
            </w:r>
          </w:p>
        </w:tc>
      </w:tr>
      <w:tr>
        <w:trPr>
          <w:trHeight w:val="19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128,244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36,277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32,798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87,244</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8,894</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12,670</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4,352</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16,078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(6,925)</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(15,886)</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Operating lease right of use assets and liabilities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(2,860)</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and unearned revenue</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5,829</w:t>
            </w:r>
          </w:p>
        </w:tc>
      </w:tr>
      <w:tr>
        <w:trPr>
          <w:trHeight w:val="213"/>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8,967</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165,081</w:t>
            </w:r>
          </w:p>
        </w:tc>
      </w:tr>
      <w:tr>
        <w:trPr>
          <w:trHeight w:val="19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(101,325)</w:t>
            </w:r>
          </w:p>
        </w:tc>
      </w:tr>
      <w:tr>
        <w:trPr>
          <w:trHeight w:val="213"/>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(100,631)</w:t>
            </w:r>
          </w:p>
        </w:tc>
      </w:tr>
      <w:tr>
        <w:trPr>
          <w:trHeight w:val="19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566,550</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(591,925)</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14,767</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(25,646)</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r>
      <w:tr>
        <w:trPr>
          <w:trHeight w:val="213"/>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(234,324)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(42,141)</w:t>
            </w:r>
          </w:p>
        </w:tc>
      </w:tr>
      <w:tr>
        <w:trPr>
          <w:trHeight w:val="206"/>
        </w:trPr>
        <w:tc>
          <w:tcPr>
            <w:tcW w:w="69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(68,283)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334,852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22,309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306,876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2"/>
        </w:trPr>
        <w:tc>
          <w:tcPr>
            <w:tcW w:w="6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9,059</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ectPr>
          <w:pgSz w:w="11900" w:h="16838" w:orient="portrait"/>
          <w:cols w:equalWidth="0" w:num="1">
            <w:col w:w="11180"/>
          </w:cols>
          <w:pgMar w:left="320" w:top="850"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Years Ended January 1, 2022, January 2, 2021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Operating Income to Net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Three Months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January 1,</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January 2,</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December</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color w:val="auto"/>
              </w:rPr>
              <w:t>Fiscal Year 2021</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color w:val="auto"/>
              </w:rPr>
              <w:t>Fiscal Year 2020</w:t>
            </w:r>
          </w:p>
        </w:tc>
        <w:tc>
          <w:tcPr>
            <w:tcW w:w="100" w:type="dxa"/>
            <w:vAlign w:val="bottom"/>
          </w:tcPr>
          <w:p>
            <w:pPr>
              <w:spacing w:after="0"/>
              <w:rPr>
                <w:sz w:val="14"/>
                <w:szCs w:val="14"/>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Fiscal Year 2019</w:t>
            </w:r>
          </w:p>
        </w:tc>
        <w:tc>
          <w:tcPr>
            <w:tcW w:w="0" w:type="dxa"/>
            <w:vAlign w:val="bottom"/>
          </w:tcPr>
          <w:p>
            <w:pPr>
              <w:spacing w:after="0"/>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89"/>
              </w:rPr>
              <w:t>28, 2019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128,244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36,277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32,798</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25,612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33,300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8,894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(h)</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7,405</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(k)</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16,764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62,766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204,749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134,148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114,300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margin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b w:val="1"/>
                <w:bCs w:val="1"/>
                <w:color w:val="auto"/>
              </w:rPr>
              <w:t>Adjusted Operating Margin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bl>
    <w:p>
      <w:pPr>
        <w:ind w:left="20"/>
        <w:spacing w:after="0" w:line="219" w:lineRule="auto"/>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ind w:left="20"/>
        <w:spacing w:after="0" w:line="202" w:lineRule="auto"/>
        <w:rPr>
          <w:sz w:val="20"/>
          <w:szCs w:val="20"/>
          <w:color w:val="auto"/>
        </w:rPr>
      </w:pPr>
      <w:r>
        <w:rPr>
          <w:rFonts w:ascii="Arial" w:cs="Arial" w:eastAsia="Arial" w:hAnsi="Arial"/>
          <w:sz w:val="14"/>
          <w:szCs w:val="14"/>
          <w:i w:val="1"/>
          <w:iCs w:val="1"/>
          <w:color w:val="auto"/>
        </w:rPr>
        <w:t>Three months ended January 1, 2022 and December 28, 2019 include 13 weeks. Three months ended January 2, 2021 includes 14 weeks.</w:t>
      </w:r>
    </w:p>
    <w:p>
      <w:pPr>
        <w:ind w:left="20"/>
        <w:spacing w:after="0"/>
        <w:rPr>
          <w:sz w:val="20"/>
          <w:szCs w:val="20"/>
          <w:color w:val="auto"/>
        </w:rPr>
      </w:pPr>
      <w:r>
        <w:rPr>
          <w:rFonts w:ascii="Arial" w:cs="Arial" w:eastAsia="Arial" w:hAnsi="Arial"/>
          <w:sz w:val="14"/>
          <w:szCs w:val="14"/>
          <w:i w:val="1"/>
          <w:iCs w:val="1"/>
          <w:color w:val="auto"/>
        </w:rPr>
        <w:t>Percentages reflect line item as a percentage of net revenue, adjusted for rounding.</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Net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January 1,</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January 2,</w:t>
            </w:r>
          </w:p>
        </w:tc>
        <w:tc>
          <w:tcPr>
            <w:tcW w:w="138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December</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color w:val="auto"/>
              </w:rPr>
              <w:t>Fiscal Year 2021</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color w:val="auto"/>
              </w:rPr>
              <w:t>Fiscal Year 2020</w:t>
            </w:r>
          </w:p>
        </w:tc>
        <w:tc>
          <w:tcPr>
            <w:tcW w:w="100" w:type="dxa"/>
            <w:vAlign w:val="bottom"/>
          </w:tcPr>
          <w:p>
            <w:pPr>
              <w:spacing w:after="0"/>
              <w:rPr>
                <w:sz w:val="14"/>
                <w:szCs w:val="14"/>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Fiscal Year 2019</w:t>
            </w:r>
          </w:p>
        </w:tc>
        <w:tc>
          <w:tcPr>
            <w:tcW w:w="0" w:type="dxa"/>
            <w:vAlign w:val="bottom"/>
          </w:tcPr>
          <w:p>
            <w:pPr>
              <w:spacing w:after="0"/>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89"/>
              </w:rPr>
              <w:t>28, 2019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128,244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36,277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32,798</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25,612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33,300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24,450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22,614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23,674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97,089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91,585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87,244</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EBITDA</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151,033</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8,894</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(k)</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39,342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83,508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38,311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294,350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218,307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194,139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margin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b w:val="1"/>
                <w:bCs w:val="1"/>
                <w:color w:val="auto"/>
              </w:rPr>
              <w:t>Adjusted EBITDA Margin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bl>
    <w:p>
      <w:pPr>
        <w:ind w:left="20"/>
        <w:spacing w:after="0" w:line="219" w:lineRule="auto"/>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ind w:left="20"/>
        <w:spacing w:after="0" w:line="202" w:lineRule="auto"/>
        <w:rPr>
          <w:sz w:val="20"/>
          <w:szCs w:val="20"/>
          <w:color w:val="auto"/>
        </w:rPr>
      </w:pPr>
      <w:r>
        <w:rPr>
          <w:rFonts w:ascii="Arial" w:cs="Arial" w:eastAsia="Arial" w:hAnsi="Arial"/>
          <w:sz w:val="14"/>
          <w:szCs w:val="14"/>
          <w:i w:val="1"/>
          <w:iCs w:val="1"/>
          <w:color w:val="auto"/>
        </w:rPr>
        <w:t>Three months ended January 1, 2022 and December 28, 2019 include 13 weeks. Three months ended January 2, 2021 includes 14 weeks.</w:t>
      </w:r>
    </w:p>
    <w:p>
      <w:pPr>
        <w:ind w:left="20"/>
        <w:spacing w:after="0"/>
        <w:rPr>
          <w:sz w:val="20"/>
          <w:szCs w:val="20"/>
          <w:color w:val="auto"/>
        </w:rPr>
      </w:pPr>
      <w:r>
        <w:rPr>
          <w:rFonts w:ascii="Arial" w:cs="Arial" w:eastAsia="Arial" w:hAnsi="Arial"/>
          <w:sz w:val="14"/>
          <w:szCs w:val="14"/>
          <w:i w:val="1"/>
          <w:iCs w:val="1"/>
          <w:color w:val="auto"/>
        </w:rPr>
        <w:t>Percentages reflect line item as a percentage of net revenue, adjusted for rounding.</w:t>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Reconciliation of Adjusted Diluted EPS to Diluted EPS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Three Months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Three Months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Three Months</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Arial" w:cs="Arial" w:eastAsia="Arial" w:hAnsi="Arial"/>
                <w:sz w:val="16"/>
                <w:szCs w:val="16"/>
                <w:i w:val="1"/>
                <w:iCs w:val="1"/>
                <w:color w:val="auto"/>
                <w:w w:val="98"/>
              </w:rPr>
              <w:t>Shares in thousands, except per share amounts</w:t>
            </w:r>
          </w:p>
        </w:tc>
        <w:tc>
          <w:tcPr>
            <w:tcW w:w="1320" w:type="dxa"/>
            <w:vAlign w:val="bottom"/>
            <w:gridSpan w:val="3"/>
          </w:tcPr>
          <w:p>
            <w:pPr>
              <w:jc w:val="center"/>
              <w:ind w:right="80"/>
              <w:spacing w:after="0" w:line="162" w:lineRule="exact"/>
              <w:rPr>
                <w:sz w:val="20"/>
                <w:szCs w:val="20"/>
                <w:color w:val="auto"/>
              </w:rPr>
            </w:pPr>
            <w:r>
              <w:rPr>
                <w:rFonts w:ascii="Arial" w:cs="Arial" w:eastAsia="Arial" w:hAnsi="Arial"/>
                <w:sz w:val="16"/>
                <w:szCs w:val="16"/>
                <w:color w:val="auto"/>
                <w:w w:val="89"/>
              </w:rPr>
              <w:t>Ended January 1,</w:t>
            </w:r>
          </w:p>
        </w:tc>
        <w:tc>
          <w:tcPr>
            <w:tcW w:w="136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89"/>
              </w:rPr>
              <w:t>Ended January 2,</w:t>
            </w:r>
          </w:p>
        </w:tc>
        <w:tc>
          <w:tcPr>
            <w:tcW w:w="134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December</w:t>
            </w:r>
          </w:p>
        </w:tc>
        <w:tc>
          <w:tcPr>
            <w:tcW w:w="1280" w:type="dxa"/>
            <w:vAlign w:val="bottom"/>
            <w:gridSpan w:val="3"/>
            <w:vMerge w:val="restart"/>
          </w:tcPr>
          <w:p>
            <w:pPr>
              <w:ind w:left="40"/>
              <w:spacing w:after="0"/>
              <w:rPr>
                <w:sz w:val="20"/>
                <w:szCs w:val="20"/>
                <w:color w:val="auto"/>
              </w:rPr>
            </w:pPr>
            <w:r>
              <w:rPr>
                <w:rFonts w:ascii="Arial" w:cs="Arial" w:eastAsia="Arial" w:hAnsi="Arial"/>
                <w:sz w:val="16"/>
                <w:szCs w:val="16"/>
                <w:color w:val="auto"/>
              </w:rPr>
              <w:t>Fiscal Year 2021</w:t>
            </w:r>
          </w:p>
        </w:tc>
        <w:tc>
          <w:tcPr>
            <w:tcW w:w="1340" w:type="dxa"/>
            <w:vAlign w:val="bottom"/>
            <w:gridSpan w:val="3"/>
            <w:vMerge w:val="restart"/>
          </w:tcPr>
          <w:p>
            <w:pPr>
              <w:ind w:left="80"/>
              <w:spacing w:after="0"/>
              <w:rPr>
                <w:sz w:val="20"/>
                <w:szCs w:val="20"/>
                <w:color w:val="auto"/>
              </w:rPr>
            </w:pPr>
            <w:r>
              <w:rPr>
                <w:rFonts w:ascii="Arial" w:cs="Arial" w:eastAsia="Arial" w:hAnsi="Arial"/>
                <w:sz w:val="16"/>
                <w:szCs w:val="16"/>
                <w:color w:val="auto"/>
              </w:rPr>
              <w:t>Fiscal Year 2020</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Fiscal Year 2019</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3"/>
              </w:rPr>
              <w:t>28, 2019</w:t>
            </w:r>
          </w:p>
        </w:tc>
        <w:tc>
          <w:tcPr>
            <w:tcW w:w="1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(h)</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Amortization of debt discounts and deferred</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financing costs </w:t>
            </w:r>
            <w:r>
              <w:rPr>
                <w:rFonts w:ascii="Arial" w:cs="Arial" w:eastAsia="Arial" w:hAnsi="Arial"/>
                <w:sz w:val="21"/>
                <w:szCs w:val="21"/>
                <w:color w:val="auto"/>
                <w:vertAlign w:val="superscript"/>
              </w:rPr>
              <w:t>(i)</w:t>
            </w: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Losses (gains) on change in fair value of</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(j)</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(o)</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benefit of stock option exercises </w:t>
            </w:r>
            <w:r>
              <w:rPr>
                <w:rFonts w:ascii="Arial" w:cs="Arial" w:eastAsia="Arial" w:hAnsi="Arial"/>
                <w:sz w:val="21"/>
                <w:szCs w:val="21"/>
                <w:color w:val="auto"/>
                <w:vertAlign w:val="superscript"/>
              </w:rPr>
              <w:t>(l)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total adjustments </w:t>
            </w:r>
            <w:r>
              <w:rPr>
                <w:rFonts w:ascii="Arial" w:cs="Arial" w:eastAsia="Arial" w:hAnsi="Arial"/>
                <w:sz w:val="21"/>
                <w:szCs w:val="21"/>
                <w:color w:val="auto"/>
                <w:vertAlign w:val="superscript"/>
              </w:rPr>
              <w:t>(m)</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5"/>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6"/>
              </w:rPr>
              <w:t>Weighted average diluted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C2C2C"/>
              </w:rPr>
              <w:t>83,064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C2C2C"/>
              </w:rPr>
              <w:t>95,925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C2C2C"/>
              </w:rPr>
              <w:t>81,785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96,134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C2C2C"/>
              </w:rPr>
              <w:t>82,793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C2C2C"/>
              </w:rPr>
              <w:t>81,683</w:t>
            </w:r>
          </w:p>
        </w:tc>
        <w:tc>
          <w:tcPr>
            <w:tcW w:w="0" w:type="dxa"/>
            <w:vAlign w:val="bottom"/>
          </w:tcPr>
          <w:p>
            <w:pPr>
              <w:spacing w:after="0"/>
              <w:rPr>
                <w:sz w:val="1"/>
                <w:szCs w:val="1"/>
                <w:color w:val="auto"/>
              </w:rPr>
            </w:pPr>
          </w:p>
        </w:tc>
      </w:tr>
    </w:tbl>
    <w:p>
      <w:pPr>
        <w:ind w:left="20"/>
        <w:spacing w:after="0" w:line="220" w:lineRule="auto"/>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ind w:left="20"/>
        <w:spacing w:after="0" w:line="201" w:lineRule="auto"/>
        <w:rPr>
          <w:sz w:val="20"/>
          <w:szCs w:val="20"/>
          <w:color w:val="auto"/>
        </w:rPr>
      </w:pPr>
      <w:r>
        <w:rPr>
          <w:rFonts w:ascii="Arial" w:cs="Arial" w:eastAsia="Arial" w:hAnsi="Arial"/>
          <w:sz w:val="14"/>
          <w:szCs w:val="14"/>
          <w:i w:val="1"/>
          <w:iCs w:val="1"/>
          <w:color w:val="auto"/>
        </w:rPr>
        <w:t>Three months ended January 1, 2022 and December 28, 2019 include 13 weeks. Three months ended December 28, 2019 includes 13 weeks.</w:t>
      </w:r>
    </w:p>
    <w:p>
      <w:pPr>
        <w:ind w:left="20"/>
        <w:spacing w:after="0"/>
        <w:rPr>
          <w:sz w:val="20"/>
          <w:szCs w:val="20"/>
          <w:color w:val="auto"/>
        </w:rPr>
      </w:pPr>
      <w:r>
        <w:rPr>
          <w:rFonts w:ascii="Arial" w:cs="Arial" w:eastAsia="Arial" w:hAnsi="Arial"/>
          <w:sz w:val="14"/>
          <w:szCs w:val="14"/>
          <w:i w:val="1"/>
          <w:iCs w:val="1"/>
          <w:color w:val="auto"/>
        </w:rPr>
        <w:t>Some of the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Three Months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Three Months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gridSpan w:val="3"/>
          </w:tcPr>
          <w:p>
            <w:pPr>
              <w:jc w:val="center"/>
              <w:ind w:right="80"/>
              <w:spacing w:after="0" w:line="162" w:lineRule="exact"/>
              <w:rPr>
                <w:sz w:val="20"/>
                <w:szCs w:val="20"/>
                <w:color w:val="auto"/>
              </w:rPr>
            </w:pPr>
            <w:r>
              <w:rPr>
                <w:rFonts w:ascii="Arial" w:cs="Arial" w:eastAsia="Arial" w:hAnsi="Arial"/>
                <w:sz w:val="16"/>
                <w:szCs w:val="16"/>
                <w:color w:val="auto"/>
                <w:w w:val="89"/>
              </w:rPr>
              <w:t>Ended January 1,</w:t>
            </w:r>
          </w:p>
        </w:tc>
        <w:tc>
          <w:tcPr>
            <w:tcW w:w="142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January 2,</w:t>
            </w:r>
          </w:p>
        </w:tc>
        <w:tc>
          <w:tcPr>
            <w:tcW w:w="140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89"/>
              </w:rPr>
              <w:t>Ended December</w:t>
            </w:r>
          </w:p>
        </w:tc>
        <w:tc>
          <w:tcPr>
            <w:tcW w:w="1400" w:type="dxa"/>
            <w:vAlign w:val="bottom"/>
            <w:gridSpan w:val="3"/>
            <w:vMerge w:val="restart"/>
          </w:tcPr>
          <w:p>
            <w:pPr>
              <w:ind w:left="100"/>
              <w:spacing w:after="0"/>
              <w:rPr>
                <w:sz w:val="20"/>
                <w:szCs w:val="20"/>
                <w:color w:val="auto"/>
              </w:rPr>
            </w:pPr>
            <w:r>
              <w:rPr>
                <w:rFonts w:ascii="Arial" w:cs="Arial" w:eastAsia="Arial" w:hAnsi="Arial"/>
                <w:sz w:val="16"/>
                <w:szCs w:val="16"/>
                <w:color w:val="auto"/>
              </w:rPr>
              <w:t>Fiscal Year 2021</w:t>
            </w:r>
          </w:p>
        </w:tc>
        <w:tc>
          <w:tcPr>
            <w:tcW w:w="1400" w:type="dxa"/>
            <w:vAlign w:val="bottom"/>
            <w:gridSpan w:val="3"/>
            <w:vMerge w:val="restart"/>
          </w:tcPr>
          <w:p>
            <w:pPr>
              <w:ind w:left="100"/>
              <w:spacing w:after="0"/>
              <w:rPr>
                <w:sz w:val="20"/>
                <w:szCs w:val="20"/>
                <w:color w:val="auto"/>
              </w:rPr>
            </w:pPr>
            <w:r>
              <w:rPr>
                <w:rFonts w:ascii="Arial" w:cs="Arial" w:eastAsia="Arial" w:hAnsi="Arial"/>
                <w:sz w:val="16"/>
                <w:szCs w:val="16"/>
                <w:color w:val="auto"/>
              </w:rPr>
              <w:t>Fiscal Year 2020</w:t>
            </w: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w w:val="98"/>
              </w:rPr>
              <w:t>Fiscal Year 2019</w:t>
            </w:r>
          </w:p>
        </w:tc>
        <w:tc>
          <w:tcPr>
            <w:tcW w:w="0" w:type="dxa"/>
            <w:vAlign w:val="bottom"/>
          </w:tcPr>
          <w:p>
            <w:pPr>
              <w:spacing w:after="0"/>
              <w:rPr>
                <w:sz w:val="1"/>
                <w:szCs w:val="1"/>
                <w:color w:val="auto"/>
              </w:rPr>
            </w:pPr>
          </w:p>
        </w:tc>
      </w:tr>
      <w:tr>
        <w:trPr>
          <w:trHeight w:val="212"/>
        </w:trPr>
        <w:tc>
          <w:tcPr>
            <w:tcW w:w="2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color w:val="auto"/>
                <w:w w:val="89"/>
              </w:rPr>
              <w:t>28, 2019</w:t>
            </w:r>
          </w:p>
        </w:tc>
        <w:tc>
          <w:tcPr>
            <w:tcW w:w="1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224,756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199,750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178,044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900,798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724,985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744,488</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1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Management realignment expenses </w:t>
            </w:r>
            <w:r>
              <w:rPr>
                <w:rFonts w:ascii="Arial" w:cs="Arial" w:eastAsia="Arial" w:hAnsi="Arial"/>
                <w:sz w:val="23"/>
                <w:szCs w:val="23"/>
                <w:color w:val="auto"/>
                <w:w w:val="94"/>
                <w:vertAlign w:val="superscript"/>
              </w:rPr>
              <w:t>(f)</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1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Arial" w:cs="Arial" w:eastAsia="Arial" w:hAnsi="Arial"/>
                <w:sz w:val="18"/>
                <w:szCs w:val="18"/>
                <w:b w:val="1"/>
                <w:bCs w:val="1"/>
                <w:color w:val="auto"/>
              </w:rPr>
              <w:t>Adjusted SG&amp;A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220,760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196,839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880,545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707,274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721,867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b w:val="1"/>
                <w:bCs w:val="1"/>
                <w:color w:val="auto"/>
              </w:rPr>
              <w:t>SG&amp;A Percent of Net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Adjusted SG&amp;A Percent of Net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Three months ended January 1, 2022 and December 28, 2019 include 13 weeks. Three months ended December 28, 2019 includes 13 weeks.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Percentages reflect line item as a percentage of net revenue.</w:t>
      </w:r>
    </w:p>
    <w:p>
      <w:pPr>
        <w:spacing w:after="0" w:line="200" w:lineRule="exact"/>
        <w:rPr>
          <w:sz w:val="20"/>
          <w:szCs w:val="20"/>
          <w:color w:val="auto"/>
        </w:rPr>
      </w:pPr>
    </w:p>
    <w:p>
      <w:pPr>
        <w:spacing w:after="0" w:line="26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write-off of deferred financing fees related to the extinguishment of debt.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w:t>
      </w:r>
    </w:p>
    <w:p>
      <w:pPr>
        <w:sectPr>
          <w:pgSz w:w="11900" w:h="16838" w:orient="portrait"/>
          <w:cols w:equalWidth="0" w:num="1">
            <w:col w:w="11240"/>
          </w:cols>
          <w:pgMar w:left="320" w:top="1120" w:right="339" w:bottom="1440" w:gutter="0" w:footer="0" w:header="0"/>
        </w:sectPr>
      </w:pPr>
    </w:p>
    <w:bookmarkStart w:id="16" w:name="page17"/>
    <w:bookmarkEnd w:id="16"/>
    <w:p>
      <w:pPr>
        <w:ind w:left="392" w:hanging="392"/>
        <w:spacing w:after="0"/>
        <w:tabs>
          <w:tab w:leader="none" w:pos="3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on Form 8-K filed with the SEC on January 10, 2019.</w:t>
      </w:r>
    </w:p>
    <w:p>
      <w:pPr>
        <w:spacing w:after="0" w:line="13" w:lineRule="exact"/>
        <w:rPr>
          <w:rFonts w:ascii="Arial" w:cs="Arial" w:eastAsia="Arial" w:hAnsi="Arial"/>
          <w:sz w:val="14"/>
          <w:szCs w:val="14"/>
          <w:color w:val="auto"/>
        </w:rPr>
      </w:pPr>
    </w:p>
    <w:p>
      <w:pPr>
        <w:ind w:left="412" w:right="20" w:hanging="412"/>
        <w:spacing w:after="0" w:line="241" w:lineRule="auto"/>
        <w:tabs>
          <w:tab w:leader="none" w:pos="4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associates who were not participants in the management equity plan. This plan was effective in 2014 following the acquisition of the Company by affiliates of KKR &amp; Co. Inc. (the “KKR Acquisition”).</w:t>
      </w:r>
    </w:p>
    <w:p>
      <w:pPr>
        <w:ind w:left="392" w:hanging="392"/>
        <w:spacing w:after="0"/>
        <w:tabs>
          <w:tab w:leader="none" w:pos="3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412" w:right="20" w:hanging="412"/>
        <w:spacing w:after="0" w:line="241" w:lineRule="auto"/>
        <w:tabs>
          <w:tab w:leader="none" w:pos="399"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including amortization of the conversion feature related to the 2025 Notes of $10.0 million for fiscal year 2020. We adjust for amortization of deferred financing costs related to the 2025 Notes only when adjusting these costs is not required in the calculation of diluted earnings per share in accordance with the if-converted method under U.S. GAAP. Amortization of debt discount and deferred financing costs total $0.6 million, $0.3 million and $0.2 million for the three months ended January 1, 2022, January 2, 2021 and December 28, 2019, and $2.1 million, $11.9 million and $1.3 million for the fiscal years 2021, 2020 and 2019, respectively.</w:t>
      </w:r>
    </w:p>
    <w:p>
      <w:pPr>
        <w:spacing w:after="0" w:line="1" w:lineRule="exact"/>
        <w:rPr>
          <w:rFonts w:ascii="Arial" w:cs="Arial" w:eastAsia="Arial" w:hAnsi="Arial"/>
          <w:sz w:val="14"/>
          <w:szCs w:val="14"/>
          <w:color w:val="auto"/>
        </w:rPr>
      </w:pPr>
    </w:p>
    <w:p>
      <w:pPr>
        <w:ind w:left="412" w:right="20" w:hanging="412"/>
        <w:spacing w:after="0" w:line="241" w:lineRule="auto"/>
        <w:tabs>
          <w:tab w:leader="none" w:pos="399"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$(2.9) million and $(0.6) million for the three months ended January 1, 2022 and January 2, 2021, and $(3.3) million and $4.0 million for fiscal years 2021 and 2020, respectively.</w:t>
      </w:r>
    </w:p>
    <w:p>
      <w:pPr>
        <w:jc w:val="both"/>
        <w:ind w:left="412" w:hanging="412"/>
        <w:spacing w:after="0" w:line="241" w:lineRule="auto"/>
        <w:tabs>
          <w:tab w:leader="none" w:pos="4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our share of (gains) losses on equity method investments of $0.6 million for the three months ended December 28, 2019; and $(2.4) million and $1.8 million for fiscal years 2021 and 2019, respectively, and other expenses and adjustments which are primarily related to excess payroll taxes on stock option exercises, executive severance and relocation.</w:t>
      </w:r>
    </w:p>
    <w:p>
      <w:pPr>
        <w:spacing w:after="0" w:line="1" w:lineRule="exact"/>
        <w:rPr>
          <w:rFonts w:ascii="Arial" w:cs="Arial" w:eastAsia="Arial" w:hAnsi="Arial"/>
          <w:sz w:val="14"/>
          <w:szCs w:val="14"/>
          <w:color w:val="auto"/>
        </w:rPr>
      </w:pPr>
    </w:p>
    <w:p>
      <w:pPr>
        <w:ind w:left="412" w:right="20" w:hanging="412"/>
        <w:spacing w:after="0" w:line="241" w:lineRule="auto"/>
        <w:tabs>
          <w:tab w:leader="none" w:pos="399"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392" w:hanging="392"/>
        <w:spacing w:after="0"/>
        <w:tabs>
          <w:tab w:leader="none" w:pos="3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412" w:right="20" w:hanging="412"/>
        <w:spacing w:after="0" w:line="241" w:lineRule="auto"/>
        <w:tabs>
          <w:tab w:leader="none" w:pos="4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other expenses in (k) above, except for our share of (gains) losses on equity method investments of $0.6 million for the three months ended December 28, 2019; and $(2.4) million and $1.8 million for fiscal year 2021 and 2019, respectively.</w:t>
      </w:r>
    </w:p>
    <w:p>
      <w:pPr>
        <w:ind w:left="412" w:right="20" w:hanging="412"/>
        <w:spacing w:after="0" w:line="293" w:lineRule="auto"/>
        <w:tabs>
          <w:tab w:leader="none" w:pos="404"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other expenses in (k) above, including the impact of stranded tax effect of $(2.1) million for fiscal year 2021 associated with our interest rate swaps that matured in 2021, and immaterial debt issuance costs for the three months ended January 2, 2021 and $0.1 million and $0.2 million for fiscal years 2021 and 2020, respectively.</w:t>
      </w:r>
    </w:p>
    <w:p>
      <w:pPr>
        <w:sectPr>
          <w:pgSz w:w="11900" w:h="16838" w:orient="portrait"/>
          <w:cols w:equalWidth="0" w:num="1">
            <w:col w:w="10592"/>
          </w:cols>
          <w:pgMar w:left="328" w:top="890" w:right="9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560" w:type="dxa"/>
            <w:vAlign w:val="bottom"/>
            <w:gridSpan w:val="7"/>
          </w:tcPr>
          <w:p>
            <w:pPr>
              <w:spacing w:after="0"/>
              <w:rPr>
                <w:sz w:val="20"/>
                <w:szCs w:val="20"/>
                <w:color w:val="auto"/>
              </w:rPr>
            </w:pPr>
            <w:r>
              <w:rPr>
                <w:rFonts w:ascii="Arial" w:cs="Arial" w:eastAsia="Arial" w:hAnsi="Arial"/>
                <w:sz w:val="18"/>
                <w:szCs w:val="18"/>
                <w:b w:val="1"/>
                <w:bCs w:val="1"/>
                <w:color w:val="auto"/>
                <w:w w:val="99"/>
              </w:rPr>
              <w:t>Reconciliation of Adjusted Comparable Store Sales Growth to Total Comparable Store Sales Growth</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2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3"/>
                <w:szCs w:val="23"/>
                <w:color w:val="auto"/>
                <w:vertAlign w:val="superscript"/>
              </w:rPr>
              <w:t>(a)</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7"/>
                <w:szCs w:val="17"/>
                <w:color w:val="auto"/>
              </w:rPr>
              <w:t>Year to Date</w:t>
            </w: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2021 vs. 2019</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2021 vs. 2020</w:t>
            </w:r>
          </w:p>
        </w:tc>
        <w:tc>
          <w:tcPr>
            <w:tcW w:w="100" w:type="dxa"/>
            <w:vAlign w:val="bottom"/>
          </w:tcPr>
          <w:p>
            <w:pPr>
              <w:spacing w:after="0"/>
              <w:rPr>
                <w:sz w:val="19"/>
                <w:szCs w:val="19"/>
                <w:color w:val="auto"/>
              </w:rPr>
            </w:pPr>
          </w:p>
        </w:tc>
        <w:tc>
          <w:tcPr>
            <w:tcW w:w="1460" w:type="dxa"/>
            <w:vAlign w:val="bottom"/>
            <w:gridSpan w:val="2"/>
          </w:tcPr>
          <w:p>
            <w:pPr>
              <w:ind w:left="200"/>
              <w:spacing w:after="0"/>
              <w:rPr>
                <w:sz w:val="20"/>
                <w:szCs w:val="20"/>
                <w:color w:val="auto"/>
              </w:rPr>
            </w:pPr>
            <w:r>
              <w:rPr>
                <w:rFonts w:ascii="Arial" w:cs="Arial" w:eastAsia="Arial" w:hAnsi="Arial"/>
                <w:sz w:val="17"/>
                <w:szCs w:val="17"/>
                <w:color w:val="auto"/>
              </w:rPr>
              <w:t>2021 vs. 2019</w:t>
            </w:r>
          </w:p>
        </w:tc>
        <w:tc>
          <w:tcPr>
            <w:tcW w:w="1460" w:type="dxa"/>
            <w:vAlign w:val="bottom"/>
            <w:gridSpan w:val="2"/>
          </w:tcPr>
          <w:p>
            <w:pPr>
              <w:ind w:left="180"/>
              <w:spacing w:after="0"/>
              <w:rPr>
                <w:sz w:val="20"/>
                <w:szCs w:val="20"/>
                <w:color w:val="auto"/>
              </w:rPr>
            </w:pPr>
            <w:r>
              <w:rPr>
                <w:rFonts w:ascii="Arial" w:cs="Arial" w:eastAsia="Arial" w:hAnsi="Arial"/>
                <w:sz w:val="17"/>
                <w:szCs w:val="17"/>
                <w:color w:val="auto"/>
              </w:rPr>
              <w:t>2021 vs. 2020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2022 Outlook</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Best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Eyeglass World</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Military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Fred Meyer</w:t>
            </w:r>
          </w:p>
        </w:tc>
        <w:tc>
          <w:tcPr>
            <w:tcW w:w="13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comparable store sales growth</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- 1%</w:t>
            </w:r>
          </w:p>
        </w:tc>
        <w:tc>
          <w:tcPr>
            <w:tcW w:w="0" w:type="dxa"/>
            <w:vAlign w:val="bottom"/>
          </w:tcPr>
          <w:p>
            <w:pPr>
              <w:spacing w:after="0"/>
              <w:rPr>
                <w:sz w:val="1"/>
                <w:szCs w:val="1"/>
                <w:color w:val="auto"/>
              </w:rPr>
            </w:pPr>
          </w:p>
        </w:tc>
      </w:tr>
      <w:tr>
        <w:trPr>
          <w:trHeight w:val="304"/>
        </w:trPr>
        <w:tc>
          <w:tcPr>
            <w:tcW w:w="4240" w:type="dxa"/>
            <w:vAlign w:val="bottom"/>
          </w:tcPr>
          <w:p>
            <w:pPr>
              <w:ind w:left="20"/>
              <w:spacing w:after="0"/>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 - 1.5%</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ind w:left="20"/>
        <w:spacing w:after="0"/>
        <w:rPr>
          <w:sz w:val="20"/>
          <w:szCs w:val="20"/>
          <w:color w:val="auto"/>
        </w:rPr>
      </w:pPr>
      <w:r>
        <w:rPr>
          <w:rFonts w:ascii="Arial" w:cs="Arial" w:eastAsia="Arial" w:hAnsi="Arial"/>
          <w:sz w:val="14"/>
          <w:szCs w:val="14"/>
          <w:i w:val="1"/>
          <w:iCs w:val="1"/>
          <w:color w:val="auto"/>
        </w:rPr>
        <w:t>Three months ended January 1, 2022 and December 28, 2019 include 13 weeks. Three months ended January 2, 2021 includes 14 weeks.</w:t>
      </w:r>
    </w:p>
    <w:p>
      <w:pPr>
        <w:spacing w:after="0" w:line="192" w:lineRule="exact"/>
        <w:rPr>
          <w:sz w:val="20"/>
          <w:szCs w:val="20"/>
          <w:color w:val="auto"/>
        </w:rPr>
      </w:pPr>
    </w:p>
    <w:p>
      <w:pPr>
        <w:jc w:val="both"/>
        <w:ind w:left="340" w:hanging="332"/>
        <w:spacing w:after="0" w:line="249" w:lineRule="auto"/>
        <w:tabs>
          <w:tab w:leader="none" w:pos="33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with the exception of the Legacy segment, which is adjusted as noted in (b) (ii) below.</w:t>
      </w:r>
    </w:p>
    <w:p>
      <w:pPr>
        <w:spacing w:after="0" w:line="217" w:lineRule="exact"/>
        <w:rPr>
          <w:rFonts w:ascii="Arial" w:cs="Arial" w:eastAsia="Arial" w:hAnsi="Arial"/>
          <w:sz w:val="14"/>
          <w:szCs w:val="14"/>
          <w:color w:val="auto"/>
        </w:rPr>
      </w:pPr>
    </w:p>
    <w:p>
      <w:pPr>
        <w:jc w:val="both"/>
        <w:ind w:left="340" w:hanging="332"/>
        <w:spacing w:after="0" w:line="245"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1.9% for fourth quarter 2021 vs. 2019, a decrease of 0.6% for fourth quarter 2021 vs. 2020, a decrease of 0.3% for fiscal 2021 vs. 2019, and an increase of 0.7% for fiscal 2021 vs. 2020;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0.4% for fourth quarter 2021 vs. 2019, an increase of 0.1% for fourth quarter 2021 vs. 2020, a decrease of 0.1% for fiscal 2021 vs. 2019, and a decrease of 0.1% for fiscal 2021 vs. 2020; (iii) with respect to the Company’s 2022 Outlook, Adjusted Comparable Store Sales Growth includes an estimated 0.5% benefit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359" w:firstLine="8"/>
        <w:spacing w:after="0" w:line="323" w:lineRule="auto"/>
        <w:tabs>
          <w:tab w:leader="none" w:pos="4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Racheal Peters, Manager of External Communications</w:t>
      </w:r>
    </w:p>
    <w:p>
      <w:pPr>
        <w:spacing w:after="0" w:line="32" w:lineRule="exact"/>
        <w:rPr>
          <w:sz w:val="20"/>
          <w:szCs w:val="20"/>
          <w:color w:val="auto"/>
        </w:rPr>
      </w:pPr>
    </w:p>
    <w:p>
      <w:pPr>
        <w:ind w:right="8159" w:firstLine="8"/>
        <w:spacing w:after="0" w:line="323" w:lineRule="auto"/>
        <w:tabs>
          <w:tab w:leader="none" w:pos="4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0139"/>
      </w:cols>
      <w:pgMar w:left="32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6"/>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470"/>
    </w:lvl>
  </w:abstractNum>
  <w:abstractNum w:abstractNumId="16">
    <w:nsid w:val="25E45D32"/>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2022-02-28T05:43:49Z</dcterms:created>
  <dcterms:modified xsi:type="dcterms:W3CDTF">2022-02-28T05:43:49Z</dcterms:modified>
</cp:coreProperties>
</file>