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540" w:right="9280" w:hanging="23"/>
        <w:spacing w:after="0" w:line="266" w:lineRule="auto"/>
        <w:tabs>
          <w:tab w:leader="none" w:pos="894"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Rule 13d-1(b) </w:t>
      </w: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13d-1(c)</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Rule 13d-1(d)</w:t>
      </w:r>
    </w:p>
    <w:p>
      <w:pPr>
        <w:spacing w:after="0" w:line="17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6960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960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60" w:right="6720" w:hanging="746"/>
        <w:spacing w:after="0" w:line="508" w:lineRule="auto"/>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William Blair Investment Management, LLC</w:t>
      </w:r>
    </w:p>
    <w:p>
      <w:pPr>
        <w:spacing w:after="0" w:line="1" w:lineRule="exact"/>
        <w:rPr>
          <w:rFonts w:ascii="Times New Roman" w:cs="Times New Roman" w:eastAsia="Times New Roman" w:hAnsi="Times New Roman"/>
          <w:sz w:val="18"/>
          <w:szCs w:val="18"/>
          <w:color w:val="auto"/>
        </w:rPr>
      </w:pPr>
    </w:p>
    <w:p>
      <w:pPr>
        <w:ind w:left="1260" w:right="5000" w:hanging="746"/>
        <w:spacing w:after="0" w:line="261" w:lineRule="auto"/>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jc w:val="both"/>
        <w:ind w:left="10520"/>
        <w:spacing w:after="0" w:line="229" w:lineRule="auto"/>
        <w:tabs>
          <w:tab w:leader="none" w:pos="109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20"/>
        <w:spacing w:after="0"/>
        <w:tabs>
          <w:tab w:leader="none" w:pos="109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200" w:lineRule="exact"/>
        <w:rPr>
          <w:sz w:val="20"/>
          <w:szCs w:val="20"/>
          <w:color w:val="auto"/>
        </w:rPr>
      </w:pPr>
    </w:p>
    <w:p>
      <w:pPr>
        <w:spacing w:after="0" w:line="245" w:lineRule="exact"/>
        <w:rPr>
          <w:sz w:val="20"/>
          <w:szCs w:val="20"/>
          <w:color w:val="auto"/>
        </w:rPr>
      </w:pPr>
    </w:p>
    <w:p>
      <w:pPr>
        <w:ind w:left="1260" w:hanging="746"/>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260" w:right="6300" w:hanging="746"/>
        <w:spacing w:after="0" w:line="508"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3520" w:hanging="758"/>
        <w:spacing w:after="0"/>
        <w:tabs>
          <w:tab w:leader="none" w:pos="35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8,598,776</w:t>
            </w:r>
          </w:p>
        </w:tc>
        <w:tc>
          <w:tcPr>
            <w:tcW w:w="0" w:type="dxa"/>
            <w:vAlign w:val="bottom"/>
          </w:tcPr>
          <w:p>
            <w:pPr>
              <w:spacing w:after="0"/>
              <w:rPr>
                <w:sz w:val="1"/>
                <w:szCs w:val="1"/>
                <w:color w:val="auto"/>
              </w:rPr>
            </w:pPr>
          </w:p>
        </w:tc>
      </w:tr>
      <w:tr>
        <w:trPr>
          <w:trHeight w:val="28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80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0"/>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40" w:type="dxa"/>
            <w:vAlign w:val="bottom"/>
            <w:vMerge w:val="continue"/>
          </w:tcPr>
          <w:p>
            <w:pPr>
              <w:spacing w:after="0"/>
              <w:rPr>
                <w:sz w:val="12"/>
                <w:szCs w:val="12"/>
                <w:color w:val="auto"/>
              </w:rPr>
            </w:pPr>
          </w:p>
        </w:tc>
        <w:tc>
          <w:tcPr>
            <w:tcW w:w="8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76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8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40" w:type="dxa"/>
            <w:vAlign w:val="bottom"/>
          </w:tcPr>
          <w:p>
            <w:pPr>
              <w:spacing w:after="0"/>
              <w:rPr>
                <w:sz w:val="18"/>
                <w:szCs w:val="18"/>
                <w:color w:val="auto"/>
              </w:rPr>
            </w:pPr>
          </w:p>
        </w:tc>
        <w:tc>
          <w:tcPr>
            <w:tcW w:w="80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40" w:type="dxa"/>
            <w:vAlign w:val="bottom"/>
            <w:tcBorders>
              <w:bottom w:val="single" w:sz="8" w:color="auto"/>
            </w:tcBorders>
          </w:tcPr>
          <w:p>
            <w:pPr>
              <w:spacing w:after="0"/>
              <w:rPr>
                <w:sz w:val="12"/>
                <w:szCs w:val="12"/>
                <w:color w:val="auto"/>
              </w:rPr>
            </w:pPr>
          </w:p>
        </w:tc>
        <w:tc>
          <w:tcPr>
            <w:tcW w:w="8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76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EACH</w:t>
            </w: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80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40" w:type="dxa"/>
            <w:vAlign w:val="bottom"/>
            <w:vMerge w:val="continue"/>
          </w:tcPr>
          <w:p>
            <w:pPr>
              <w:spacing w:after="0"/>
              <w:rPr>
                <w:sz w:val="13"/>
                <w:szCs w:val="13"/>
                <w:color w:val="auto"/>
              </w:rPr>
            </w:pPr>
          </w:p>
        </w:tc>
        <w:tc>
          <w:tcPr>
            <w:tcW w:w="8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7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40" w:type="dxa"/>
            <w:vAlign w:val="bottom"/>
          </w:tcPr>
          <w:p>
            <w:pPr>
              <w:spacing w:after="0"/>
              <w:rPr>
                <w:sz w:val="18"/>
                <w:szCs w:val="18"/>
                <w:color w:val="auto"/>
              </w:rPr>
            </w:pPr>
          </w:p>
        </w:tc>
        <w:tc>
          <w:tcPr>
            <w:tcW w:w="80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9,839,344</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40" w:type="dxa"/>
            <w:vAlign w:val="bottom"/>
            <w:tcBorders>
              <w:bottom w:val="single" w:sz="8" w:color="auto"/>
            </w:tcBorders>
          </w:tcPr>
          <w:p>
            <w:pPr>
              <w:spacing w:after="0"/>
              <w:rPr>
                <w:sz w:val="13"/>
                <w:szCs w:val="13"/>
                <w:color w:val="auto"/>
              </w:rPr>
            </w:pPr>
          </w:p>
        </w:tc>
        <w:tc>
          <w:tcPr>
            <w:tcW w:w="8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7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520" w:right="5200" w:hanging="758"/>
        <w:spacing w:after="0" w:line="532" w:lineRule="auto"/>
        <w:tabs>
          <w:tab w:leader="none" w:pos="35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75" w:lineRule="exact"/>
        <w:rPr>
          <w:rFonts w:ascii="Times New Roman" w:cs="Times New Roman" w:eastAsia="Times New Roman" w:hAnsi="Times New Roman"/>
          <w:sz w:val="18"/>
          <w:szCs w:val="18"/>
          <w:color w:val="auto"/>
        </w:rPr>
      </w:pPr>
    </w:p>
    <w:p>
      <w:pPr>
        <w:ind w:left="1260" w:right="3420" w:hanging="746"/>
        <w:spacing w:after="0" w:line="508" w:lineRule="auto"/>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9,839,344</w:t>
      </w:r>
    </w:p>
    <w:p>
      <w:pPr>
        <w:spacing w:after="0" w:line="1" w:lineRule="exact"/>
        <w:rPr>
          <w:sz w:val="20"/>
          <w:szCs w:val="20"/>
          <w:color w:val="auto"/>
        </w:rPr>
      </w:pPr>
    </w:p>
    <w:p>
      <w:pPr>
        <w:ind w:left="1260" w:right="3320" w:hanging="791"/>
        <w:spacing w:after="0" w:line="261"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jc w:val="right"/>
        <w:ind w:right="120"/>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216" w:lineRule="exact"/>
        <w:rPr>
          <w:sz w:val="20"/>
          <w:szCs w:val="20"/>
          <w:color w:val="auto"/>
        </w:rPr>
      </w:pPr>
    </w:p>
    <w:p>
      <w:pPr>
        <w:ind w:left="1260" w:right="4920" w:hanging="787"/>
        <w:spacing w:after="0" w:line="508"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12.6%</w:t>
      </w:r>
    </w:p>
    <w:p>
      <w:pPr>
        <w:spacing w:after="0" w:line="1" w:lineRule="exact"/>
        <w:rPr>
          <w:rFonts w:ascii="Times New Roman" w:cs="Times New Roman" w:eastAsia="Times New Roman" w:hAnsi="Times New Roman"/>
          <w:sz w:val="18"/>
          <w:szCs w:val="18"/>
          <w:color w:val="auto"/>
        </w:rPr>
      </w:pPr>
    </w:p>
    <w:p>
      <w:pPr>
        <w:ind w:left="1260" w:right="5640" w:hanging="791"/>
        <w:spacing w:after="0" w:line="532"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22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1140" w:type="dxa"/>
            <w:vAlign w:val="bottom"/>
            <w:tcBorders>
              <w:top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3</w:t>
            </w:r>
          </w:p>
        </w:tc>
      </w:tr>
      <w:tr>
        <w:trPr>
          <w:trHeight w:val="623"/>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24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National Vision Holdings Inc</w:t>
            </w:r>
          </w:p>
        </w:tc>
        <w:tc>
          <w:tcPr>
            <w:tcW w:w="24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1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234"/>
        </w:trPr>
        <w:tc>
          <w:tcPr>
            <w:tcW w:w="1060" w:type="dxa"/>
            <w:vAlign w:val="bottom"/>
          </w:tcPr>
          <w:p>
            <w:pPr>
              <w:spacing w:after="0"/>
              <w:rPr>
                <w:sz w:val="20"/>
                <w:szCs w:val="20"/>
                <w:color w:val="auto"/>
              </w:rPr>
            </w:pPr>
          </w:p>
        </w:tc>
        <w:tc>
          <w:tcPr>
            <w:tcW w:w="10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2435 Commerce Avenue, Bldg. 2200, Duluth, GA 30096</w:t>
            </w:r>
          </w:p>
        </w:tc>
      </w:tr>
      <w:tr>
        <w:trPr>
          <w:trHeight w:val="414"/>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c>
          <w:tcPr>
            <w:tcW w:w="24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10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William Blair Investment Management, LLC</w:t>
            </w:r>
          </w:p>
        </w:tc>
      </w:tr>
      <w:tr>
        <w:trPr>
          <w:trHeight w:val="414"/>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1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34"/>
        </w:trPr>
        <w:tc>
          <w:tcPr>
            <w:tcW w:w="1060" w:type="dxa"/>
            <w:vAlign w:val="bottom"/>
          </w:tcPr>
          <w:p>
            <w:pPr>
              <w:spacing w:after="0"/>
              <w:rPr>
                <w:sz w:val="20"/>
                <w:szCs w:val="20"/>
                <w:color w:val="auto"/>
              </w:rPr>
            </w:pPr>
          </w:p>
        </w:tc>
        <w:tc>
          <w:tcPr>
            <w:tcW w:w="10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150 North Riverside Plaza, Chicago, IL 60606</w:t>
            </w:r>
          </w:p>
        </w:tc>
      </w:tr>
      <w:tr>
        <w:trPr>
          <w:trHeight w:val="414"/>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1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11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c>
          <w:tcPr>
            <w:tcW w:w="24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4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CUSIP Number:</w:t>
            </w:r>
          </w:p>
        </w:tc>
        <w:tc>
          <w:tcPr>
            <w:tcW w:w="24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63845R107</w:t>
            </w:r>
          </w:p>
        </w:tc>
        <w:tc>
          <w:tcPr>
            <w:tcW w:w="11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32"/>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1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r>
        <w:trPr>
          <w:trHeight w:val="432"/>
        </w:trPr>
        <w:tc>
          <w:tcPr>
            <w:tcW w:w="106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w:t>
            </w:r>
          </w:p>
        </w:tc>
        <w:tc>
          <w:tcPr>
            <w:tcW w:w="1140" w:type="dxa"/>
            <w:vAlign w:val="bottom"/>
          </w:tcPr>
          <w:p>
            <w:pPr>
              <w:ind w:left="40"/>
              <w:spacing w:after="0"/>
              <w:rPr>
                <w:sz w:val="20"/>
                <w:szCs w:val="20"/>
                <w:color w:val="auto"/>
              </w:rPr>
            </w:pPr>
            <w:r>
              <w:rPr>
                <w:rFonts w:ascii="Wingdings" w:cs="Wingdings" w:eastAsia="Wingdings" w:hAnsi="Wingdings"/>
                <w:sz w:val="18"/>
                <w:szCs w:val="18"/>
                <w:b w:val="1"/>
                <w:bCs w:val="1"/>
                <w:color w:val="auto"/>
              </w:rPr>
              <w:t>o</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284"/>
        </w:trPr>
        <w:tc>
          <w:tcPr>
            <w:tcW w:w="106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w:t>
            </w:r>
          </w:p>
        </w:tc>
        <w:tc>
          <w:tcPr>
            <w:tcW w:w="1140" w:type="dxa"/>
            <w:vAlign w:val="bottom"/>
          </w:tcPr>
          <w:p>
            <w:pPr>
              <w:ind w:left="40"/>
              <w:spacing w:after="0"/>
              <w:rPr>
                <w:sz w:val="20"/>
                <w:szCs w:val="20"/>
                <w:color w:val="auto"/>
              </w:rPr>
            </w:pPr>
            <w:r>
              <w:rPr>
                <w:rFonts w:ascii="Wingdings" w:cs="Wingdings" w:eastAsia="Wingdings" w:hAnsi="Wingdings"/>
                <w:sz w:val="18"/>
                <w:szCs w:val="18"/>
                <w:b w:val="1"/>
                <w:bCs w:val="1"/>
                <w:color w:val="auto"/>
              </w:rPr>
              <w:t>o</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283"/>
        </w:trPr>
        <w:tc>
          <w:tcPr>
            <w:tcW w:w="106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w:t>
            </w:r>
          </w:p>
        </w:tc>
        <w:tc>
          <w:tcPr>
            <w:tcW w:w="1140" w:type="dxa"/>
            <w:vAlign w:val="bottom"/>
          </w:tcPr>
          <w:p>
            <w:pPr>
              <w:ind w:left="40"/>
              <w:spacing w:after="0"/>
              <w:rPr>
                <w:sz w:val="20"/>
                <w:szCs w:val="20"/>
                <w:color w:val="auto"/>
              </w:rPr>
            </w:pPr>
            <w:r>
              <w:rPr>
                <w:rFonts w:ascii="Wingdings" w:cs="Wingdings" w:eastAsia="Wingdings" w:hAnsi="Wingdings"/>
                <w:sz w:val="18"/>
                <w:szCs w:val="18"/>
                <w:b w:val="1"/>
                <w:bCs w:val="1"/>
                <w:color w:val="auto"/>
              </w:rPr>
              <w:t>o</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283"/>
        </w:trPr>
        <w:tc>
          <w:tcPr>
            <w:tcW w:w="106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w:t>
            </w:r>
          </w:p>
        </w:tc>
        <w:tc>
          <w:tcPr>
            <w:tcW w:w="1140" w:type="dxa"/>
            <w:vAlign w:val="bottom"/>
          </w:tcPr>
          <w:p>
            <w:pPr>
              <w:ind w:left="40"/>
              <w:spacing w:after="0"/>
              <w:rPr>
                <w:sz w:val="20"/>
                <w:szCs w:val="20"/>
                <w:color w:val="auto"/>
              </w:rPr>
            </w:pPr>
            <w:r>
              <w:rPr>
                <w:rFonts w:ascii="Wingdings" w:cs="Wingdings" w:eastAsia="Wingdings" w:hAnsi="Wingdings"/>
                <w:sz w:val="18"/>
                <w:szCs w:val="18"/>
                <w:b w:val="1"/>
                <w:bCs w:val="1"/>
                <w:color w:val="auto"/>
              </w:rPr>
              <w:t>o</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284"/>
        </w:trPr>
        <w:tc>
          <w:tcPr>
            <w:tcW w:w="106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w:t>
            </w:r>
          </w:p>
        </w:tc>
        <w:tc>
          <w:tcPr>
            <w:tcW w:w="1140" w:type="dxa"/>
            <w:vAlign w:val="bottom"/>
          </w:tcPr>
          <w:p>
            <w:pPr>
              <w:ind w:left="40"/>
              <w:spacing w:after="0"/>
              <w:rPr>
                <w:sz w:val="20"/>
                <w:szCs w:val="20"/>
                <w:color w:val="auto"/>
              </w:rPr>
            </w:pPr>
            <w:r>
              <w:rPr>
                <w:rFonts w:ascii="Wingdings" w:cs="Wingdings" w:eastAsia="Wingdings" w:hAnsi="Wingdings"/>
                <w:sz w:val="18"/>
                <w:szCs w:val="18"/>
                <w:b w:val="1"/>
                <w:bCs w:val="1"/>
                <w:color w:val="auto"/>
              </w:rPr>
              <w:t>x</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 investment adviser in accordance with § 240.13d-1(b)(1)(ii)(E);</w:t>
            </w:r>
          </w:p>
        </w:tc>
      </w:tr>
      <w:tr>
        <w:trPr>
          <w:trHeight w:val="283"/>
        </w:trPr>
        <w:tc>
          <w:tcPr>
            <w:tcW w:w="1060" w:type="dxa"/>
            <w:vAlign w:val="bottom"/>
          </w:tcPr>
          <w:p>
            <w:pPr>
              <w:spacing w:after="0"/>
              <w:rPr>
                <w:sz w:val="24"/>
                <w:szCs w:val="24"/>
                <w:color w:val="auto"/>
              </w:rPr>
            </w:pPr>
          </w:p>
        </w:tc>
        <w:tc>
          <w:tcPr>
            <w:tcW w:w="1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w:t>
            </w:r>
          </w:p>
        </w:tc>
        <w:tc>
          <w:tcPr>
            <w:tcW w:w="1140" w:type="dxa"/>
            <w:vAlign w:val="bottom"/>
          </w:tcPr>
          <w:p>
            <w:pPr>
              <w:ind w:left="40"/>
              <w:spacing w:after="0"/>
              <w:rPr>
                <w:sz w:val="20"/>
                <w:szCs w:val="20"/>
                <w:color w:val="auto"/>
              </w:rPr>
            </w:pPr>
            <w:r>
              <w:rPr>
                <w:rFonts w:ascii="Wingdings" w:cs="Wingdings" w:eastAsia="Wingdings" w:hAnsi="Wingdings"/>
                <w:sz w:val="18"/>
                <w:szCs w:val="18"/>
                <w:b w:val="1"/>
                <w:bCs w:val="1"/>
                <w:color w:val="auto"/>
              </w:rPr>
              <w:t>o</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 240.13d-1(b)(1)(ii)(F);</w:t>
            </w:r>
          </w:p>
        </w:tc>
      </w:tr>
      <w:tr>
        <w:trPr>
          <w:trHeight w:val="283"/>
        </w:trPr>
        <w:tc>
          <w:tcPr>
            <w:tcW w:w="106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w:t>
            </w:r>
          </w:p>
        </w:tc>
        <w:tc>
          <w:tcPr>
            <w:tcW w:w="1140" w:type="dxa"/>
            <w:vAlign w:val="bottom"/>
          </w:tcPr>
          <w:p>
            <w:pPr>
              <w:ind w:left="40"/>
              <w:spacing w:after="0"/>
              <w:rPr>
                <w:sz w:val="20"/>
                <w:szCs w:val="20"/>
                <w:color w:val="auto"/>
              </w:rPr>
            </w:pPr>
            <w:r>
              <w:rPr>
                <w:rFonts w:ascii="Wingdings" w:cs="Wingdings" w:eastAsia="Wingdings" w:hAnsi="Wingdings"/>
                <w:sz w:val="18"/>
                <w:szCs w:val="18"/>
                <w:b w:val="1"/>
                <w:bCs w:val="1"/>
                <w:color w:val="auto"/>
              </w:rPr>
              <w:t>o</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284"/>
        </w:trPr>
        <w:tc>
          <w:tcPr>
            <w:tcW w:w="106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w:t>
            </w:r>
          </w:p>
        </w:tc>
        <w:tc>
          <w:tcPr>
            <w:tcW w:w="1140" w:type="dxa"/>
            <w:vAlign w:val="bottom"/>
          </w:tcPr>
          <w:p>
            <w:pPr>
              <w:ind w:left="40"/>
              <w:spacing w:after="0"/>
              <w:rPr>
                <w:sz w:val="20"/>
                <w:szCs w:val="20"/>
                <w:color w:val="auto"/>
              </w:rPr>
            </w:pPr>
            <w:r>
              <w:rPr>
                <w:rFonts w:ascii="Wingdings" w:cs="Wingdings" w:eastAsia="Wingdings" w:hAnsi="Wingdings"/>
                <w:sz w:val="18"/>
                <w:szCs w:val="18"/>
                <w:b w:val="1"/>
                <w:bCs w:val="1"/>
                <w:color w:val="auto"/>
              </w:rPr>
              <w:t>o</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 1813);</w:t>
            </w:r>
          </w:p>
        </w:tc>
      </w:tr>
      <w:tr>
        <w:trPr>
          <w:trHeight w:val="265"/>
        </w:trPr>
        <w:tc>
          <w:tcPr>
            <w:tcW w:w="1060" w:type="dxa"/>
            <w:vAlign w:val="bottom"/>
          </w:tcPr>
          <w:p>
            <w:pPr>
              <w:spacing w:after="0"/>
              <w:rPr>
                <w:sz w:val="23"/>
                <w:szCs w:val="23"/>
                <w:color w:val="auto"/>
              </w:rPr>
            </w:pPr>
          </w:p>
        </w:tc>
        <w:tc>
          <w:tcPr>
            <w:tcW w:w="1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w:t>
            </w:r>
          </w:p>
        </w:tc>
        <w:tc>
          <w:tcPr>
            <w:tcW w:w="1140" w:type="dxa"/>
            <w:vAlign w:val="bottom"/>
          </w:tcPr>
          <w:p>
            <w:pPr>
              <w:ind w:left="40"/>
              <w:spacing w:after="0"/>
              <w:rPr>
                <w:sz w:val="20"/>
                <w:szCs w:val="20"/>
                <w:color w:val="auto"/>
              </w:rPr>
            </w:pPr>
            <w:r>
              <w:rPr>
                <w:rFonts w:ascii="Wingdings" w:cs="Wingdings" w:eastAsia="Wingdings" w:hAnsi="Wingdings"/>
                <w:sz w:val="18"/>
                <w:szCs w:val="18"/>
                <w:b w:val="1"/>
                <w:bCs w:val="1"/>
                <w:color w:val="auto"/>
              </w:rPr>
              <w:t>o</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w:t>
            </w:r>
          </w:p>
        </w:tc>
      </w:tr>
      <w:tr>
        <w:trPr>
          <w:trHeight w:val="234"/>
        </w:trPr>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Company Act (15 U.S.C. 80a-3);</w:t>
            </w:r>
          </w:p>
        </w:tc>
      </w:tr>
      <w:tr>
        <w:trPr>
          <w:trHeight w:val="284"/>
        </w:trPr>
        <w:tc>
          <w:tcPr>
            <w:tcW w:w="1060" w:type="dxa"/>
            <w:vAlign w:val="bottom"/>
          </w:tcPr>
          <w:p>
            <w:pPr>
              <w:spacing w:after="0"/>
              <w:rPr>
                <w:sz w:val="24"/>
                <w:szCs w:val="24"/>
                <w:color w:val="auto"/>
              </w:rPr>
            </w:pPr>
          </w:p>
        </w:tc>
        <w:tc>
          <w:tcPr>
            <w:tcW w:w="1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w:t>
            </w:r>
          </w:p>
        </w:tc>
        <w:tc>
          <w:tcPr>
            <w:tcW w:w="1140" w:type="dxa"/>
            <w:vAlign w:val="bottom"/>
          </w:tcPr>
          <w:p>
            <w:pPr>
              <w:ind w:left="40"/>
              <w:spacing w:after="0"/>
              <w:rPr>
                <w:sz w:val="20"/>
                <w:szCs w:val="20"/>
                <w:color w:val="auto"/>
              </w:rPr>
            </w:pPr>
            <w:r>
              <w:rPr>
                <w:rFonts w:ascii="Wingdings" w:cs="Wingdings" w:eastAsia="Wingdings" w:hAnsi="Wingdings"/>
                <w:sz w:val="18"/>
                <w:szCs w:val="18"/>
                <w:b w:val="1"/>
                <w:bCs w:val="1"/>
                <w:color w:val="auto"/>
              </w:rPr>
              <w:t>o</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r>
        <w:trPr>
          <w:trHeight w:val="283"/>
        </w:trPr>
        <w:tc>
          <w:tcPr>
            <w:tcW w:w="106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w:t>
            </w:r>
          </w:p>
        </w:tc>
        <w:tc>
          <w:tcPr>
            <w:tcW w:w="1140" w:type="dxa"/>
            <w:vAlign w:val="bottom"/>
          </w:tcPr>
          <w:p>
            <w:pPr>
              <w:ind w:left="40"/>
              <w:spacing w:after="0"/>
              <w:rPr>
                <w:sz w:val="20"/>
                <w:szCs w:val="20"/>
                <w:color w:val="auto"/>
              </w:rPr>
            </w:pPr>
            <w:r>
              <w:rPr>
                <w:rFonts w:ascii="Wingdings" w:cs="Wingdings" w:eastAsia="Wingdings" w:hAnsi="Wingdings"/>
                <w:sz w:val="18"/>
                <w:szCs w:val="18"/>
                <w:b w:val="1"/>
                <w:bCs w:val="1"/>
                <w:color w:val="auto"/>
              </w:rPr>
              <w:t>o</w:t>
            </w: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Group, in accordance with § 240.13d-1(b)(1)(ii)(K).</w:t>
            </w:r>
          </w:p>
        </w:tc>
      </w:tr>
    </w:tbl>
    <w:p>
      <w:pPr>
        <w:spacing w:after="0" w:line="2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226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350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4</w:t>
            </w:r>
          </w:p>
        </w:tc>
      </w:tr>
      <w:tr>
        <w:trPr>
          <w:trHeight w:val="623"/>
        </w:trPr>
        <w:tc>
          <w:tcPr>
            <w:tcW w:w="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3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35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103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w:t>
            </w:r>
          </w:p>
        </w:tc>
      </w:tr>
      <w:tr>
        <w:trPr>
          <w:trHeight w:val="234"/>
        </w:trPr>
        <w:tc>
          <w:tcPr>
            <w:tcW w:w="940" w:type="dxa"/>
            <w:vAlign w:val="bottom"/>
          </w:tcPr>
          <w:p>
            <w:pPr>
              <w:spacing w:after="0"/>
              <w:rPr>
                <w:sz w:val="20"/>
                <w:szCs w:val="20"/>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w:t>
            </w:r>
          </w:p>
        </w:tc>
        <w:tc>
          <w:tcPr>
            <w:tcW w:w="35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1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 beneficially owned: 9,839,344</w:t>
            </w:r>
          </w:p>
        </w:tc>
      </w:tr>
      <w:tr>
        <w:trPr>
          <w:trHeight w:val="432"/>
        </w:trPr>
        <w:tc>
          <w:tcPr>
            <w:tcW w:w="940" w:type="dxa"/>
            <w:vAlign w:val="bottom"/>
          </w:tcPr>
          <w:p>
            <w:pPr>
              <w:spacing w:after="0"/>
              <w:rPr>
                <w:sz w:val="24"/>
                <w:szCs w:val="24"/>
                <w:color w:val="auto"/>
              </w:rPr>
            </w:pPr>
          </w:p>
        </w:tc>
        <w:tc>
          <w:tcPr>
            <w:tcW w:w="1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5"/>
              </w:rPr>
              <w:t>(b)</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Percent of class: 12.6%</w:t>
            </w:r>
          </w:p>
        </w:tc>
      </w:tr>
      <w:tr>
        <w:trPr>
          <w:trHeight w:val="432"/>
        </w:trPr>
        <w:tc>
          <w:tcPr>
            <w:tcW w:w="940" w:type="dxa"/>
            <w:vAlign w:val="bottom"/>
          </w:tcPr>
          <w:p>
            <w:pPr>
              <w:spacing w:after="0"/>
              <w:rPr>
                <w:sz w:val="24"/>
                <w:szCs w:val="24"/>
                <w:color w:val="auto"/>
              </w:rPr>
            </w:pPr>
          </w:p>
        </w:tc>
        <w:tc>
          <w:tcPr>
            <w:tcW w:w="1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Number of shares as to which the person has:</w:t>
            </w:r>
          </w:p>
        </w:tc>
      </w:tr>
    </w:tbl>
    <w:p>
      <w:pPr>
        <w:spacing w:after="0" w:line="198" w:lineRule="exact"/>
        <w:rPr>
          <w:sz w:val="20"/>
          <w:szCs w:val="20"/>
          <w:color w:val="auto"/>
        </w:rPr>
      </w:pPr>
    </w:p>
    <w:p>
      <w:pPr>
        <w:ind w:left="2680"/>
        <w:spacing w:after="0"/>
        <w:tabs>
          <w:tab w:leader="none" w:pos="336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Sole power to vote or to direct the vote: 8,598,776</w:t>
      </w:r>
    </w:p>
    <w:p>
      <w:pPr>
        <w:spacing w:after="0" w:line="225" w:lineRule="exact"/>
        <w:rPr>
          <w:sz w:val="20"/>
          <w:szCs w:val="20"/>
          <w:color w:val="auto"/>
        </w:rPr>
      </w:pPr>
    </w:p>
    <w:p>
      <w:pPr>
        <w:ind w:left="2660"/>
        <w:spacing w:after="0"/>
        <w:tabs>
          <w:tab w:leader="none" w:pos="336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Shared power to vote or to direct the vote: 0</w:t>
      </w:r>
    </w:p>
    <w:p>
      <w:pPr>
        <w:spacing w:after="0" w:line="225" w:lineRule="exact"/>
        <w:rPr>
          <w:sz w:val="20"/>
          <w:szCs w:val="20"/>
          <w:color w:val="auto"/>
        </w:rPr>
      </w:pPr>
    </w:p>
    <w:p>
      <w:pPr>
        <w:ind w:left="2640"/>
        <w:spacing w:after="0"/>
        <w:tabs>
          <w:tab w:leader="none" w:pos="336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8"/>
          <w:szCs w:val="18"/>
          <w:color w:val="auto"/>
        </w:rPr>
        <w:t>Sole power to dispose or to direct the disposition of: 9,839,344</w:t>
      </w:r>
    </w:p>
    <w:p>
      <w:pPr>
        <w:spacing w:after="0" w:line="225" w:lineRule="exact"/>
        <w:rPr>
          <w:sz w:val="20"/>
          <w:szCs w:val="20"/>
          <w:color w:val="auto"/>
        </w:rPr>
      </w:pPr>
    </w:p>
    <w:p>
      <w:pPr>
        <w:ind w:left="2640"/>
        <w:spacing w:after="0"/>
        <w:tabs>
          <w:tab w:leader="none" w:pos="336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Shared power to dispose or to direct the disposition of: 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16"/>
        </w:trPr>
        <w:tc>
          <w:tcPr>
            <w:tcW w:w="98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234"/>
        </w:trPr>
        <w:tc>
          <w:tcPr>
            <w:tcW w:w="98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more than 5 percent of the class of securities, check the following. </w:t>
            </w:r>
            <w:r>
              <w:rPr>
                <w:rFonts w:ascii="Wingdings" w:cs="Wingdings" w:eastAsia="Wingdings" w:hAnsi="Wingdings"/>
                <w:sz w:val="18"/>
                <w:szCs w:val="18"/>
                <w:b w:val="1"/>
                <w:bCs w:val="1"/>
                <w:color w:val="auto"/>
              </w:rPr>
              <w:t>o</w:t>
            </w:r>
          </w:p>
        </w:tc>
      </w:tr>
      <w:tr>
        <w:trPr>
          <w:trHeight w:val="414"/>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34"/>
        </w:trPr>
        <w:tc>
          <w:tcPr>
            <w:tcW w:w="98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w:t>
            </w:r>
          </w:p>
        </w:tc>
      </w:tr>
      <w:tr>
        <w:trPr>
          <w:trHeight w:val="410"/>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20"/>
        </w:trPr>
        <w:tc>
          <w:tcPr>
            <w:tcW w:w="98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34"/>
        </w:trPr>
        <w:tc>
          <w:tcPr>
            <w:tcW w:w="98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34"/>
        </w:trPr>
        <w:tc>
          <w:tcPr>
            <w:tcW w:w="98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34"/>
        </w:trPr>
        <w:tc>
          <w:tcPr>
            <w:tcW w:w="98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216"/>
        </w:trPr>
        <w:tc>
          <w:tcPr>
            <w:tcW w:w="98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r>
        <w:trPr>
          <w:trHeight w:val="216"/>
        </w:trPr>
        <w:tc>
          <w:tcPr>
            <w:tcW w:w="98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ordinary course of business and were not acquired and are not held for the purpose of or with the effect of changing or influencing the</w:t>
            </w:r>
          </w:p>
        </w:tc>
      </w:tr>
      <w:tr>
        <w:trPr>
          <w:trHeight w:val="216"/>
        </w:trPr>
        <w:tc>
          <w:tcPr>
            <w:tcW w:w="98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 of the issuer of the securities and were not acquired and are not held in connection with or as a participant in any transaction</w:t>
            </w:r>
          </w:p>
        </w:tc>
      </w:tr>
      <w:tr>
        <w:trPr>
          <w:trHeight w:val="234"/>
        </w:trPr>
        <w:tc>
          <w:tcPr>
            <w:tcW w:w="98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having that purpose or effect.</w:t>
            </w:r>
          </w:p>
        </w:tc>
      </w:tr>
      <w:tr>
        <w:trPr>
          <w:trHeight w:val="891"/>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9"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63845R107</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5</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tbl>
      <w:tblPr>
        <w:tblLayout w:type="fixed"/>
        <w:tblInd w:w="508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February 12, 2024</w:t>
            </w:r>
          </w:p>
        </w:tc>
      </w:tr>
      <w:tr>
        <w:trPr>
          <w:trHeight w:val="42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Stephanie Braming</w:t>
            </w:r>
          </w:p>
        </w:tc>
      </w:tr>
      <w:tr>
        <w:trPr>
          <w:trHeight w:val="40"/>
        </w:trPr>
        <w:tc>
          <w:tcPr>
            <w:tcW w:w="100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Stephanie Braming</w:t>
            </w:r>
          </w:p>
        </w:tc>
      </w:tr>
      <w:tr>
        <w:trPr>
          <w:trHeight w:val="40"/>
        </w:trPr>
        <w:tc>
          <w:tcPr>
            <w:tcW w:w="100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Partner, Global Head of Investment Management</w:t>
            </w:r>
          </w:p>
        </w:tc>
      </w:tr>
      <w:tr>
        <w:trPr>
          <w:trHeight w:val="41"/>
        </w:trPr>
        <w:tc>
          <w:tcPr>
            <w:tcW w:w="100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lvl w:ilvl="1">
      <w:lvlJc w:val="left"/>
      <w:lvlText w:val="%2."/>
      <w:numFmt w:val="decimal"/>
      <w:start w:val="5"/>
    </w:lvl>
  </w:abstractNum>
  <w:abstractNum w:abstractNumId="3">
    <w:nsid w:val="3D1B58BA"/>
    <w:multiLevelType w:val="hybridMultilevel"/>
    <w:lvl w:ilvl="0">
      <w:lvlJc w:val="left"/>
      <w:lvlText w:val="%1"/>
      <w:numFmt w:val="decimal"/>
      <w:start w:val="1"/>
    </w:lvl>
    <w:lvl w:ilvl="1">
      <w:lvlJc w:val="left"/>
      <w:lvlText w:val="%2."/>
      <w:numFmt w:val="decimal"/>
      <w:start w:val="8"/>
    </w:lvl>
  </w:abstractNum>
  <w:abstractNum w:abstractNumId="4">
    <w:nsid w:val="507ED7AB"/>
    <w:multiLevelType w:val="hybridMultilevel"/>
    <w:lvl w:ilvl="0">
      <w:lvlJc w:val="left"/>
      <w:lvlText w:val="%1."/>
      <w:numFmt w:val="decimal"/>
      <w:start w:val="9"/>
    </w:lvl>
    <w:lvl w:ilvl="1">
      <w:lvlJc w:val="left"/>
      <w:lvlText w:val="%2"/>
      <w:numFmt w:val="decimal"/>
      <w:start w:val="1"/>
    </w:lvl>
  </w:abstractNum>
  <w:abstractNum w:abstractNumId="5">
    <w:nsid w:val="2EB141F2"/>
    <w:multiLevelType w:val="hybridMultilevel"/>
    <w:lvl w:ilvl="0">
      <w:lvlJc w:val="left"/>
      <w:lvlText w:val="%1."/>
      <w:numFmt w:val="decimal"/>
      <w:start w:val="10"/>
    </w:lvl>
  </w:abstractNum>
  <w:abstractNum w:abstractNumId="6">
    <w:nsid w:val="41B71EF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2024-02-12T17:52:52Z</dcterms:created>
  <dcterms:modified xsi:type="dcterms:W3CDTF">2024-02-12T17:52:52Z</dcterms:modified>
</cp:coreProperties>
</file>