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479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FAHS L READE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46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4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02/28/2023</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4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02/28/2023</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5,385</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515,798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02/28/2023</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1,621</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Arial" w:cs="Arial" w:eastAsia="Arial" w:hAnsi="Arial"/>
                <w:sz w:val="17"/>
                <w:szCs w:val="17"/>
                <w:color w:val="0000FF"/>
              </w:rPr>
              <w:t>514,177</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3"/>
            <w:vMerge w:val="restart"/>
          </w:tcPr>
          <w:p>
            <w:pPr>
              <w:ind w:left="420"/>
              <w:spacing w:after="0"/>
              <w:rPr>
                <w:sz w:val="20"/>
                <w:szCs w:val="20"/>
                <w:color w:val="auto"/>
              </w:rPr>
            </w:pPr>
            <w:r>
              <w:rPr>
                <w:rFonts w:ascii="Arial" w:cs="Arial" w:eastAsia="Arial" w:hAnsi="Arial"/>
                <w:sz w:val="17"/>
                <w:szCs w:val="17"/>
                <w:color w:val="0000FF"/>
              </w:rPr>
              <w:t>363,430</w:t>
            </w: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5,385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02/28/2023</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5,385</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52,689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2023, 5,385 restricted stock units vested and 1,621 shares of the Company's common stock were withheld to satisfy tax withholding obligations. The closing price on February 28, 2023 of the Company's common stock on NASDAQ was $37.36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16,155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03/02/2023</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125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2023-03-02T16:17:44Z</dcterms:created>
  <dcterms:modified xsi:type="dcterms:W3CDTF">2023-03-02T16:17:44Z</dcterms:modified>
</cp:coreProperties>
</file>