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June 11, 2019</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right="3000" w:firstLine="8"/>
        <w:spacing w:after="0" w:line="402"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Trading Symbol(s)</w:t>
            </w:r>
          </w:p>
        </w:tc>
        <w:tc>
          <w:tcPr>
            <w:tcW w:w="4680" w:type="dxa"/>
            <w:vAlign w:val="bottom"/>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60" w:type="dxa"/>
            <w:vAlign w:val="bottom"/>
            <w:gridSpan w:val="2"/>
          </w:tcPr>
          <w:p>
            <w:pPr>
              <w:ind w:left="420"/>
              <w:spacing w:after="0"/>
              <w:rPr>
                <w:sz w:val="20"/>
                <w:szCs w:val="20"/>
                <w:color w:val="auto"/>
              </w:rPr>
            </w:pPr>
            <w:r>
              <w:rPr>
                <w:rFonts w:ascii="Arial" w:cs="Arial" w:eastAsia="Arial" w:hAnsi="Arial"/>
                <w:sz w:val="18"/>
                <w:szCs w:val="18"/>
                <w:color w:val="auto"/>
              </w:rPr>
              <w:t>Common stock, par value $0.01 per share</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EYE</w:t>
            </w:r>
          </w:p>
        </w:tc>
        <w:tc>
          <w:tcPr>
            <w:tcW w:w="4680" w:type="dxa"/>
            <w:vAlign w:val="bottom"/>
          </w:tcPr>
          <w:p>
            <w:pPr>
              <w:ind w:left="20"/>
              <w:spacing w:after="0"/>
              <w:rPr>
                <w:sz w:val="20"/>
                <w:szCs w:val="20"/>
                <w:color w:val="auto"/>
              </w:rPr>
            </w:pPr>
            <w:r>
              <w:rPr>
                <w:rFonts w:ascii="Arial" w:cs="Arial" w:eastAsia="Arial" w:hAnsi="Arial"/>
                <w:sz w:val="18"/>
                <w:szCs w:val="18"/>
                <w:color w:val="auto"/>
              </w:rPr>
              <w:t>Nasdaq</w:t>
            </w:r>
          </w:p>
        </w:tc>
      </w:tr>
    </w:tbl>
    <w:p>
      <w:pPr>
        <w:spacing w:after="0" w:line="200" w:lineRule="exact"/>
        <w:rPr>
          <w:sz w:val="24"/>
          <w:szCs w:val="24"/>
          <w:color w:val="auto"/>
        </w:rPr>
      </w:pPr>
    </w:p>
    <w:p>
      <w:pPr>
        <w:spacing w:after="0" w:line="24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29" w:lineRule="exact"/>
        <w:rPr>
          <w:sz w:val="24"/>
          <w:szCs w:val="24"/>
          <w:color w:val="auto"/>
        </w:rPr>
      </w:pPr>
    </w:p>
    <w:p>
      <w:pPr>
        <w:ind w:firstLine="648"/>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June 11, 2019, National Vision Holdings, Inc. ("National Vision") held its 2019 annual meeting of stockholders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matters submitted to stockholders at the Annual Meeting and the voting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Stockholders elected a Class II director nominee to hold office for term expiring at the 2022 annual meeting of stockholders and until his successor is duly elected and qualified.</w:t>
      </w:r>
    </w:p>
    <w:p>
      <w:pPr>
        <w:spacing w:after="0" w:line="329"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Nominee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Withheld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D. Randolph Peeler</w:t>
            </w: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62,429,931</w:t>
            </w:r>
          </w:p>
        </w:tc>
        <w:tc>
          <w:tcPr>
            <w:tcW w:w="100" w:type="dxa"/>
            <w:vAlign w:val="bottom"/>
          </w:tcPr>
          <w:p>
            <w:pPr>
              <w:spacing w:after="0"/>
              <w:rPr>
                <w:sz w:val="20"/>
                <w:szCs w:val="20"/>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color w:val="auto"/>
              </w:rPr>
              <w:t>13,181,148</w:t>
            </w:r>
          </w:p>
        </w:tc>
        <w:tc>
          <w:tcPr>
            <w:tcW w:w="120" w:type="dxa"/>
            <w:vAlign w:val="bottom"/>
          </w:tcPr>
          <w:p>
            <w:pPr>
              <w:spacing w:after="0"/>
              <w:rPr>
                <w:sz w:val="20"/>
                <w:szCs w:val="20"/>
                <w:color w:val="auto"/>
              </w:rPr>
            </w:pPr>
          </w:p>
        </w:tc>
        <w:tc>
          <w:tcPr>
            <w:tcW w:w="1980" w:type="dxa"/>
            <w:vAlign w:val="bottom"/>
          </w:tcPr>
          <w:p>
            <w:pPr>
              <w:jc w:val="right"/>
              <w:ind w:right="610"/>
              <w:spacing w:after="0"/>
              <w:rPr>
                <w:sz w:val="20"/>
                <w:szCs w:val="20"/>
                <w:color w:val="auto"/>
              </w:rPr>
            </w:pPr>
            <w:r>
              <w:rPr>
                <w:rFonts w:ascii="Arial" w:cs="Arial" w:eastAsia="Arial" w:hAnsi="Arial"/>
                <w:sz w:val="18"/>
                <w:szCs w:val="18"/>
                <w:color w:val="auto"/>
              </w:rPr>
              <w:t>706,096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the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ratified the appointment of Deloitte &amp; Touche LLP as our independent registered public accounting firm for fiscal 2019.</w:t>
      </w:r>
    </w:p>
    <w:p>
      <w:pPr>
        <w:spacing w:after="0" w:line="38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ind w:left="520"/>
              <w:spacing w:after="0"/>
              <w:rPr>
                <w:sz w:val="20"/>
                <w:szCs w:val="20"/>
                <w:color w:val="auto"/>
              </w:rPr>
            </w:pPr>
            <w:r>
              <w:rPr>
                <w:rFonts w:ascii="Arial" w:cs="Arial" w:eastAsia="Arial" w:hAnsi="Arial"/>
                <w:sz w:val="18"/>
                <w:szCs w:val="18"/>
                <w:b w:val="1"/>
                <w:bCs w:val="1"/>
                <w:color w:val="auto"/>
              </w:rPr>
              <w:t>Against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290"/>
              <w:spacing w:after="0"/>
              <w:rPr>
                <w:sz w:val="20"/>
                <w:szCs w:val="20"/>
                <w:color w:val="auto"/>
              </w:rPr>
            </w:pPr>
            <w:r>
              <w:rPr>
                <w:rFonts w:ascii="Arial" w:cs="Arial" w:eastAsia="Arial" w:hAnsi="Arial"/>
                <w:sz w:val="18"/>
                <w:szCs w:val="18"/>
                <w:color w:val="auto"/>
              </w:rPr>
              <w:t>76,204,545</w:t>
            </w:r>
          </w:p>
        </w:tc>
        <w:tc>
          <w:tcPr>
            <w:tcW w:w="120" w:type="dxa"/>
            <w:vAlign w:val="bottom"/>
          </w:tcPr>
          <w:p>
            <w:pPr>
              <w:spacing w:after="0"/>
              <w:rPr>
                <w:sz w:val="20"/>
                <w:szCs w:val="20"/>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105,460</w:t>
            </w:r>
          </w:p>
        </w:tc>
        <w:tc>
          <w:tcPr>
            <w:tcW w:w="1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on a non-binding advisory basis, the compensation paid to the National Vision's named executive officers.</w:t>
      </w:r>
    </w:p>
    <w:p>
      <w:pPr>
        <w:spacing w:after="0" w:line="38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gridSpan w:val="2"/>
          </w:tcPr>
          <w:p>
            <w:pPr>
              <w:ind w:left="520"/>
              <w:spacing w:after="0"/>
              <w:rPr>
                <w:sz w:val="20"/>
                <w:szCs w:val="20"/>
                <w:color w:val="auto"/>
              </w:rPr>
            </w:pPr>
            <w:r>
              <w:rPr>
                <w:rFonts w:ascii="Arial" w:cs="Arial" w:eastAsia="Arial" w:hAnsi="Arial"/>
                <w:sz w:val="18"/>
                <w:szCs w:val="18"/>
                <w:b w:val="1"/>
                <w:bCs w:val="1"/>
                <w:color w:val="auto"/>
              </w:rPr>
              <w:t>Against</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Abstained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290"/>
              <w:spacing w:after="0"/>
              <w:rPr>
                <w:sz w:val="20"/>
                <w:szCs w:val="20"/>
                <w:color w:val="auto"/>
              </w:rPr>
            </w:pPr>
            <w:r>
              <w:rPr>
                <w:rFonts w:ascii="Arial" w:cs="Arial" w:eastAsia="Arial" w:hAnsi="Arial"/>
                <w:sz w:val="18"/>
                <w:szCs w:val="18"/>
                <w:color w:val="auto"/>
              </w:rPr>
              <w:t>75,005,163</w:t>
            </w:r>
          </w:p>
        </w:tc>
        <w:tc>
          <w:tcPr>
            <w:tcW w:w="120" w:type="dxa"/>
            <w:vAlign w:val="bottom"/>
          </w:tcPr>
          <w:p>
            <w:pPr>
              <w:spacing w:after="0"/>
              <w:rPr>
                <w:sz w:val="20"/>
                <w:szCs w:val="20"/>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602,934</w:t>
            </w:r>
          </w:p>
        </w:tc>
        <w:tc>
          <w:tcPr>
            <w:tcW w:w="1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0"/>
                <w:szCs w:val="20"/>
                <w:color w:val="auto"/>
              </w:rPr>
            </w:pPr>
          </w:p>
        </w:tc>
        <w:tc>
          <w:tcPr>
            <w:tcW w:w="2060" w:type="dxa"/>
            <w:vAlign w:val="bottom"/>
          </w:tcPr>
          <w:p>
            <w:pPr>
              <w:jc w:val="right"/>
              <w:ind w:right="650"/>
              <w:spacing w:after="0"/>
              <w:rPr>
                <w:sz w:val="20"/>
                <w:szCs w:val="20"/>
                <w:color w:val="auto"/>
              </w:rPr>
            </w:pPr>
            <w:r>
              <w:rPr>
                <w:rFonts w:ascii="Arial" w:cs="Arial" w:eastAsia="Arial" w:hAnsi="Arial"/>
                <w:sz w:val="18"/>
                <w:szCs w:val="18"/>
                <w:color w:val="auto"/>
              </w:rPr>
              <w:t>706,096</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980" w:type="dxa"/>
            <w:vAlign w:val="bottom"/>
          </w:tcPr>
          <w:p>
            <w:pPr>
              <w:spacing w:after="0"/>
              <w:rPr>
                <w:sz w:val="20"/>
                <w:szCs w:val="20"/>
                <w:color w:val="auto"/>
              </w:rPr>
            </w:pPr>
            <w:r>
              <w:rPr>
                <w:rFonts w:ascii="Arial" w:cs="Arial" w:eastAsia="Arial" w:hAnsi="Arial"/>
                <w:sz w:val="18"/>
                <w:szCs w:val="18"/>
                <w:color w:val="auto"/>
              </w:rPr>
              <w:t>Date: June 13, 2019</w:t>
            </w:r>
          </w:p>
        </w:tc>
        <w:tc>
          <w:tcPr>
            <w:tcW w:w="2920" w:type="dxa"/>
            <w:vAlign w:val="bottom"/>
          </w:tcPr>
          <w:p>
            <w:pPr>
              <w:ind w:left="152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9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2920" w:type="dxa"/>
            <w:vAlign w:val="bottom"/>
          </w:tcPr>
          <w:p>
            <w:pPr>
              <w:ind w:left="1520"/>
              <w:spacing w:after="0"/>
              <w:rPr>
                <w:sz w:val="20"/>
                <w:szCs w:val="20"/>
                <w:color w:val="auto"/>
              </w:rPr>
            </w:pPr>
            <w:r>
              <w:rPr>
                <w:rFonts w:ascii="Arial" w:cs="Arial" w:eastAsia="Arial" w:hAnsi="Arial"/>
                <w:sz w:val="18"/>
                <w:szCs w:val="18"/>
                <w:color w:val="auto"/>
              </w:rPr>
              <w:t>Name:</w:t>
            </w:r>
          </w:p>
        </w:tc>
        <w:tc>
          <w:tcPr>
            <w:tcW w:w="504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980" w:type="dxa"/>
            <w:vAlign w:val="bottom"/>
          </w:tcPr>
          <w:p>
            <w:pPr>
              <w:spacing w:after="0"/>
              <w:rPr>
                <w:sz w:val="23"/>
                <w:szCs w:val="23"/>
                <w:color w:val="auto"/>
              </w:rPr>
            </w:pPr>
          </w:p>
        </w:tc>
        <w:tc>
          <w:tcPr>
            <w:tcW w:w="2920" w:type="dxa"/>
            <w:vAlign w:val="bottom"/>
          </w:tcPr>
          <w:p>
            <w:pPr>
              <w:ind w:left="1520"/>
              <w:spacing w:after="0"/>
              <w:rPr>
                <w:sz w:val="20"/>
                <w:szCs w:val="20"/>
                <w:color w:val="auto"/>
              </w:rPr>
            </w:pPr>
            <w:r>
              <w:rPr>
                <w:rFonts w:ascii="Arial" w:cs="Arial" w:eastAsia="Arial" w:hAnsi="Arial"/>
                <w:sz w:val="18"/>
                <w:szCs w:val="18"/>
                <w:color w:val="auto"/>
              </w:rPr>
              <w:t>Title:</w:t>
            </w: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320"/>
      </w:cols>
      <w:pgMar w:left="2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2019-12-01T18:02:09Z</dcterms:created>
  <dcterms:modified xsi:type="dcterms:W3CDTF">2019-12-01T18:02:09Z</dcterms:modified>
</cp:coreProperties>
</file>