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11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May 13, 2021</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0"/>
        </w:trPr>
        <w:tc>
          <w:tcPr>
            <w:tcW w:w="5460" w:type="dxa"/>
            <w:vAlign w:val="bottom"/>
          </w:tcPr>
          <w:p>
            <w:pPr>
              <w:jc w:val="center"/>
              <w:ind w:left="181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460" w:type="dxa"/>
            <w:vAlign w:val="bottom"/>
          </w:tcPr>
          <w:p>
            <w:pPr>
              <w:jc w:val="center"/>
              <w:ind w:right="277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270"/>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3"/>
                <w:szCs w:val="23"/>
                <w:color w:val="auto"/>
              </w:rPr>
            </w:pPr>
          </w:p>
        </w:tc>
      </w:tr>
      <w:tr>
        <w:trPr>
          <w:trHeight w:val="216"/>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460" w:type="dxa"/>
            <w:vAlign w:val="bottom"/>
          </w:tcPr>
          <w:p>
            <w:pPr>
              <w:ind w:left="6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80"/>
        </w:trPr>
        <w:tc>
          <w:tcPr>
            <w:tcW w:w="5460" w:type="dxa"/>
            <w:vAlign w:val="bottom"/>
          </w:tcPr>
          <w:p>
            <w:pPr>
              <w:jc w:val="center"/>
              <w:ind w:left="183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4"/>
                <w:szCs w:val="24"/>
                <w:color w:val="auto"/>
              </w:rPr>
            </w:pPr>
          </w:p>
        </w:tc>
      </w:tr>
      <w:tr>
        <w:trPr>
          <w:trHeight w:val="206"/>
        </w:trPr>
        <w:tc>
          <w:tcPr>
            <w:tcW w:w="5460" w:type="dxa"/>
            <w:vAlign w:val="bottom"/>
          </w:tcPr>
          <w:p>
            <w:pPr>
              <w:jc w:val="center"/>
              <w:ind w:left="181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372"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13, 2021, National Vision Holdings, Inc. (“National Vision”) issued a press release announcing financial results for the quarter ended April 3, 2021. A copy of the release is furnished herewith as Exhibit 99.1 and incorporated by reference herein.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May 13, 2021.</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780" w:type="dxa"/>
            <w:vAlign w:val="bottom"/>
          </w:tcPr>
          <w:p>
            <w:pPr>
              <w:spacing w:after="0"/>
              <w:rPr>
                <w:sz w:val="20"/>
                <w:szCs w:val="20"/>
                <w:color w:val="auto"/>
              </w:rPr>
            </w:pPr>
            <w:r>
              <w:rPr>
                <w:rFonts w:ascii="Arial" w:cs="Arial" w:eastAsia="Arial" w:hAnsi="Arial"/>
                <w:sz w:val="18"/>
                <w:szCs w:val="18"/>
                <w:color w:val="auto"/>
              </w:rPr>
              <w:t>Date: May 13, 2021</w:t>
            </w:r>
          </w:p>
        </w:tc>
        <w:tc>
          <w:tcPr>
            <w:tcW w:w="2680" w:type="dxa"/>
            <w:vAlign w:val="bottom"/>
          </w:tcPr>
          <w:p>
            <w:pPr>
              <w:ind w:left="13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2780" w:type="dxa"/>
            <w:vAlign w:val="bottom"/>
          </w:tcPr>
          <w:p>
            <w:pPr>
              <w:spacing w:after="0"/>
              <w:rPr>
                <w:sz w:val="19"/>
                <w:szCs w:val="19"/>
                <w:color w:val="auto"/>
              </w:rPr>
            </w:pPr>
          </w:p>
        </w:tc>
        <w:tc>
          <w:tcPr>
            <w:tcW w:w="2680" w:type="dxa"/>
            <w:vAlign w:val="bottom"/>
          </w:tcPr>
          <w:p>
            <w:pPr>
              <w:ind w:left="134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2780" w:type="dxa"/>
            <w:vAlign w:val="bottom"/>
          </w:tcPr>
          <w:p>
            <w:pPr>
              <w:spacing w:after="0"/>
              <w:rPr>
                <w:sz w:val="20"/>
                <w:szCs w:val="20"/>
                <w:color w:val="auto"/>
              </w:rPr>
            </w:pPr>
          </w:p>
        </w:tc>
        <w:tc>
          <w:tcPr>
            <w:tcW w:w="2680" w:type="dxa"/>
            <w:vAlign w:val="bottom"/>
          </w:tcPr>
          <w:p>
            <w:pPr>
              <w:ind w:left="134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891540" cy="891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First Quarter 2021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Raises Fiscal 2021 Outlook</w:t>
      </w:r>
    </w:p>
    <w:p>
      <w:pPr>
        <w:spacing w:after="0" w:line="200" w:lineRule="exact"/>
        <w:rPr>
          <w:sz w:val="20"/>
          <w:szCs w:val="20"/>
          <w:color w:val="auto"/>
        </w:rPr>
      </w:pPr>
    </w:p>
    <w:p>
      <w:pPr>
        <w:spacing w:after="0" w:line="27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13.7% to $534.2 million</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18.2%; Adjusted Comparable Store Sales Growth of 35.8%</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increased 346% to $43.4 million; Diluted EPS increased 302% to $0.48</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increased 77.8% to $67.7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increased 72.8% to $0.48</w:t>
      </w:r>
    </w:p>
    <w:p>
      <w:pPr>
        <w:spacing w:after="0" w:line="3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May 13, 2021 </w:t>
      </w:r>
      <w:r>
        <w:rPr>
          <w:rFonts w:ascii="Arial" w:cs="Arial" w:eastAsia="Arial" w:hAnsi="Arial"/>
          <w:sz w:val="18"/>
          <w:szCs w:val="18"/>
          <w:color w:val="auto"/>
        </w:rPr>
        <w:t>-- National Vision Holdings, Inc. (NASDAQ: EYE) (“National Vision” or the “Company”) today reported its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ended April 3, 2021.</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Reade Fahs, chief executive officer, stated,</w:t>
      </w:r>
      <w:r>
        <w:rPr>
          <w:rFonts w:ascii="Arial" w:cs="Arial" w:eastAsia="Arial" w:hAnsi="Arial"/>
          <w:sz w:val="18"/>
          <w:szCs w:val="18"/>
          <w:i w:val="1"/>
          <w:iCs w:val="1"/>
          <w:color w:val="auto"/>
        </w:rPr>
        <w:t>“</w:t>
      </w:r>
      <w:r>
        <w:rPr>
          <w:rFonts w:ascii="Arial" w:cs="Arial" w:eastAsia="Arial" w:hAnsi="Arial"/>
          <w:sz w:val="18"/>
          <w:szCs w:val="18"/>
          <w:color w:val="auto"/>
        </w:rPr>
        <w:t>It was a truly remarkable start to the year, as patients and customers chose us at record levels. Our first quarter results were likely helped by the interplay of the continued hastening of industry trends that favor our low price offerings and pent-up demand, aided by government stimulus. Our National Vision team executed superbly with a safety first approach while handling the increased level of consumer demand. We opened 25 stores during the quarter, as we continue to grow market share. We are fortunate to have two attractive growth engines with America’s Best and Eyeglass World. The especially robust performance at Eyeglass World for the past ten months gives us the confidence to modestly accelerate opening plans for this brand in 2022.”</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Fahs concluded, “As we enter the second quarter, sales momentum has continued throughout April. My sincere thanks and appreciation go out to the entire National Vision team and optometrist network for their continued commitment and extraordinary efforts to serve patients and customers in this complicated and ever evolving retail landscape. Overall, while the environment remains uncertain, we believe we remain well positioned to navigate the rest of the pandemic and beyond.”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Summary</w:t>
      </w:r>
    </w:p>
    <w:p>
      <w:pPr>
        <w:spacing w:after="0" w:line="12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13.7% to $534.2 million from $469.7 million for the first quarter of 2020.</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revenue was negatively impacted by 7.4% due to the timing of unearned revenue, which resulted in a material impact to revenue and profitability. The Company experienced an increase in unearned revenue of $14.9 million in the first quarter compared to a decrease in unearned revenue of $19.9 million for the same period of 2020. The increase in unearned revenue resulted from the stronger sales at the end of the first quarter of 2021 as well as the lower sales due to the temporary closure of stores from March 19, 2020 through the end of the first quarter of 2020.</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18.2% and Adjusted Comparable Store Sales Growth was 35.8%.</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25 new stores and ended the period with 1,230 stores.</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applicable to revenue increased 2.8% to $224.7 million from $218.6 million for the first quarter of 2020. As a percentage of net revenue, costs applicable to revenue decreased 440 basis points to 42.1% from 46.5% for the first quarter of 2020. This decrease as a percentage of net revenue was primarily driven by increased eyeglass mix, higher eyeglass margin, and lower growth in optometrist costs.</w:t>
      </w:r>
    </w:p>
    <w:p>
      <w:pPr>
        <w:jc w:val="both"/>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increased 15.4% to $223.6 million from $193.7 million for the first quarter of 2020. As a percentage of net revenue, SG&amp;A increased 70 basis points to 41.9% from 41.2% for the first quarter of 2020. This increase as a percentage of net revenue was primarily driven by the increase in unearned revenue noted above as well as higher performance-based incentive compensation, partially offset by leverage of store payroll and advertising expenses.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346% to $43.4 million compared to net income of $9.7 million for the first quarter of 2020.</w:t>
      </w:r>
    </w:p>
    <w:p>
      <w:pPr>
        <w:sectPr>
          <w:pgSz w:w="11900" w:h="16838" w:orient="portrait"/>
          <w:cols w:equalWidth="0" w:num="1">
            <w:col w:w="11240"/>
          </w:cols>
          <w:pgMar w:left="320" w:top="121" w:right="339" w:bottom="1440" w:gutter="0" w:footer="0" w:header="0"/>
        </w:sectPr>
      </w:pPr>
    </w:p>
    <w:bookmarkStart w:id="5" w:name="page6"/>
    <w:bookmarkEnd w:id="5"/>
    <w:p>
      <w:pPr>
        <w:ind w:left="340" w:hanging="332"/>
        <w:spacing w:after="0" w:line="291"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Diluted earnings per share increased 302% to $0.48 compared to $0.12 for the first quarter of 2020. Adjusted Diluted EPS increased 72.8% to $0.48 compared to $0.28 for the first quarter of 2020. The net change in margin on unearned revenue negatively impacted Adjusted Diluted EPS by $0.22.</w:t>
      </w:r>
    </w:p>
    <w:p>
      <w:pPr>
        <w:jc w:val="both"/>
        <w:ind w:left="340" w:right="20" w:hanging="332"/>
        <w:spacing w:after="0" w:line="25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Income increased 77.8% to $67.7 million compared to $38.1 million for the first quarter of 2020. Adjusted Operating Margin increased 460 basis points to 12.7% from 8.1% for the first quarter of 2020. The net change in margin on unearned revenue negatively impacted Adjusted Operating Income by $26.4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April 3, 2021</w:t>
      </w:r>
    </w:p>
    <w:p>
      <w:pPr>
        <w:spacing w:after="0" w:line="121" w:lineRule="exact"/>
        <w:rPr>
          <w:sz w:val="20"/>
          <w:szCs w:val="20"/>
          <w:color w:val="auto"/>
        </w:rPr>
      </w:pPr>
    </w:p>
    <w:p>
      <w:pPr>
        <w:ind w:left="340" w:hanging="332"/>
        <w:spacing w:after="0" w:line="258"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cash balance was $453.8 million as of April 3, 2021. The Company had no borrowings under its $300.0 million first lien revolving credit facility, exclusive of letters of credit of $6.4 million.</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debt was $737.9 million as of April 3, 2021, consisting of outstanding first lien term loans, convertible senior notes and finance lease obligations, net of unamortized discounts.</w:t>
      </w: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flows from operating activities for the first quarter of 2021 were $97.7 million compared to $86.1 million for the first quarter of 2020.</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for the first quarter of 2021 totaled $16.4 million compared to $13.1 million for the first quarter of 2020.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Outlook</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updated fiscal 2021 outlook reflects the currently expected impacts related to COVID-19, however, the ultimate impacts of COVID-19 on the Company’s financial outlook remain uncertain. The outlook shown below assumes no material deterioration to the Company’s current business operations as a result of COVID-19, governmental actions and regulations. Given the uncertainties, dynamic nature, resurgence, and unknown duration of the pandemic, the Company is continuing to evaluate additional measures that may be taken to respond to the impact of COVID-19 on its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updated outlook for the 52 weeks ending January 1, 2022:</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68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Updated Fiscal 2021 Outlook</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1"/>
              </w:rPr>
              <w:t>Prior Fiscal 2021 Outlook</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1"/>
              </w:rPr>
              <w:t>~75</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~75</w:t>
            </w: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3"/>
                <w:szCs w:val="23"/>
                <w:color w:val="auto"/>
                <w:vertAlign w:val="superscript"/>
              </w:rPr>
              <w:t>1</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0"/>
              </w:rPr>
              <w:t>16% - 19%</w:t>
            </w: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13% - 16%</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$1.975 - $2.025 billion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$1.93 - $1.98 billion</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4"/>
              </w:rPr>
              <w:t>$155 - $162 million</w:t>
            </w:r>
          </w:p>
        </w:tc>
        <w:tc>
          <w:tcPr>
            <w:tcW w:w="2940" w:type="dxa"/>
            <w:vAlign w:val="bottom"/>
          </w:tcPr>
          <w:p>
            <w:pPr>
              <w:jc w:val="center"/>
              <w:spacing w:after="0"/>
              <w:rPr>
                <w:sz w:val="20"/>
                <w:szCs w:val="20"/>
                <w:color w:val="auto"/>
              </w:rPr>
            </w:pPr>
            <w:r>
              <w:rPr>
                <w:rFonts w:ascii="Arial" w:cs="Arial" w:eastAsia="Arial" w:hAnsi="Arial"/>
                <w:sz w:val="18"/>
                <w:szCs w:val="18"/>
                <w:color w:val="auto"/>
                <w:w w:val="94"/>
              </w:rPr>
              <w:t>$130 - $137 million</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2</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0"/>
              </w:rPr>
              <w:t>$1.07 - $1.12</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$0.88 - $0.93</w:t>
            </w:r>
          </w:p>
        </w:tc>
      </w:tr>
      <w:tr>
        <w:trPr>
          <w:trHeight w:val="229"/>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3</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3"/>
              </w:rPr>
              <w:t>$97 - $98 million</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$97 - $98 million</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4</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~$28 million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~$28 million</w:t>
            </w: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5</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4"/>
              </w:rPr>
              <w:t>~26%</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~26%</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4"/>
              </w:rPr>
              <w:t>$100 - $105 million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$100 - $105 million</w:t>
            </w:r>
          </w:p>
        </w:tc>
      </w:tr>
    </w:tbl>
    <w:p>
      <w:pPr>
        <w:spacing w:after="0" w:line="25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1 - For the 52 weeks ending January 1, 2022</w:t>
      </w:r>
    </w:p>
    <w:p>
      <w:pPr>
        <w:ind w:left="280"/>
        <w:spacing w:after="0" w:line="201" w:lineRule="auto"/>
        <w:rPr>
          <w:sz w:val="20"/>
          <w:szCs w:val="20"/>
          <w:color w:val="auto"/>
        </w:rPr>
      </w:pPr>
      <w:r>
        <w:rPr>
          <w:rFonts w:ascii="Arial" w:cs="Arial" w:eastAsia="Arial" w:hAnsi="Arial"/>
          <w:sz w:val="14"/>
          <w:szCs w:val="14"/>
          <w:i w:val="1"/>
          <w:iCs w:val="1"/>
          <w:color w:val="auto"/>
        </w:rPr>
        <w:t>2 - Assumes approximately 96 million shares, including 12.9 million shares for the convertible notes under the if converted method</w:t>
      </w:r>
    </w:p>
    <w:p>
      <w:pPr>
        <w:ind w:left="280"/>
        <w:spacing w:after="0" w:line="201" w:lineRule="auto"/>
        <w:rPr>
          <w:sz w:val="20"/>
          <w:szCs w:val="20"/>
          <w:color w:val="auto"/>
        </w:rPr>
      </w:pPr>
      <w:r>
        <w:rPr>
          <w:rFonts w:ascii="Arial" w:cs="Arial" w:eastAsia="Arial" w:hAnsi="Arial"/>
          <w:sz w:val="14"/>
          <w:szCs w:val="14"/>
          <w:i w:val="1"/>
          <w:iCs w:val="1"/>
          <w:color w:val="auto"/>
        </w:rPr>
        <w:t>3 - Includes amortization of acquisition intangibles of approximately $7.5 million for the 52 weeks ending January 1, 2022</w:t>
      </w:r>
    </w:p>
    <w:p>
      <w:pPr>
        <w:ind w:left="280"/>
        <w:spacing w:after="0" w:line="201" w:lineRule="auto"/>
        <w:rPr>
          <w:sz w:val="20"/>
          <w:szCs w:val="20"/>
          <w:color w:val="auto"/>
        </w:rPr>
      </w:pPr>
      <w:r>
        <w:rPr>
          <w:rFonts w:ascii="Arial" w:cs="Arial" w:eastAsia="Arial" w:hAnsi="Arial"/>
          <w:sz w:val="14"/>
          <w:szCs w:val="14"/>
          <w:i w:val="1"/>
          <w:iCs w:val="1"/>
          <w:color w:val="auto"/>
        </w:rPr>
        <w:t>4 - Before the impact of gains or losses related to hedge ineffectiveness and charges related to amortization of debt discounts and deferred financing costs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5 - Excluding the impact of stock option exercises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2021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fiscal 2021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2021</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outlook. The Company uses these forward looking measures internally to assess and benchmark its results and strategic plans.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conference call to discuss the first quarter 2021 financial results is scheduled for today, May 13, 2021, at 10:00 a.m. Eastern Time. The U.S. toll free dial-in for the conference call is 866-754-6931 and the international dial-in is 636-812-6625. The conference passcode is 7518288. A live audio webcast of the conference call will be available on the “Investors” section of the Company’s website </w:t>
      </w:r>
      <w:r>
        <w:rPr>
          <w:rFonts w:ascii="Arial" w:cs="Arial" w:eastAsia="Arial" w:hAnsi="Arial"/>
          <w:sz w:val="18"/>
          <w:szCs w:val="18"/>
          <w:u w:val="single" w:color="auto"/>
          <w:color w:val="0E32E1"/>
        </w:rPr>
        <w:t>www.nationalvision.com/investors</w:t>
      </w:r>
      <w:r>
        <w:rPr>
          <w:rFonts w:ascii="Arial" w:cs="Arial" w:eastAsia="Arial" w:hAnsi="Arial"/>
          <w:sz w:val="18"/>
          <w:szCs w:val="18"/>
          <w:color w:val="auto"/>
        </w:rPr>
        <w:t>, where presentation materials will be posted prior to the conference call.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will be available shortly after the broadcast through Thursday, May 20, 2021, by dialing 855-859-2056 from the U.S. or 404-537-3406 from international locations, and entering conference passcode 7518288. A replay of the audio webcast will also be archived on the “Investors” section of the Company’s website.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National Vision Holdings, Inc. is one of the largest optical retail companies in the United States with more than 1,200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2021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its resurgence, and the impact of evolving federal, state, and local governmental actions in response thereto; customer behavior in response to the continuing pandemic and its more recent outbreaks of variants; our ability to keep our reopened stores open in a safe and cost-effective manner, or at all, in light of the continuing COVID-19 pandemic and its resurgence; our ability to recruit and retain vision care professionals for our stores in general and in light of the pandemic; our ability to develop, maintain and extend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or obtain additional financing at satisfactory terms or at all;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compete successfully; our ability to effectively operate our information technology systems and prevent interruption or security breach; our growth strategy straining our existing resources and causing the performance of our existing stores to suffer; the impact of wage rate increases, inflation, cost increases and increases in raw material prices and energy prices; our ability to successfully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overall decline in the health of the economy and other factors impacting consumer spending; our ability to manage our inventory; seasonal fluctuations in our operating results and</w:t>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87" w:lineRule="auto"/>
        <w:rPr>
          <w:sz w:val="20"/>
          <w:szCs w:val="20"/>
          <w:color w:val="auto"/>
        </w:rPr>
      </w:pPr>
      <w:r>
        <w:rPr>
          <w:rFonts w:ascii="Arial" w:cs="Arial" w:eastAsia="Arial" w:hAnsi="Arial"/>
          <w:sz w:val="16"/>
          <w:szCs w:val="16"/>
          <w:color w:val="auto"/>
        </w:rPr>
        <w:t>inventory levels; our reliance on third-party coverage and reimbursement, including government programs, for an increasing portion of our revenues; risks associated with our e-commerce and omni-channel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 of losses arising from our investments in technological innovators in the optical retail industry;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(benefit) and depreciation and amortization.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Adjusted Operating Income: </w:t>
      </w:r>
      <w:r>
        <w:rPr>
          <w:rFonts w:ascii="Arial" w:cs="Arial" w:eastAsia="Arial" w:hAnsi="Arial"/>
          <w:sz w:val="17"/>
          <w:szCs w:val="17"/>
          <w:color w:val="auto"/>
        </w:rPr>
        <w:t>We define Adjusted Operating Income as net income, plus interest expense and income tax provision (benefit),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to exclude stock compensation expense, asset impairment, litigation settlement, amortization of acquisition intangibles, and other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net income, plus interest expense, income tax provision (benefit) and depreciation and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adjusted to exclude stock compensation expense, asset impairment, litigation settlement, and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diluted earnings per share, adjusted for the per share impact of stock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 impairment, litigation settlement, amortization of acquisition intangibles, amortization of debt discounts and deferred financing costs of our term loan borrowings, amortization of costs related to our 2025 Notes, losses (gains) on change in fair value of derivatives,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 compensation expense, and 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Adjusted Comparable Store Sales Growth: </w:t>
      </w:r>
      <w:r>
        <w:rPr>
          <w:rFonts w:ascii="Arial" w:cs="Arial" w:eastAsia="Arial" w:hAnsi="Arial"/>
          <w:sz w:val="17"/>
          <w:szCs w:val="17"/>
          <w:color w:val="auto"/>
        </w:rPr>
        <w:t>We measure Adjusted Comparable Store Sales Growth as the increase or decrease in sales recorded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in 2020 as a result of the COVID-19 pandemic.</w:t>
      </w:r>
    </w:p>
    <w:p>
      <w:pPr>
        <w:spacing w:after="0" w:line="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EBITDA, Adjusted Operating Income, Adjusted Operating Margin, Adjusted EBITDA, Adjusted EBITDA Margin, Adjusted Diluted EPS, Adjusted SG&amp;A, Adjusted SG&amp;A Percent of Net Revenue, and Adjusted Comparable Store Sales Growth are not recognized terms under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9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April 3, 2021 and January 2,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7"/>
                <w:szCs w:val="17"/>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As of</w:t>
            </w:r>
          </w:p>
        </w:tc>
        <w:tc>
          <w:tcPr>
            <w:tcW w:w="260" w:type="dxa"/>
            <w:vAlign w:val="bottom"/>
          </w:tcPr>
          <w:p>
            <w:pPr>
              <w:spacing w:after="0"/>
              <w:rPr>
                <w:sz w:val="17"/>
                <w:szCs w:val="17"/>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April 3, 2021</w:t>
            </w:r>
          </w:p>
        </w:tc>
        <w:tc>
          <w:tcPr>
            <w:tcW w:w="260" w:type="dxa"/>
            <w:vAlign w:val="bottom"/>
          </w:tcPr>
          <w:p>
            <w:pPr>
              <w:spacing w:after="0"/>
              <w:rPr>
                <w:sz w:val="19"/>
                <w:szCs w:val="19"/>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color w:val="auto"/>
                <w:w w:val="99"/>
              </w:rPr>
              <w:t>January 2, 2021</w:t>
            </w: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453,792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119,525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656,950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566,650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336,214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47,638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1,762,895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2,419,845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98,796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65,617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Long-term debt and finance lease obligations, less current portion and debt discount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325,618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89"/>
              </w:rPr>
              <w:t>Common stock, $0.01 par value; 200,000 shares authorized; 82,357 and 82,183 shares issued as</w:t>
            </w: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1"/>
              </w:rPr>
              <w:t>of April 3, 2021 and January 2, 2021, respectively; 81,385 and 81,239 shares outstanding as of</w:t>
            </w:r>
          </w:p>
        </w:tc>
        <w:tc>
          <w:tcPr>
            <w:tcW w:w="32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April 3, 2021 and January 2, 2021, respectively</w:t>
            </w:r>
          </w:p>
        </w:tc>
        <w:tc>
          <w:tcPr>
            <w:tcW w:w="32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rPr>
              <w:t>Treasury stock, at cost; 972 and 944 shares as of April 3, 2021 and January 2, 2021,</w:t>
            </w:r>
          </w:p>
        </w:tc>
        <w:tc>
          <w:tcPr>
            <w:tcW w:w="32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(29,917)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2,419,845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3, 2021 and March 28,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Three Months Ended</w:t>
            </w:r>
          </w:p>
        </w:tc>
      </w:tr>
      <w:tr>
        <w:trPr>
          <w:trHeight w:val="223"/>
        </w:trPr>
        <w:tc>
          <w:tcPr>
            <w:tcW w:w="8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April 3, 2021</w:t>
            </w:r>
          </w:p>
        </w:tc>
        <w:tc>
          <w:tcPr>
            <w:tcW w:w="14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w w:val="92"/>
              </w:rPr>
              <w:t>March 28, 2020</w:t>
            </w:r>
          </w:p>
        </w:tc>
      </w:tr>
      <w:tr>
        <w:trPr>
          <w:trHeight w:val="209"/>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443,067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392,841</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76,863</w:t>
            </w: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469,704</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159,691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156,370</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62,184</w:t>
            </w: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218,554</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223,593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193,741</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11,355</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r>
      <w:tr>
        <w:trPr>
          <w:trHeight w:val="229"/>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234,235</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16,915</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9,460</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80,129</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82,242</w:t>
            </w:r>
          </w:p>
        </w:tc>
      </w:tr>
      <w:tr>
        <w:trPr>
          <w:trHeight w:val="216"/>
        </w:trPr>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43,432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9,742</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hedge instruments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Note: First quarter 2021 diluted EPS is calculated using the if-converted method for the 2025 Notes adding back $2.3 million of interest expense (after tax) related to the 2025 Notes, and assuming conversion of the 2025 Notes at the beginning of the first quarter of 2021.</w:t>
      </w:r>
    </w:p>
    <w:p>
      <w:pPr>
        <w:sectPr>
          <w:pgSz w:w="11900" w:h="16838" w:orient="portrait"/>
          <w:cols w:equalWidth="0" w:num="1">
            <w:col w:w="11240"/>
          </w:cols>
          <w:pgMar w:left="320" w:top="769"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April 3, 2021 and March 28,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color w:val="auto"/>
              </w:rPr>
              <w:t>Three Months Ended</w:t>
            </w:r>
          </w:p>
        </w:tc>
      </w:tr>
      <w:tr>
        <w:trPr>
          <w:trHeight w:val="210"/>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color w:val="auto"/>
              </w:rPr>
              <w:t>April 3, 2021</w:t>
            </w:r>
          </w:p>
        </w:tc>
        <w:tc>
          <w:tcPr>
            <w:tcW w:w="18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w w:val="97"/>
              </w:rPr>
              <w:t>March 28, 2020</w:t>
            </w:r>
          </w:p>
        </w:tc>
      </w:tr>
      <w:tr>
        <w:trPr>
          <w:trHeight w:val="19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43,432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9,742</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24,810</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11,355</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2,093</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1,695</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16,431</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(4,511)</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3,524</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19,171</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(19,006)</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11,197</w:t>
            </w: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86,060</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(13,053)</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(12,854)</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146,269</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on long-term debt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5,120</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150,601</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223,807</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455,348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264,114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5,706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7,065</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12,176</w:t>
            </w:r>
          </w:p>
        </w:tc>
      </w:tr>
    </w:tbl>
    <w:p>
      <w:pPr>
        <w:sectPr>
          <w:pgSz w:w="11900" w:h="16838" w:orient="portrait"/>
          <w:cols w:equalWidth="0" w:num="1">
            <w:col w:w="11220"/>
          </w:cols>
          <w:pgMar w:left="320" w:top="877"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3, 2021 and March 28,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Reconciliation of Adjusted Operating Income to Net Income</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gridSpan w:val="4"/>
            <w:vMerge w:val="restart"/>
          </w:tcPr>
          <w:p>
            <w:pPr>
              <w:jc w:val="right"/>
              <w:ind w:right="17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9"/>
                <w:szCs w:val="19"/>
                <w:color w:val="auto"/>
              </w:rPr>
            </w:pPr>
          </w:p>
        </w:tc>
        <w:tc>
          <w:tcPr>
            <w:tcW w:w="1600" w:type="dxa"/>
            <w:vAlign w:val="bottom"/>
            <w:gridSpan w:val="3"/>
          </w:tcPr>
          <w:p>
            <w:pPr>
              <w:ind w:left="140"/>
              <w:spacing w:after="0"/>
              <w:rPr>
                <w:sz w:val="20"/>
                <w:szCs w:val="20"/>
                <w:color w:val="auto"/>
              </w:rPr>
            </w:pPr>
            <w:r>
              <w:rPr>
                <w:rFonts w:ascii="Arial" w:cs="Arial" w:eastAsia="Arial" w:hAnsi="Arial"/>
                <w:sz w:val="18"/>
                <w:szCs w:val="18"/>
                <w:color w:val="auto"/>
              </w:rPr>
              <w:t>April 3, 2021</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March 28, 2020</w:t>
            </w:r>
          </w:p>
        </w:tc>
        <w:tc>
          <w:tcPr>
            <w:tcW w:w="0" w:type="dxa"/>
            <w:vAlign w:val="bottom"/>
          </w:tcPr>
          <w:p>
            <w:pPr>
              <w:spacing w:after="0"/>
              <w:rPr>
                <w:sz w:val="1"/>
                <w:szCs w:val="1"/>
                <w:color w:val="auto"/>
              </w:rPr>
            </w:pP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43,432</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6,330</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2,988</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2,093</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4,395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67,668</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38,063</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180"/>
              <w:spacing w:after="0" w:line="122" w:lineRule="exact"/>
              <w:rPr>
                <w:sz w:val="20"/>
                <w:szCs w:val="20"/>
                <w:color w:val="auto"/>
              </w:rPr>
            </w:pPr>
            <w:r>
              <w:rPr>
                <w:rFonts w:ascii="Arial" w:cs="Arial" w:eastAsia="Arial" w:hAnsi="Arial"/>
                <w:sz w:val="14"/>
                <w:szCs w:val="14"/>
                <w:color w:val="auto"/>
              </w:rPr>
              <w:t>Note: Percentages reflect line item as a percentage of net revenue, adjusted for rounding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7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7620" w:type="dxa"/>
            <w:vAlign w:val="bottom"/>
          </w:tcPr>
          <w:p>
            <w:pPr>
              <w:ind w:left="18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Reconciliation of EBITDA and Adjusted EBITDA to Net Income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gridSpan w:val="4"/>
            <w:vMerge w:val="restart"/>
          </w:tcPr>
          <w:p>
            <w:pPr>
              <w:jc w:val="right"/>
              <w:ind w:right="17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9"/>
                <w:szCs w:val="19"/>
                <w:color w:val="auto"/>
              </w:rPr>
            </w:pPr>
          </w:p>
        </w:tc>
        <w:tc>
          <w:tcPr>
            <w:tcW w:w="1600" w:type="dxa"/>
            <w:vAlign w:val="bottom"/>
            <w:gridSpan w:val="3"/>
          </w:tcPr>
          <w:p>
            <w:pPr>
              <w:ind w:left="140"/>
              <w:spacing w:after="0"/>
              <w:rPr>
                <w:sz w:val="20"/>
                <w:szCs w:val="20"/>
                <w:color w:val="auto"/>
              </w:rPr>
            </w:pPr>
            <w:r>
              <w:rPr>
                <w:rFonts w:ascii="Arial" w:cs="Arial" w:eastAsia="Arial" w:hAnsi="Arial"/>
                <w:sz w:val="18"/>
                <w:szCs w:val="18"/>
                <w:color w:val="auto"/>
              </w:rPr>
              <w:t>April 3, 2021</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March 28, 2020</w:t>
            </w:r>
          </w:p>
        </w:tc>
        <w:tc>
          <w:tcPr>
            <w:tcW w:w="0" w:type="dxa"/>
            <w:vAlign w:val="bottom"/>
          </w:tcPr>
          <w:p>
            <w:pPr>
              <w:spacing w:after="0"/>
              <w:rPr>
                <w:sz w:val="1"/>
                <w:szCs w:val="1"/>
                <w:color w:val="auto"/>
              </w:rPr>
            </w:pP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43,432</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6,330</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23,555</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24,810</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5.3%</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EBITDA / Adjusted EBITDA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89,350</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140"/>
              <w:spacing w:after="0" w:line="122" w:lineRule="exact"/>
              <w:rPr>
                <w:sz w:val="20"/>
                <w:szCs w:val="20"/>
                <w:color w:val="auto"/>
              </w:rPr>
            </w:pPr>
            <w:r>
              <w:rPr>
                <w:rFonts w:ascii="Arial" w:cs="Arial" w:eastAsia="Arial" w:hAnsi="Arial"/>
                <w:sz w:val="14"/>
                <w:szCs w:val="14"/>
                <w:color w:val="auto"/>
              </w:rPr>
              <w:t>Note: Percentages reflect line item as a percentage of net revenue, adjusted for rounding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7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7620" w:type="dxa"/>
            <w:vAlign w:val="bottom"/>
          </w:tcPr>
          <w:p>
            <w:pPr>
              <w:ind w:left="14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240" w:type="dxa"/>
            <w:vAlign w:val="bottom"/>
          </w:tcPr>
          <w:p>
            <w:pPr>
              <w:spacing w:after="0"/>
              <w:rPr>
                <w:sz w:val="20"/>
                <w:szCs w:val="20"/>
                <w:color w:val="auto"/>
              </w:rPr>
            </w:pPr>
          </w:p>
        </w:tc>
        <w:tc>
          <w:tcPr>
            <w:tcW w:w="3320" w:type="dxa"/>
            <w:vAlign w:val="bottom"/>
            <w:gridSpan w:val="4"/>
            <w:vMerge w:val="restart"/>
          </w:tcPr>
          <w:p>
            <w:pPr>
              <w:jc w:val="right"/>
              <w:ind w:right="93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April 3, 2021</w:t>
            </w:r>
          </w:p>
        </w:tc>
        <w:tc>
          <w:tcPr>
            <w:tcW w:w="200" w:type="dxa"/>
            <w:vAlign w:val="bottom"/>
          </w:tcPr>
          <w:p>
            <w:pPr>
              <w:spacing w:after="0"/>
              <w:rPr>
                <w:sz w:val="19"/>
                <w:szCs w:val="19"/>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w w:val="95"/>
              </w:rPr>
              <w:t>March 28, 2020</w:t>
            </w:r>
          </w:p>
        </w:tc>
        <w:tc>
          <w:tcPr>
            <w:tcW w:w="0" w:type="dxa"/>
            <w:vAlign w:val="bottom"/>
          </w:tcPr>
          <w:p>
            <w:pPr>
              <w:spacing w:after="0"/>
              <w:rPr>
                <w:sz w:val="1"/>
                <w:szCs w:val="1"/>
                <w:color w:val="auto"/>
              </w:rPr>
            </w:pPr>
          </w:p>
        </w:tc>
      </w:tr>
      <w:tr>
        <w:trPr>
          <w:trHeight w:val="223"/>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(e)</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(f)</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(j)</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3"/>
                <w:szCs w:val="23"/>
                <w:color w:val="auto"/>
                <w:vertAlign w:val="superscript"/>
              </w:rPr>
              <w:t>(h)</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(i)</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82,242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20" w:type="dxa"/>
            <w:vAlign w:val="bottom"/>
          </w:tcPr>
          <w:p>
            <w:pPr>
              <w:ind w:left="2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Reconciliation of Adjusted SG&amp;A and Adjusted SG&amp;A Percent of Net Revenue to SG&amp;A</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60" w:type="dxa"/>
            <w:vAlign w:val="bottom"/>
            <w:gridSpan w:val="6"/>
            <w:vMerge w:val="restart"/>
          </w:tcPr>
          <w:p>
            <w:pPr>
              <w:jc w:val="right"/>
              <w:ind w:right="230"/>
              <w:spacing w:after="0"/>
              <w:rPr>
                <w:sz w:val="20"/>
                <w:szCs w:val="20"/>
                <w:color w:val="auto"/>
              </w:rPr>
            </w:pPr>
            <w:r>
              <w:rPr>
                <w:rFonts w:ascii="Arial" w:cs="Arial" w:eastAsia="Arial" w:hAnsi="Arial"/>
                <w:sz w:val="18"/>
                <w:szCs w:val="18"/>
                <w:color w:val="auto"/>
                <w:w w:val="90"/>
              </w:rPr>
              <w:t>Three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6"/>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9"/>
                <w:szCs w:val="19"/>
                <w:color w:val="auto"/>
              </w:rPr>
            </w:pPr>
          </w:p>
        </w:tc>
        <w:tc>
          <w:tcPr>
            <w:tcW w:w="1720" w:type="dxa"/>
            <w:vAlign w:val="bottom"/>
            <w:gridSpan w:val="3"/>
          </w:tcPr>
          <w:p>
            <w:pPr>
              <w:ind w:left="300"/>
              <w:spacing w:after="0"/>
              <w:rPr>
                <w:sz w:val="20"/>
                <w:szCs w:val="20"/>
                <w:color w:val="auto"/>
              </w:rPr>
            </w:pPr>
            <w:r>
              <w:rPr>
                <w:rFonts w:ascii="Arial" w:cs="Arial" w:eastAsia="Arial" w:hAnsi="Arial"/>
                <w:sz w:val="18"/>
                <w:szCs w:val="18"/>
                <w:color w:val="auto"/>
              </w:rPr>
              <w:t>April 3, 2021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March 28, 2020</w:t>
            </w:r>
          </w:p>
        </w:tc>
        <w:tc>
          <w:tcPr>
            <w:tcW w:w="0" w:type="dxa"/>
            <w:vAlign w:val="bottom"/>
          </w:tcPr>
          <w:p>
            <w:pPr>
              <w:spacing w:after="0"/>
              <w:rPr>
                <w:sz w:val="1"/>
                <w:szCs w:val="1"/>
                <w:color w:val="auto"/>
              </w:rPr>
            </w:pP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SG&amp;A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223,593</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193,741</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41.2%</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2,988</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2,093</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b w:val="1"/>
                <w:bCs w:val="1"/>
                <w:color w:val="auto"/>
              </w:rPr>
              <w:t>Adjusted SG&amp;A/ Adjusted SG&amp;A Percent of Net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220,205</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190,194</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40.5%</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140"/>
              <w:spacing w:after="0" w:line="142" w:lineRule="exact"/>
              <w:rPr>
                <w:sz w:val="20"/>
                <w:szCs w:val="20"/>
                <w:color w:val="auto"/>
              </w:rPr>
            </w:pPr>
            <w:r>
              <w:rPr>
                <w:rFonts w:ascii="Arial" w:cs="Arial" w:eastAsia="Arial" w:hAnsi="Arial"/>
                <w:sz w:val="14"/>
                <w:szCs w:val="14"/>
                <w:color w:val="auto"/>
              </w:rPr>
              <w:t>Note: Percentages reflect line item as a percentage of net revenue</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520" w:type="dxa"/>
            <w:vAlign w:val="bottom"/>
          </w:tcPr>
          <w:p>
            <w:pPr>
              <w:ind w:left="14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Expenses associated with settlement of litigation.</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 w:lineRule="exact"/>
        <w:rPr>
          <w:rFonts w:ascii="Arial" w:cs="Arial" w:eastAsia="Arial" w:hAnsi="Arial"/>
          <w:sz w:val="14"/>
          <w:szCs w:val="14"/>
          <w:color w:val="auto"/>
        </w:rPr>
      </w:pPr>
    </w:p>
    <w:p>
      <w:pPr>
        <w:jc w:val="both"/>
        <w:ind w:left="660" w:right="640" w:hanging="328"/>
        <w:spacing w:after="0" w:line="241" w:lineRule="auto"/>
        <w:tabs>
          <w:tab w:leader="none" w:pos="657"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costs related to the 2025 Notes only when adjustment for these costs is not required in the calculation of diluted earnings per share according to U.S. GAAP. Amortization of debt discount and deferred financing costs in aggregate total $0.3 million and $0.2 million for the three months ended April 3, 2021 and March 28, 2020,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 of $(2.3) million for the three months ended April 3, 2021.</w:t>
      </w:r>
    </w:p>
    <w:p>
      <w:pPr>
        <w:spacing w:after="0" w:line="1" w:lineRule="exact"/>
        <w:rPr>
          <w:rFonts w:ascii="Arial" w:cs="Arial" w:eastAsia="Arial" w:hAnsi="Arial"/>
          <w:sz w:val="14"/>
          <w:szCs w:val="14"/>
          <w:color w:val="auto"/>
        </w:rPr>
      </w:pPr>
    </w:p>
    <w:p>
      <w:pPr>
        <w:jc w:val="both"/>
        <w:ind w:left="660" w:right="640" w:hanging="328"/>
        <w:spacing w:after="0" w:line="260"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the amortization impact of adjustments related to the KKR Acquisition, (e.g., fair value of leasehold interests) of $0.1 million for each of the three months ended April 3, 2021 and March 28, 2020; costs of severance and relocation of $0.2 million and $0.3 million for the three months ended April 3, 2021 and March 28, 2020, respectively; excess payroll taxes related to stock option exercises of $0.3 million for the three months ended March 28, 2020; incremental costs directly related to adapting the Company’s operations during the COVID-19 pandemic of $0.6 million for the three months ended March 28, 2020; and other expenses and adjustments totaling $0.1 million and $0.2 million for the three months ended April 3, 2021 and March 28, 2020, respectively.</w:t>
      </w:r>
    </w:p>
    <w:p>
      <w:pPr>
        <w:ind w:left="660" w:right="660" w:hanging="328"/>
        <w:spacing w:after="0" w:line="241" w:lineRule="auto"/>
        <w:tabs>
          <w:tab w:leader="none" w:pos="652" w:val="left"/>
        </w:tabs>
        <w:numPr>
          <w:ilvl w:val="0"/>
          <w:numId w:val="7"/>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right="640" w:hanging="328"/>
        <w:spacing w:after="0" w:line="255" w:lineRule="auto"/>
        <w:tabs>
          <w:tab w:leader="none" w:pos="64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other expenses in (g) above, including the impact of stranded tax effect of $2.1 million for the three months ended April 3, 2021 associated with our interest rate swaps that matured in the first quarter of 2021.</w:t>
      </w:r>
    </w:p>
    <w:p>
      <w:pPr>
        <w:sectPr>
          <w:pgSz w:w="11900" w:h="16838" w:orient="portrait"/>
          <w:cols w:equalWidth="0" w:num="1">
            <w:col w:w="11240"/>
          </w:cols>
          <w:pgMar w:left="320" w:top="904" w:right="339" w:bottom="1440" w:gutter="0" w:footer="0" w:header="0"/>
        </w:sectPr>
      </w:pPr>
    </w:p>
    <w:bookmarkStart w:id="14" w:name="page15"/>
    <w:bookmarkEnd w:id="14"/>
    <w:tbl>
      <w:tblPr>
        <w:tblLayout w:type="fixed"/>
        <w:tblInd w:w="80" w:type="dxa"/>
        <w:tblCellMar>
          <w:top w:w="0" w:type="dxa"/>
          <w:left w:w="0" w:type="dxa"/>
          <w:bottom w:w="0" w:type="dxa"/>
          <w:right w:w="0" w:type="dxa"/>
        </w:tblCellMar>
      </w:tblPr>
      <w:tr>
        <w:trPr>
          <w:trHeight w:val="228"/>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w w:val="95"/>
              </w:rPr>
              <w:t>Reconciliation of Adjusted Comparable Store Sales Growth to Total Comparable Store Sales Growth</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6"/>
        </w:trPr>
        <w:tc>
          <w:tcPr>
            <w:tcW w:w="6720" w:type="dxa"/>
            <w:vAlign w:val="bottom"/>
          </w:tcPr>
          <w:p>
            <w:pPr>
              <w:spacing w:after="0"/>
              <w:rPr>
                <w:sz w:val="20"/>
                <w:szCs w:val="20"/>
                <w:color w:val="auto"/>
              </w:rPr>
            </w:pPr>
          </w:p>
        </w:tc>
        <w:tc>
          <w:tcPr>
            <w:tcW w:w="4380" w:type="dxa"/>
            <w:vAlign w:val="bottom"/>
            <w:tcBorders>
              <w:bottom w:val="single" w:sz="8" w:color="auto"/>
            </w:tcBorders>
            <w:gridSpan w:val="5"/>
          </w:tcPr>
          <w:p>
            <w:pPr>
              <w:ind w:left="1000"/>
              <w:spacing w:after="0" w:line="235" w:lineRule="exact"/>
              <w:rPr>
                <w:sz w:val="20"/>
                <w:szCs w:val="20"/>
                <w:color w:val="auto"/>
              </w:rPr>
            </w:pPr>
            <w:r>
              <w:rPr>
                <w:rFonts w:ascii="Arial" w:cs="Arial" w:eastAsia="Arial" w:hAnsi="Arial"/>
                <w:sz w:val="18"/>
                <w:szCs w:val="18"/>
                <w:color w:val="auto"/>
              </w:rPr>
              <w:t>Comparable store sales growth</w:t>
            </w:r>
            <w:r>
              <w:rPr>
                <w:rFonts w:ascii="Arial" w:cs="Arial" w:eastAsia="Arial" w:hAnsi="Arial"/>
                <w:sz w:val="23"/>
                <w:szCs w:val="23"/>
                <w:color w:val="auto"/>
                <w:vertAlign w:val="superscript"/>
              </w:rPr>
              <w:t>(a)</w:t>
            </w:r>
          </w:p>
        </w:tc>
      </w:tr>
      <w:tr>
        <w:trPr>
          <w:trHeight w:val="223"/>
        </w:trPr>
        <w:tc>
          <w:tcPr>
            <w:tcW w:w="6720" w:type="dxa"/>
            <w:vAlign w:val="bottom"/>
          </w:tcPr>
          <w:p>
            <w:pPr>
              <w:spacing w:after="0"/>
              <w:rPr>
                <w:sz w:val="19"/>
                <w:szCs w:val="19"/>
                <w:color w:val="auto"/>
              </w:rPr>
            </w:pPr>
          </w:p>
        </w:tc>
        <w:tc>
          <w:tcPr>
            <w:tcW w:w="3060" w:type="dxa"/>
            <w:vAlign w:val="bottom"/>
            <w:gridSpan w:val="4"/>
          </w:tcPr>
          <w:p>
            <w:pPr>
              <w:ind w:left="720"/>
              <w:spacing w:after="0"/>
              <w:rPr>
                <w:sz w:val="20"/>
                <w:szCs w:val="20"/>
                <w:color w:val="auto"/>
              </w:rPr>
            </w:pPr>
            <w:r>
              <w:rPr>
                <w:rFonts w:ascii="Arial" w:cs="Arial" w:eastAsia="Arial" w:hAnsi="Arial"/>
                <w:sz w:val="18"/>
                <w:szCs w:val="18"/>
                <w:color w:val="auto"/>
              </w:rPr>
              <w:t>Three Months Ended</w:t>
            </w:r>
          </w:p>
        </w:tc>
        <w:tc>
          <w:tcPr>
            <w:tcW w:w="1320" w:type="dxa"/>
            <w:vAlign w:val="bottom"/>
          </w:tcPr>
          <w:p>
            <w:pPr>
              <w:spacing w:after="0"/>
              <w:rPr>
                <w:sz w:val="19"/>
                <w:szCs w:val="19"/>
                <w:color w:val="auto"/>
              </w:rPr>
            </w:pPr>
          </w:p>
        </w:tc>
      </w:tr>
      <w:tr>
        <w:trPr>
          <w:trHeight w:val="223"/>
        </w:trPr>
        <w:tc>
          <w:tcPr>
            <w:tcW w:w="6720" w:type="dxa"/>
            <w:vAlign w:val="bottom"/>
          </w:tcPr>
          <w:p>
            <w:pPr>
              <w:spacing w:after="0"/>
              <w:rPr>
                <w:sz w:val="19"/>
                <w:szCs w:val="19"/>
                <w:color w:val="auto"/>
              </w:rPr>
            </w:pPr>
          </w:p>
        </w:tc>
        <w:tc>
          <w:tcPr>
            <w:tcW w:w="152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April 3, 2021</w:t>
            </w: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March 28, 2020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2021 Outlook</w:t>
            </w: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Owned &amp; Host segment</w:t>
            </w: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America’s Best</w:t>
            </w:r>
          </w:p>
        </w:tc>
        <w:tc>
          <w:tcPr>
            <w:tcW w:w="1420" w:type="dxa"/>
            <w:vAlign w:val="bottom"/>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Eyeglass World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Military</w:t>
            </w:r>
          </w:p>
        </w:tc>
        <w:tc>
          <w:tcPr>
            <w:tcW w:w="142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Fred Meyer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b w:val="1"/>
                <w:bCs w:val="1"/>
                <w:color w:val="auto"/>
              </w:rPr>
              <w:t>Legacy segment</w:t>
            </w:r>
          </w:p>
        </w:tc>
        <w:tc>
          <w:tcPr>
            <w:tcW w:w="1420" w:type="dxa"/>
            <w:vAlign w:val="bottom"/>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0"/>
        </w:trPr>
        <w:tc>
          <w:tcPr>
            <w:tcW w:w="67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Total comparable store sales growth</w:t>
            </w:r>
          </w:p>
        </w:tc>
        <w:tc>
          <w:tcPr>
            <w:tcW w:w="1420" w:type="dxa"/>
            <w:vAlign w:val="bottom"/>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15% - 18%</w:t>
            </w:r>
          </w:p>
        </w:tc>
      </w:tr>
      <w:tr>
        <w:trPr>
          <w:trHeight w:val="230"/>
        </w:trPr>
        <w:tc>
          <w:tcPr>
            <w:tcW w:w="67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Adjusted Comparable Store Sales Growth </w:t>
            </w:r>
            <w:r>
              <w:rPr>
                <w:rFonts w:ascii="Arial" w:cs="Arial" w:eastAsia="Arial" w:hAnsi="Arial"/>
                <w:sz w:val="23"/>
                <w:szCs w:val="23"/>
                <w:color w:val="auto"/>
                <w:vertAlign w:val="superscript"/>
              </w:rPr>
              <w:t>(b)</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 - 19%</w:t>
            </w:r>
          </w:p>
        </w:tc>
      </w:tr>
    </w:tbl>
    <w:p>
      <w:pPr>
        <w:spacing w:after="0" w:line="170" w:lineRule="exact"/>
        <w:rPr>
          <w:sz w:val="20"/>
          <w:szCs w:val="20"/>
          <w:color w:val="auto"/>
        </w:rPr>
      </w:pPr>
    </w:p>
    <w:p>
      <w:pPr>
        <w:jc w:val="both"/>
        <w:ind w:left="660" w:right="600" w:hanging="328"/>
        <w:spacing w:after="0" w:line="273" w:lineRule="auto"/>
        <w:tabs>
          <w:tab w:leader="none" w:pos="657" w:val="left"/>
        </w:tabs>
        <w:numPr>
          <w:ilvl w:val="0"/>
          <w:numId w:val="8"/>
        </w:numPr>
        <w:rPr>
          <w:rFonts w:ascii="Arial" w:cs="Arial" w:eastAsia="Arial" w:hAnsi="Arial"/>
          <w:sz w:val="13"/>
          <w:szCs w:val="13"/>
          <w:color w:val="auto"/>
        </w:rPr>
      </w:pPr>
      <w:r>
        <w:rPr>
          <w:rFonts w:ascii="Arial" w:cs="Arial" w:eastAsia="Arial" w:hAnsi="Arial"/>
          <w:sz w:val="13"/>
          <w:szCs w:val="13"/>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in our Quarterly Report on Form 10-Q, with the exception of the Legacy segment, which is adjusted as noted in clause (b) (ii) below.</w:t>
      </w:r>
    </w:p>
    <w:p>
      <w:pPr>
        <w:spacing w:after="0" w:line="67" w:lineRule="exact"/>
        <w:rPr>
          <w:rFonts w:ascii="Arial" w:cs="Arial" w:eastAsia="Arial" w:hAnsi="Arial"/>
          <w:sz w:val="13"/>
          <w:szCs w:val="13"/>
          <w:color w:val="auto"/>
        </w:rPr>
      </w:pPr>
    </w:p>
    <w:p>
      <w:pPr>
        <w:jc w:val="both"/>
        <w:ind w:left="660" w:right="580" w:hanging="328"/>
        <w:spacing w:after="0" w:line="270"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an increase of 13.8% and a decrease of 7.5% for the three months ended April 3, 2021 and March 28, 2020, respectively;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an increase of 3.8% and an increase of 0.1% for the three months ended April 3, 2021 and March 28,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Mann, CFA, Vice President of Investor Relations</w:t>
      </w:r>
    </w:p>
    <w:p>
      <w:pPr>
        <w:spacing w:after="0" w:line="9" w:lineRule="exact"/>
        <w:rPr>
          <w:sz w:val="20"/>
          <w:szCs w:val="20"/>
          <w:color w:val="auto"/>
        </w:rPr>
      </w:pPr>
    </w:p>
    <w:p>
      <w:pPr>
        <w:ind w:right="840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Racheal Peters, Manager of External Communications</w:t>
      </w:r>
    </w:p>
    <w:p>
      <w:pPr>
        <w:spacing w:after="0" w:line="9" w:lineRule="exact"/>
        <w:rPr>
          <w:sz w:val="20"/>
          <w:szCs w:val="20"/>
          <w:color w:val="auto"/>
        </w:rPr>
      </w:pPr>
    </w:p>
    <w:p>
      <w:pPr>
        <w:ind w:right="920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448-2303 media@nationalvision.com</w:t>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470"/>
    </w:lvl>
  </w:abstractNum>
  <w:abstractNum w:abstractNumId="9">
    <w:nsid w:val="4DB127F8"/>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2021-05-13T06:13:39Z</dcterms:created>
  <dcterms:modified xsi:type="dcterms:W3CDTF">2021-05-13T06:13:39Z</dcterms:modified>
</cp:coreProperties>
</file>