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Rasmussen Melissa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00"/>
        <w:spacing w:after="0" w:line="384" w:lineRule="auto"/>
        <w:rPr>
          <w:sz w:val="20"/>
          <w:szCs w:val="20"/>
          <w:color w:val="auto"/>
        </w:rPr>
      </w:pPr>
      <w:r>
        <w:rPr>
          <w:rFonts w:ascii="Times New Roman" w:cs="Times New Roman" w:eastAsia="Times New Roman" w:hAnsi="Times New Roman"/>
          <w:sz w:val="16"/>
          <w:szCs w:val="16"/>
          <w:color w:val="0000FF"/>
        </w:rPr>
        <w:t>C/O NATIONAL VISION HOLDINGS, INC. 2435 COMMERCE AVENUE, BLDG. 2200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DULUTH</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30096-4980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National Vision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EYE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420" w:type="dxa"/>
            <w:vAlign w:val="bottom"/>
            <w:tcBorders>
              <w:top w:val="single" w:sz="8" w:color="0000EE"/>
            </w:tcBorders>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20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SVP, Finance and Accounting</w:t>
            </w:r>
          </w:p>
        </w:tc>
        <w:tc>
          <w:tcPr>
            <w:tcW w:w="0" w:type="dxa"/>
            <w:vAlign w:val="bottom"/>
          </w:tcPr>
          <w:p>
            <w:pPr>
              <w:spacing w:after="0"/>
              <w:rPr>
                <w:sz w:val="1"/>
                <w:szCs w:val="1"/>
                <w:color w:val="auto"/>
              </w:rPr>
            </w:pPr>
          </w:p>
        </w:tc>
      </w:tr>
      <w:tr>
        <w:trPr>
          <w:trHeight w:val="219"/>
        </w:trPr>
        <w:tc>
          <w:tcPr>
            <w:tcW w:w="26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11/18/2022</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11/18/2022</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2,744</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right"/>
              <w:ind w:right="4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00" w:type="dxa"/>
            <w:vAlign w:val="bottom"/>
            <w:tcBorders>
              <w:bottom w:val="single" w:sz="8" w:color="2C2C2C"/>
            </w:tcBorders>
            <w:gridSpan w:val="3"/>
          </w:tcPr>
          <w:p>
            <w:pPr>
              <w:jc w:val="center"/>
              <w:ind w:right="241"/>
              <w:spacing w:after="0"/>
              <w:rPr>
                <w:sz w:val="20"/>
                <w:szCs w:val="20"/>
                <w:color w:val="auto"/>
              </w:rPr>
            </w:pPr>
            <w:r>
              <w:rPr>
                <w:rFonts w:ascii="Times New Roman" w:cs="Times New Roman" w:eastAsia="Times New Roman" w:hAnsi="Times New Roman"/>
                <w:sz w:val="17"/>
                <w:szCs w:val="17"/>
                <w:color w:val="0000FF"/>
              </w:rPr>
              <w:t>10,147</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11/18/2022</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826</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(3)</w:t>
            </w:r>
          </w:p>
        </w:tc>
        <w:tc>
          <w:tcPr>
            <w:tcW w:w="60" w:type="dxa"/>
            <w:vAlign w:val="bottom"/>
          </w:tcPr>
          <w:p>
            <w:pPr>
              <w:spacing w:after="0"/>
              <w:rPr>
                <w:sz w:val="22"/>
                <w:szCs w:val="22"/>
                <w:color w:val="auto"/>
              </w:rPr>
            </w:pPr>
          </w:p>
        </w:tc>
        <w:tc>
          <w:tcPr>
            <w:tcW w:w="1300" w:type="dxa"/>
            <w:vAlign w:val="bottom"/>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9,321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2,744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11/18/2022</w:t>
            </w:r>
          </w:p>
        </w:tc>
        <w:tc>
          <w:tcPr>
            <w:tcW w:w="1100" w:type="dxa"/>
            <w:vAlign w:val="bottom"/>
          </w:tcPr>
          <w:p>
            <w:pPr>
              <w:spacing w:after="0"/>
              <w:rPr>
                <w:sz w:val="11"/>
                <w:szCs w:val="11"/>
                <w:color w:val="auto"/>
              </w:rPr>
            </w:pPr>
          </w:p>
        </w:tc>
        <w:tc>
          <w:tcPr>
            <w:tcW w:w="72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30" w:lineRule="exact"/>
              <w:rPr>
                <w:sz w:val="20"/>
                <w:szCs w:val="20"/>
                <w:color w:val="auto"/>
              </w:rPr>
            </w:pPr>
            <w:r>
              <w:rPr>
                <w:rFonts w:ascii="Times New Roman" w:cs="Times New Roman" w:eastAsia="Times New Roman" w:hAnsi="Times New Roman"/>
                <w:sz w:val="13"/>
                <w:szCs w:val="13"/>
                <w:color w:val="0000FF"/>
              </w:rPr>
              <w:t>2,744</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30" w:lineRule="exact"/>
              <w:rPr>
                <w:sz w:val="20"/>
                <w:szCs w:val="20"/>
                <w:color w:val="auto"/>
              </w:rPr>
            </w:pPr>
            <w:r>
              <w:rPr>
                <w:rFonts w:ascii="Times New Roman" w:cs="Times New Roman" w:eastAsia="Times New Roman" w:hAnsi="Times New Roman"/>
                <w:sz w:val="13"/>
                <w:szCs w:val="13"/>
                <w:color w:val="0000FF"/>
              </w:rPr>
              <w:t>8,362</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NVHI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include 283 shares that were acquired pursuant to the employee stock purchase plan, which acquisitions are exempt from Section 16.</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18, 2022, 2,744 restricted stock units vested and 826 shares of the Company's common stock were withheld to satisfy tax withholding obligations. The closing price on November 18, 2022 of the Company's common stock on NASDAQ was $40.02 per share.</w:t>
      </w:r>
    </w:p>
    <w:p>
      <w:pPr>
        <w:spacing w:after="0" w:line="1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18, 2019, the reporting person was granted 10,977 restricted stock units, which will vest in three installments, with 5,488 shares vesting on the second anniversary of the grant date, 2,744 sharesvesting on the third anniversary of the grant date and 2,745 shares vesting on the fourth anniversary of the grant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Jared Brandman,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11/22/2022</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2487"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2022-11-22T16:44:15Z</dcterms:created>
  <dcterms:modified xsi:type="dcterms:W3CDTF">2022-11-22T16:44:15Z</dcterms:modified>
</cp:coreProperties>
</file>