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86"/>
        <w:spacing w:after="0"/>
        <w:rPr>
          <w:sz w:val="20"/>
          <w:szCs w:val="20"/>
          <w:color w:val="auto"/>
        </w:rPr>
      </w:pPr>
      <w:r>
        <w:rPr>
          <w:rFonts w:ascii="Arial" w:cs="Arial" w:eastAsia="Arial" w:hAnsi="Arial"/>
          <w:sz w:val="25"/>
          <w:szCs w:val="25"/>
          <w:b w:val="1"/>
          <w:bCs w:val="1"/>
          <w:color w:val="auto"/>
        </w:rPr>
        <w:t>UNITED STATES</w:t>
      </w:r>
    </w:p>
    <w:p>
      <w:pPr>
        <w:jc w:val="center"/>
        <w:ind w:right="-186"/>
        <w:spacing w:after="0" w:line="229"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124460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11" w:lineRule="exact"/>
        <w:rPr>
          <w:sz w:val="24"/>
          <w:szCs w:val="24"/>
          <w:color w:val="auto"/>
        </w:rPr>
      </w:pPr>
    </w:p>
    <w:p>
      <w:pPr>
        <w:jc w:val="center"/>
        <w:ind w:right="-186"/>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1"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Securities Exchange Act of 1934</w:t>
      </w:r>
    </w:p>
    <w:p>
      <w:pPr>
        <w:jc w:val="center"/>
        <w:ind w:right="-186"/>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125095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19" w:lineRule="exact"/>
        <w:rPr>
          <w:sz w:val="24"/>
          <w:szCs w:val="24"/>
          <w:color w:val="auto"/>
        </w:rPr>
      </w:pPr>
    </w:p>
    <w:p>
      <w:pPr>
        <w:ind w:left="7"/>
        <w:spacing w:after="0" w:line="207" w:lineRule="exact"/>
        <w:tabs>
          <w:tab w:leader="none" w:pos="2186"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163"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7" w:right="3140" w:hanging="3"/>
        <w:spacing w:after="0" w:line="247" w:lineRule="exact"/>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87" w:hanging="383"/>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71" w:lineRule="exact"/>
        <w:rPr>
          <w:sz w:val="24"/>
          <w:szCs w:val="24"/>
          <w:color w:val="auto"/>
        </w:rPr>
      </w:pPr>
    </w:p>
    <w:p>
      <w:pPr>
        <w:jc w:val="center"/>
        <w:ind w:right="-186"/>
        <w:spacing w:after="0"/>
        <w:rPr>
          <w:sz w:val="20"/>
          <w:szCs w:val="20"/>
          <w:color w:val="auto"/>
        </w:rPr>
      </w:pPr>
      <w:r>
        <w:rPr>
          <w:rFonts w:ascii="Arial" w:cs="Arial" w:eastAsia="Arial" w:hAnsi="Arial"/>
          <w:sz w:val="43"/>
          <w:szCs w:val="43"/>
          <w:b w:val="1"/>
          <w:bCs w:val="1"/>
          <w:color w:val="auto"/>
        </w:rPr>
        <w:t>NATIONAL VISION HOLDINGS, INC.</w:t>
      </w:r>
    </w:p>
    <w:p>
      <w:pPr>
        <w:jc w:val="center"/>
        <w:ind w:right="-186"/>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2" w:lineRule="exact"/>
        <w:rPr>
          <w:sz w:val="24"/>
          <w:szCs w:val="24"/>
          <w:color w:val="auto"/>
        </w:rPr>
      </w:pPr>
    </w:p>
    <w:p>
      <w:pPr>
        <w:ind w:left="2007"/>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87" w:hanging="383"/>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07" w:right="320" w:hanging="429"/>
        <w:spacing w:after="0" w:line="277" w:lineRule="auto"/>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387" w:hanging="383"/>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387" w:hanging="383"/>
        <w:spacing w:after="0" w:line="264" w:lineRule="auto"/>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-3552190</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-3234690</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-2780030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-2463165</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-2145665</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-782320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-464820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-147320</wp:posOffset>
            </wp:positionV>
            <wp:extent cx="559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169545</wp:posOffset>
            </wp:positionV>
            <wp:extent cx="5591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186690</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60718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537845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8" w:right="1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6" w:lineRule="exact"/>
        <w:rPr>
          <w:sz w:val="20"/>
          <w:szCs w:val="20"/>
          <w:color w:val="auto"/>
        </w:rPr>
      </w:pPr>
    </w:p>
    <w:p>
      <w:pPr>
        <w:jc w:val="right"/>
        <w:ind w:right="719"/>
        <w:spacing w:after="0"/>
        <w:rPr>
          <w:sz w:val="20"/>
          <w:szCs w:val="20"/>
          <w:color w:val="auto"/>
        </w:rPr>
      </w:pPr>
      <w:r>
        <w:rPr>
          <w:rFonts w:ascii="Arial" w:cs="Arial" w:eastAsia="Arial" w:hAnsi="Arial"/>
          <w:sz w:val="54"/>
          <w:szCs w:val="54"/>
          <w:b w:val="1"/>
          <w:bCs w:val="1"/>
          <w:color w:val="1F3C7B"/>
        </w:rPr>
        <w:t>National Vision Holdings, Inc.</w:t>
      </w:r>
    </w:p>
    <w:p>
      <w:pPr>
        <w:spacing w:after="0" w:line="200" w:lineRule="exact"/>
        <w:rPr>
          <w:sz w:val="20"/>
          <w:szCs w:val="20"/>
          <w:color w:val="auto"/>
        </w:rPr>
      </w:pPr>
    </w:p>
    <w:p>
      <w:pPr>
        <w:spacing w:after="0" w:line="396" w:lineRule="exact"/>
        <w:rPr>
          <w:sz w:val="20"/>
          <w:szCs w:val="20"/>
          <w:color w:val="auto"/>
        </w:rPr>
      </w:pPr>
    </w:p>
    <w:p>
      <w:pPr>
        <w:jc w:val="center"/>
        <w:ind w:right="-260"/>
        <w:spacing w:after="0"/>
        <w:rPr>
          <w:sz w:val="20"/>
          <w:szCs w:val="20"/>
          <w:color w:val="auto"/>
        </w:rPr>
      </w:pPr>
      <w:r>
        <w:rPr>
          <w:rFonts w:ascii="Arial" w:cs="Arial" w:eastAsia="Arial" w:hAnsi="Arial"/>
          <w:sz w:val="36"/>
          <w:szCs w:val="36"/>
          <w:color w:val="1F3C7B"/>
        </w:rPr>
        <w:t>2018 Proxy Statement</w:t>
      </w:r>
    </w:p>
    <w:p>
      <w:pPr>
        <w:spacing w:after="0" w:line="5" w:lineRule="exact"/>
        <w:rPr>
          <w:sz w:val="20"/>
          <w:szCs w:val="20"/>
          <w:color w:val="auto"/>
        </w:rPr>
      </w:pPr>
    </w:p>
    <w:p>
      <w:pPr>
        <w:jc w:val="center"/>
        <w:ind w:right="-260"/>
        <w:spacing w:after="0"/>
        <w:rPr>
          <w:sz w:val="20"/>
          <w:szCs w:val="20"/>
          <w:color w:val="auto"/>
        </w:rPr>
      </w:pPr>
      <w:r>
        <w:rPr>
          <w:rFonts w:ascii="Arial" w:cs="Arial" w:eastAsia="Arial" w:hAnsi="Arial"/>
          <w:sz w:val="36"/>
          <w:szCs w:val="36"/>
          <w:color w:val="1F3C7B"/>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1376045</wp:posOffset>
            </wp:positionV>
            <wp:extent cx="3018790" cy="2306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1879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60"/>
        <w:spacing w:after="0"/>
        <w:rPr>
          <w:sz w:val="20"/>
          <w:szCs w:val="20"/>
          <w:color w:val="auto"/>
        </w:rPr>
      </w:pPr>
      <w:r>
        <w:rPr>
          <w:rFonts w:ascii="Arial" w:cs="Arial" w:eastAsia="Arial" w:hAnsi="Arial"/>
          <w:sz w:val="36"/>
          <w:szCs w:val="36"/>
          <w:color w:val="1F3C7B"/>
        </w:rPr>
        <w:t>Wednesday, June 6, 2018</w:t>
      </w:r>
    </w:p>
    <w:p>
      <w:pPr>
        <w:jc w:val="center"/>
        <w:ind w:right="-260"/>
        <w:spacing w:after="0"/>
        <w:rPr>
          <w:sz w:val="20"/>
          <w:szCs w:val="20"/>
          <w:color w:val="auto"/>
        </w:rPr>
      </w:pPr>
      <w:r>
        <w:rPr>
          <w:rFonts w:ascii="Arial" w:cs="Arial" w:eastAsia="Arial" w:hAnsi="Arial"/>
          <w:sz w:val="29"/>
          <w:szCs w:val="29"/>
          <w:color w:val="auto"/>
        </w:rPr>
        <w:t>2:00 pm, Eastern Time</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9"/>
          <w:szCs w:val="29"/>
          <w:color w:val="auto"/>
        </w:rPr>
        <w:t>Sonesta Gwinnett Place Atlanta</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9"/>
          <w:szCs w:val="29"/>
          <w:color w:val="auto"/>
        </w:rPr>
        <w:t>1775 Pleasant Hill Road</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29"/>
          <w:szCs w:val="29"/>
          <w:color w:val="auto"/>
        </w:rPr>
        <w:t>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auto"/>
        </w:rPr>
        <w:t>TABLE OF CONTENTS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0" w:type="dxa"/>
            <w:vAlign w:val="bottom"/>
            <w:gridSpan w:val="25"/>
          </w:tcPr>
          <w:p>
            <w:pPr>
              <w:spacing w:after="0"/>
              <w:rPr>
                <w:rFonts w:ascii="Arial" w:cs="Arial" w:eastAsia="Arial" w:hAnsi="Arial"/>
                <w:sz w:val="22"/>
                <w:szCs w:val="22"/>
                <w:b w:val="1"/>
                <w:bCs w:val="1"/>
                <w:color w:val="1F3C7B"/>
              </w:rPr>
            </w:pPr>
            <w:hyperlink w:anchor="page4">
              <w:r>
                <w:rPr>
                  <w:rFonts w:ascii="Arial" w:cs="Arial" w:eastAsia="Arial" w:hAnsi="Arial"/>
                  <w:sz w:val="22"/>
                  <w:szCs w:val="22"/>
                  <w:b w:val="1"/>
                  <w:bCs w:val="1"/>
                  <w:color w:val="1F3C7B"/>
                </w:rPr>
                <w:t>Letter to Stockholders from our Chairman of the Board of Directors and Chief</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940" w:type="dxa"/>
            <w:vAlign w:val="bottom"/>
            <w:tcBorders>
              <w:top w:val="single" w:sz="8" w:color="1F3C7B"/>
            </w:tcBorders>
            <w:gridSpan w:val="23"/>
          </w:tcPr>
          <w:p>
            <w:pPr>
              <w:spacing w:after="0" w:line="209" w:lineRule="exact"/>
              <w:rPr>
                <w:rFonts w:ascii="Arial" w:cs="Arial" w:eastAsia="Arial" w:hAnsi="Arial"/>
                <w:sz w:val="22"/>
                <w:szCs w:val="22"/>
                <w:b w:val="1"/>
                <w:bCs w:val="1"/>
                <w:color w:val="1F3C7B"/>
              </w:rPr>
            </w:pPr>
            <w:hyperlink w:anchor="page4">
              <w:r>
                <w:rPr>
                  <w:rFonts w:ascii="Arial" w:cs="Arial" w:eastAsia="Arial" w:hAnsi="Arial"/>
                  <w:sz w:val="22"/>
                  <w:szCs w:val="22"/>
                  <w:b w:val="1"/>
                  <w:bCs w:val="1"/>
                  <w:color w:val="1F3C7B"/>
                </w:rPr>
                <w:t>Executive Officer</w:t>
              </w:r>
            </w:hyperlink>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gridSpan w:val="5"/>
          </w:tcPr>
          <w:p>
            <w:pPr>
              <w:jc w:val="right"/>
              <w:ind w:right="28"/>
              <w:spacing w:after="0"/>
              <w:rPr>
                <w:rFonts w:ascii="Arial" w:cs="Arial" w:eastAsia="Arial" w:hAnsi="Arial"/>
                <w:sz w:val="18"/>
                <w:szCs w:val="18"/>
                <w:b w:val="1"/>
                <w:bCs w:val="1"/>
                <w:color w:val="1F3C7B"/>
              </w:rPr>
            </w:pPr>
            <w:hyperlink w:anchor="page4">
              <w:r>
                <w:rPr>
                  <w:rFonts w:ascii="Arial" w:cs="Arial" w:eastAsia="Arial" w:hAnsi="Arial"/>
                  <w:sz w:val="18"/>
                  <w:szCs w:val="18"/>
                  <w:b w:val="1"/>
                  <w:bCs w:val="1"/>
                  <w:color w:val="1F3C7B"/>
                </w:rPr>
                <w:t>1</w:t>
              </w:r>
            </w:hyperlink>
          </w:p>
        </w:tc>
      </w:tr>
      <w:tr>
        <w:trPr>
          <w:trHeight w:val="20"/>
        </w:trPr>
        <w:tc>
          <w:tcPr>
            <w:tcW w:w="360" w:type="dxa"/>
            <w:vAlign w:val="bottom"/>
            <w:tcBorders>
              <w:top w:val="single" w:sz="8" w:color="1F3C7B"/>
              <w:bottom w:val="single" w:sz="8" w:color="auto"/>
            </w:tcBorders>
          </w:tcPr>
          <w:p>
            <w:pPr>
              <w:spacing w:after="0" w:line="20" w:lineRule="exact"/>
              <w:rPr>
                <w:sz w:val="1"/>
                <w:szCs w:val="1"/>
                <w:color w:val="auto"/>
              </w:rPr>
            </w:pPr>
          </w:p>
        </w:tc>
        <w:tc>
          <w:tcPr>
            <w:tcW w:w="1100" w:type="dxa"/>
            <w:vAlign w:val="bottom"/>
            <w:tcBorders>
              <w:top w:val="single" w:sz="8" w:color="1F3C7B"/>
              <w:bottom w:val="single" w:sz="8" w:color="auto"/>
            </w:tcBorders>
          </w:tcPr>
          <w:p>
            <w:pPr>
              <w:spacing w:after="0" w:line="20" w:lineRule="exact"/>
              <w:rPr>
                <w:sz w:val="1"/>
                <w:szCs w:val="1"/>
                <w:color w:val="auto"/>
              </w:rPr>
            </w:pPr>
          </w:p>
        </w:tc>
        <w:tc>
          <w:tcPr>
            <w:tcW w:w="240" w:type="dxa"/>
            <w:vAlign w:val="bottom"/>
            <w:tcBorders>
              <w:top w:val="single" w:sz="8" w:color="1F3C7B"/>
              <w:bottom w:val="single" w:sz="8" w:color="auto"/>
            </w:tcBorders>
          </w:tcPr>
          <w:p>
            <w:pPr>
              <w:spacing w:after="0" w:line="20" w:lineRule="exact"/>
              <w:rPr>
                <w:sz w:val="1"/>
                <w:szCs w:val="1"/>
                <w:color w:val="auto"/>
              </w:rPr>
            </w:pPr>
          </w:p>
        </w:tc>
        <w:tc>
          <w:tcPr>
            <w:tcW w:w="60" w:type="dxa"/>
            <w:vAlign w:val="bottom"/>
            <w:tcBorders>
              <w:top w:val="single" w:sz="8" w:color="1F3C7B"/>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86"/>
        </w:trPr>
        <w:tc>
          <w:tcPr>
            <w:tcW w:w="9200" w:type="dxa"/>
            <w:vAlign w:val="bottom"/>
            <w:gridSpan w:val="25"/>
          </w:tcPr>
          <w:p>
            <w:pPr>
              <w:spacing w:after="0"/>
              <w:rPr>
                <w:rFonts w:ascii="Arial" w:cs="Arial" w:eastAsia="Arial" w:hAnsi="Arial"/>
                <w:sz w:val="22"/>
                <w:szCs w:val="22"/>
                <w:b w:val="1"/>
                <w:bCs w:val="1"/>
                <w:color w:val="1F3C7B"/>
              </w:rPr>
            </w:pPr>
            <w:hyperlink w:anchor="page5">
              <w:r>
                <w:rPr>
                  <w:rFonts w:ascii="Arial" w:cs="Arial" w:eastAsia="Arial" w:hAnsi="Arial"/>
                  <w:sz w:val="22"/>
                  <w:szCs w:val="22"/>
                  <w:b w:val="1"/>
                  <w:bCs w:val="1"/>
                  <w:color w:val="1F3C7B"/>
                </w:rPr>
                <w:t>Notice of Annual Meeting of Stockholders</w:t>
              </w:r>
            </w:hyperlink>
          </w:p>
        </w:tc>
        <w:tc>
          <w:tcPr>
            <w:tcW w:w="360" w:type="dxa"/>
            <w:vAlign w:val="bottom"/>
            <w:gridSpan w:val="5"/>
          </w:tcPr>
          <w:p>
            <w:pPr>
              <w:jc w:val="right"/>
              <w:ind w:right="28"/>
              <w:spacing w:after="0"/>
              <w:rPr>
                <w:sz w:val="20"/>
                <w:szCs w:val="20"/>
                <w:color w:val="auto"/>
              </w:rPr>
            </w:pPr>
            <w:r>
              <w:rPr>
                <w:rFonts w:ascii="Arial" w:cs="Arial" w:eastAsia="Arial" w:hAnsi="Arial"/>
                <w:sz w:val="18"/>
                <w:szCs w:val="18"/>
                <w:b w:val="1"/>
                <w:bCs w:val="1"/>
                <w:color w:val="1F3C7B"/>
              </w:rPr>
              <w:t>2</w:t>
            </w:r>
          </w:p>
        </w:tc>
      </w:tr>
      <w:tr>
        <w:trPr>
          <w:trHeight w:val="20"/>
        </w:trPr>
        <w:tc>
          <w:tcPr>
            <w:tcW w:w="360" w:type="dxa"/>
            <w:vAlign w:val="bottom"/>
            <w:tcBorders>
              <w:top w:val="single" w:sz="8" w:color="1F3C7B"/>
              <w:bottom w:val="single" w:sz="8" w:color="auto"/>
            </w:tcBorders>
          </w:tcPr>
          <w:p>
            <w:pPr>
              <w:spacing w:after="0" w:line="20" w:lineRule="exact"/>
              <w:rPr>
                <w:sz w:val="1"/>
                <w:szCs w:val="1"/>
                <w:color w:val="auto"/>
              </w:rPr>
            </w:pPr>
          </w:p>
        </w:tc>
        <w:tc>
          <w:tcPr>
            <w:tcW w:w="1100" w:type="dxa"/>
            <w:vAlign w:val="bottom"/>
            <w:tcBorders>
              <w:top w:val="single" w:sz="8" w:color="1F3C7B"/>
              <w:bottom w:val="single" w:sz="8" w:color="auto"/>
            </w:tcBorders>
          </w:tcPr>
          <w:p>
            <w:pPr>
              <w:spacing w:after="0" w:line="20" w:lineRule="exact"/>
              <w:rPr>
                <w:sz w:val="1"/>
                <w:szCs w:val="1"/>
                <w:color w:val="auto"/>
              </w:rPr>
            </w:pPr>
          </w:p>
        </w:tc>
        <w:tc>
          <w:tcPr>
            <w:tcW w:w="240" w:type="dxa"/>
            <w:vAlign w:val="bottom"/>
            <w:tcBorders>
              <w:top w:val="single" w:sz="8" w:color="1F3C7B"/>
              <w:bottom w:val="single" w:sz="8" w:color="auto"/>
            </w:tcBorders>
          </w:tcPr>
          <w:p>
            <w:pPr>
              <w:spacing w:after="0" w:line="20" w:lineRule="exact"/>
              <w:rPr>
                <w:sz w:val="1"/>
                <w:szCs w:val="1"/>
                <w:color w:val="auto"/>
              </w:rPr>
            </w:pPr>
          </w:p>
        </w:tc>
        <w:tc>
          <w:tcPr>
            <w:tcW w:w="60" w:type="dxa"/>
            <w:vAlign w:val="bottom"/>
            <w:tcBorders>
              <w:top w:val="single" w:sz="8" w:color="1F3C7B"/>
              <w:bottom w:val="single" w:sz="8" w:color="auto"/>
            </w:tcBorders>
          </w:tcPr>
          <w:p>
            <w:pPr>
              <w:spacing w:after="0" w:line="20" w:lineRule="exact"/>
              <w:rPr>
                <w:sz w:val="1"/>
                <w:szCs w:val="1"/>
                <w:color w:val="auto"/>
              </w:rPr>
            </w:pPr>
          </w:p>
        </w:tc>
        <w:tc>
          <w:tcPr>
            <w:tcW w:w="140" w:type="dxa"/>
            <w:vAlign w:val="bottom"/>
            <w:tcBorders>
              <w:top w:val="single" w:sz="8" w:color="1F3C7B"/>
              <w:bottom w:val="single" w:sz="8" w:color="auto"/>
            </w:tcBorders>
          </w:tcPr>
          <w:p>
            <w:pPr>
              <w:spacing w:after="0" w:line="20" w:lineRule="exact"/>
              <w:rPr>
                <w:sz w:val="1"/>
                <w:szCs w:val="1"/>
                <w:color w:val="auto"/>
              </w:rPr>
            </w:pPr>
          </w:p>
        </w:tc>
        <w:tc>
          <w:tcPr>
            <w:tcW w:w="16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20" w:type="dxa"/>
            <w:vAlign w:val="bottom"/>
            <w:tcBorders>
              <w:top w:val="single" w:sz="8" w:color="1F3C7B"/>
              <w:bottom w:val="single" w:sz="8" w:color="auto"/>
            </w:tcBorders>
          </w:tcPr>
          <w:p>
            <w:pPr>
              <w:spacing w:after="0" w:line="20" w:lineRule="exact"/>
              <w:rPr>
                <w:sz w:val="1"/>
                <w:szCs w:val="1"/>
                <w:color w:val="auto"/>
              </w:rPr>
            </w:pPr>
          </w:p>
        </w:tc>
        <w:tc>
          <w:tcPr>
            <w:tcW w:w="20" w:type="dxa"/>
            <w:vAlign w:val="bottom"/>
            <w:tcBorders>
              <w:top w:val="single" w:sz="8" w:color="1F3C7B"/>
              <w:bottom w:val="single" w:sz="8" w:color="auto"/>
            </w:tcBorders>
          </w:tcPr>
          <w:p>
            <w:pPr>
              <w:spacing w:after="0" w:line="20" w:lineRule="exact"/>
              <w:rPr>
                <w:sz w:val="1"/>
                <w:szCs w:val="1"/>
                <w:color w:val="auto"/>
              </w:rPr>
            </w:pPr>
          </w:p>
        </w:tc>
        <w:tc>
          <w:tcPr>
            <w:tcW w:w="260" w:type="dxa"/>
            <w:vAlign w:val="bottom"/>
            <w:tcBorders>
              <w:top w:val="single" w:sz="8" w:color="1F3C7B"/>
              <w:bottom w:val="single" w:sz="8" w:color="auto"/>
            </w:tcBorders>
          </w:tcPr>
          <w:p>
            <w:pPr>
              <w:spacing w:after="0" w:line="20" w:lineRule="exact"/>
              <w:rPr>
                <w:sz w:val="1"/>
                <w:szCs w:val="1"/>
                <w:color w:val="auto"/>
              </w:rPr>
            </w:pPr>
          </w:p>
        </w:tc>
        <w:tc>
          <w:tcPr>
            <w:tcW w:w="140" w:type="dxa"/>
            <w:vAlign w:val="bottom"/>
            <w:tcBorders>
              <w:top w:val="single" w:sz="8" w:color="1F3C7B"/>
              <w:bottom w:val="single" w:sz="8" w:color="auto"/>
            </w:tcBorders>
          </w:tcPr>
          <w:p>
            <w:pPr>
              <w:spacing w:after="0" w:line="20" w:lineRule="exact"/>
              <w:rPr>
                <w:sz w:val="1"/>
                <w:szCs w:val="1"/>
                <w:color w:val="auto"/>
              </w:rPr>
            </w:pPr>
          </w:p>
        </w:tc>
        <w:tc>
          <w:tcPr>
            <w:tcW w:w="180" w:type="dxa"/>
            <w:vAlign w:val="bottom"/>
            <w:tcBorders>
              <w:top w:val="single" w:sz="8" w:color="1F3C7B"/>
              <w:bottom w:val="single" w:sz="8" w:color="auto"/>
            </w:tcBorders>
          </w:tcPr>
          <w:p>
            <w:pPr>
              <w:spacing w:after="0" w:line="20" w:lineRule="exact"/>
              <w:rPr>
                <w:sz w:val="1"/>
                <w:szCs w:val="1"/>
                <w:color w:val="auto"/>
              </w:rPr>
            </w:pPr>
          </w:p>
        </w:tc>
        <w:tc>
          <w:tcPr>
            <w:tcW w:w="260" w:type="dxa"/>
            <w:vAlign w:val="bottom"/>
            <w:tcBorders>
              <w:top w:val="single" w:sz="8" w:color="1F3C7B"/>
              <w:bottom w:val="single" w:sz="8" w:color="auto"/>
            </w:tcBorders>
          </w:tcPr>
          <w:p>
            <w:pPr>
              <w:spacing w:after="0" w:line="20" w:lineRule="exact"/>
              <w:rPr>
                <w:sz w:val="1"/>
                <w:szCs w:val="1"/>
                <w:color w:val="auto"/>
              </w:rPr>
            </w:pPr>
          </w:p>
        </w:tc>
        <w:tc>
          <w:tcPr>
            <w:tcW w:w="120" w:type="dxa"/>
            <w:vAlign w:val="bottom"/>
            <w:tcBorders>
              <w:top w:val="single" w:sz="8" w:color="1F3C7B"/>
              <w:bottom w:val="single" w:sz="8" w:color="auto"/>
            </w:tcBorders>
          </w:tcPr>
          <w:p>
            <w:pPr>
              <w:spacing w:after="0" w:line="20" w:lineRule="exact"/>
              <w:rPr>
                <w:sz w:val="1"/>
                <w:szCs w:val="1"/>
                <w:color w:val="auto"/>
              </w:rPr>
            </w:pPr>
          </w:p>
        </w:tc>
        <w:tc>
          <w:tcPr>
            <w:tcW w:w="820" w:type="dxa"/>
            <w:vAlign w:val="bottom"/>
            <w:tcBorders>
              <w:top w:val="single" w:sz="8" w:color="1F3C7B"/>
              <w:bottom w:val="single" w:sz="8" w:color="auto"/>
            </w:tcBorders>
          </w:tcPr>
          <w:p>
            <w:pPr>
              <w:spacing w:after="0" w:line="20" w:lineRule="exact"/>
              <w:rPr>
                <w:sz w:val="1"/>
                <w:szCs w:val="1"/>
                <w:color w:val="auto"/>
              </w:rPr>
            </w:pPr>
          </w:p>
        </w:tc>
        <w:tc>
          <w:tcPr>
            <w:tcW w:w="220" w:type="dxa"/>
            <w:vAlign w:val="bottom"/>
            <w:tcBorders>
              <w:top w:val="single" w:sz="8" w:color="1F3C7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86"/>
        </w:trPr>
        <w:tc>
          <w:tcPr>
            <w:tcW w:w="9200" w:type="dxa"/>
            <w:vAlign w:val="bottom"/>
            <w:gridSpan w:val="25"/>
          </w:tcPr>
          <w:p>
            <w:pPr>
              <w:spacing w:after="0"/>
              <w:rPr>
                <w:rFonts w:ascii="Arial" w:cs="Arial" w:eastAsia="Arial" w:hAnsi="Arial"/>
                <w:sz w:val="22"/>
                <w:szCs w:val="22"/>
                <w:b w:val="1"/>
                <w:bCs w:val="1"/>
                <w:color w:val="1F3C7B"/>
              </w:rPr>
            </w:pPr>
            <w:hyperlink w:anchor="page6">
              <w:r>
                <w:rPr>
                  <w:rFonts w:ascii="Arial" w:cs="Arial" w:eastAsia="Arial" w:hAnsi="Arial"/>
                  <w:sz w:val="22"/>
                  <w:szCs w:val="22"/>
                  <w:b w:val="1"/>
                  <w:bCs w:val="1"/>
                  <w:color w:val="1F3C7B"/>
                </w:rPr>
                <w:t>Proxy Voting Methods</w:t>
              </w:r>
            </w:hyperlink>
          </w:p>
        </w:tc>
        <w:tc>
          <w:tcPr>
            <w:tcW w:w="360" w:type="dxa"/>
            <w:vAlign w:val="bottom"/>
            <w:gridSpan w:val="5"/>
          </w:tcPr>
          <w:p>
            <w:pPr>
              <w:jc w:val="right"/>
              <w:ind w:right="28"/>
              <w:spacing w:after="0"/>
              <w:rPr>
                <w:sz w:val="20"/>
                <w:szCs w:val="20"/>
                <w:color w:val="auto"/>
              </w:rPr>
            </w:pPr>
            <w:r>
              <w:rPr>
                <w:rFonts w:ascii="Arial" w:cs="Arial" w:eastAsia="Arial" w:hAnsi="Arial"/>
                <w:sz w:val="18"/>
                <w:szCs w:val="18"/>
                <w:b w:val="1"/>
                <w:bCs w:val="1"/>
                <w:color w:val="1F3C7B"/>
              </w:rPr>
              <w:t>3</w:t>
            </w:r>
          </w:p>
        </w:tc>
      </w:tr>
      <w:tr>
        <w:trPr>
          <w:trHeight w:val="20"/>
        </w:trPr>
        <w:tc>
          <w:tcPr>
            <w:tcW w:w="360" w:type="dxa"/>
            <w:vAlign w:val="bottom"/>
            <w:tcBorders>
              <w:top w:val="single" w:sz="8" w:color="1F3C7B"/>
              <w:bottom w:val="single" w:sz="8" w:color="auto"/>
            </w:tcBorders>
          </w:tcPr>
          <w:p>
            <w:pPr>
              <w:spacing w:after="0" w:line="20" w:lineRule="exact"/>
              <w:rPr>
                <w:sz w:val="1"/>
                <w:szCs w:val="1"/>
                <w:color w:val="auto"/>
              </w:rPr>
            </w:pPr>
          </w:p>
        </w:tc>
        <w:tc>
          <w:tcPr>
            <w:tcW w:w="1100" w:type="dxa"/>
            <w:vAlign w:val="bottom"/>
            <w:tcBorders>
              <w:top w:val="single" w:sz="8" w:color="1F3C7B"/>
              <w:bottom w:val="single" w:sz="8" w:color="auto"/>
            </w:tcBorders>
          </w:tcPr>
          <w:p>
            <w:pPr>
              <w:spacing w:after="0" w:line="20" w:lineRule="exact"/>
              <w:rPr>
                <w:sz w:val="1"/>
                <w:szCs w:val="1"/>
                <w:color w:val="auto"/>
              </w:rPr>
            </w:pPr>
          </w:p>
        </w:tc>
        <w:tc>
          <w:tcPr>
            <w:tcW w:w="240" w:type="dxa"/>
            <w:vAlign w:val="bottom"/>
            <w:tcBorders>
              <w:top w:val="single" w:sz="8" w:color="1F3C7B"/>
              <w:bottom w:val="single" w:sz="8" w:color="auto"/>
            </w:tcBorders>
          </w:tcPr>
          <w:p>
            <w:pPr>
              <w:spacing w:after="0" w:line="20" w:lineRule="exact"/>
              <w:rPr>
                <w:sz w:val="1"/>
                <w:szCs w:val="1"/>
                <w:color w:val="auto"/>
              </w:rPr>
            </w:pPr>
          </w:p>
        </w:tc>
        <w:tc>
          <w:tcPr>
            <w:tcW w:w="60" w:type="dxa"/>
            <w:vAlign w:val="bottom"/>
            <w:tcBorders>
              <w:top w:val="single" w:sz="8" w:color="1F3C7B"/>
              <w:bottom w:val="single" w:sz="8" w:color="auto"/>
            </w:tcBorders>
          </w:tcPr>
          <w:p>
            <w:pPr>
              <w:spacing w:after="0" w:line="20" w:lineRule="exact"/>
              <w:rPr>
                <w:sz w:val="1"/>
                <w:szCs w:val="1"/>
                <w:color w:val="auto"/>
              </w:rPr>
            </w:pPr>
          </w:p>
        </w:tc>
        <w:tc>
          <w:tcPr>
            <w:tcW w:w="140" w:type="dxa"/>
            <w:vAlign w:val="bottom"/>
            <w:tcBorders>
              <w:top w:val="single" w:sz="8" w:color="1F3C7B"/>
              <w:bottom w:val="single" w:sz="8" w:color="auto"/>
            </w:tcBorders>
          </w:tcPr>
          <w:p>
            <w:pPr>
              <w:spacing w:after="0" w:line="20" w:lineRule="exact"/>
              <w:rPr>
                <w:sz w:val="1"/>
                <w:szCs w:val="1"/>
                <w:color w:val="auto"/>
              </w:rPr>
            </w:pPr>
          </w:p>
        </w:tc>
        <w:tc>
          <w:tcPr>
            <w:tcW w:w="16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20" w:type="dxa"/>
            <w:vAlign w:val="bottom"/>
            <w:tcBorders>
              <w:top w:val="single" w:sz="8" w:color="1F3C7B"/>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86"/>
        </w:trPr>
        <w:tc>
          <w:tcPr>
            <w:tcW w:w="9200" w:type="dxa"/>
            <w:vAlign w:val="bottom"/>
            <w:gridSpan w:val="25"/>
          </w:tcPr>
          <w:p>
            <w:pPr>
              <w:spacing w:after="0"/>
              <w:rPr>
                <w:rFonts w:ascii="Arial" w:cs="Arial" w:eastAsia="Arial" w:hAnsi="Arial"/>
                <w:sz w:val="22"/>
                <w:szCs w:val="22"/>
                <w:b w:val="1"/>
                <w:bCs w:val="1"/>
                <w:color w:val="1F3C7B"/>
              </w:rPr>
            </w:pPr>
            <w:hyperlink w:anchor="page7">
              <w:r>
                <w:rPr>
                  <w:rFonts w:ascii="Arial" w:cs="Arial" w:eastAsia="Arial" w:hAnsi="Arial"/>
                  <w:sz w:val="22"/>
                  <w:szCs w:val="22"/>
                  <w:b w:val="1"/>
                  <w:bCs w:val="1"/>
                  <w:color w:val="1F3C7B"/>
                </w:rPr>
                <w:t>Proxy Statement</w:t>
              </w:r>
            </w:hyperlink>
          </w:p>
        </w:tc>
        <w:tc>
          <w:tcPr>
            <w:tcW w:w="360" w:type="dxa"/>
            <w:vAlign w:val="bottom"/>
            <w:gridSpan w:val="5"/>
          </w:tcPr>
          <w:p>
            <w:pPr>
              <w:jc w:val="right"/>
              <w:ind w:right="28"/>
              <w:spacing w:after="0"/>
              <w:rPr>
                <w:sz w:val="20"/>
                <w:szCs w:val="20"/>
                <w:color w:val="auto"/>
              </w:rPr>
            </w:pPr>
            <w:r>
              <w:rPr>
                <w:rFonts w:ascii="Arial" w:cs="Arial" w:eastAsia="Arial" w:hAnsi="Arial"/>
                <w:sz w:val="18"/>
                <w:szCs w:val="18"/>
                <w:b w:val="1"/>
                <w:bCs w:val="1"/>
                <w:color w:val="1F3C7B"/>
              </w:rPr>
              <w:t>4</w:t>
            </w:r>
          </w:p>
        </w:tc>
      </w:tr>
      <w:tr>
        <w:trPr>
          <w:trHeight w:val="20"/>
        </w:trPr>
        <w:tc>
          <w:tcPr>
            <w:tcW w:w="360" w:type="dxa"/>
            <w:vAlign w:val="bottom"/>
            <w:tcBorders>
              <w:top w:val="single" w:sz="8" w:color="1F3C7B"/>
              <w:bottom w:val="single" w:sz="8" w:color="auto"/>
            </w:tcBorders>
          </w:tcPr>
          <w:p>
            <w:pPr>
              <w:spacing w:after="0" w:line="20" w:lineRule="exact"/>
              <w:rPr>
                <w:sz w:val="1"/>
                <w:szCs w:val="1"/>
                <w:color w:val="auto"/>
              </w:rPr>
            </w:pPr>
          </w:p>
        </w:tc>
        <w:tc>
          <w:tcPr>
            <w:tcW w:w="1100" w:type="dxa"/>
            <w:vAlign w:val="bottom"/>
            <w:tcBorders>
              <w:top w:val="single" w:sz="8" w:color="1F3C7B"/>
              <w:bottom w:val="single" w:sz="8" w:color="auto"/>
            </w:tcBorders>
          </w:tcPr>
          <w:p>
            <w:pPr>
              <w:spacing w:after="0" w:line="20" w:lineRule="exact"/>
              <w:rPr>
                <w:sz w:val="1"/>
                <w:szCs w:val="1"/>
                <w:color w:val="auto"/>
              </w:rPr>
            </w:pPr>
          </w:p>
        </w:tc>
        <w:tc>
          <w:tcPr>
            <w:tcW w:w="240" w:type="dxa"/>
            <w:vAlign w:val="bottom"/>
            <w:tcBorders>
              <w:top w:val="single" w:sz="8" w:color="1F3C7B"/>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1F3C7B"/>
              <w:bottom w:val="single" w:sz="8" w:color="auto"/>
            </w:tcBorders>
          </w:tcPr>
          <w:p>
            <w:pPr>
              <w:spacing w:after="0" w:line="20" w:lineRule="exact"/>
              <w:rPr>
                <w:sz w:val="1"/>
                <w:szCs w:val="1"/>
                <w:color w:val="auto"/>
              </w:rPr>
            </w:pPr>
          </w:p>
        </w:tc>
        <w:tc>
          <w:tcPr>
            <w:tcW w:w="80" w:type="dxa"/>
            <w:vAlign w:val="bottom"/>
            <w:tcBorders>
              <w:top w:val="single" w:sz="8" w:color="1F3C7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3"/>
        </w:trPr>
        <w:tc>
          <w:tcPr>
            <w:tcW w:w="360" w:type="dxa"/>
            <w:vAlign w:val="bottom"/>
          </w:tcPr>
          <w:p>
            <w:pPr>
              <w:spacing w:after="0"/>
              <w:rPr>
                <w:sz w:val="14"/>
                <w:szCs w:val="14"/>
                <w:color w:val="auto"/>
              </w:rPr>
            </w:pPr>
          </w:p>
        </w:tc>
        <w:tc>
          <w:tcPr>
            <w:tcW w:w="1540" w:type="dxa"/>
            <w:vAlign w:val="bottom"/>
            <w:gridSpan w:val="4"/>
          </w:tcPr>
          <w:p>
            <w:pPr>
              <w:spacing w:after="0" w:line="163" w:lineRule="exact"/>
              <w:rPr>
                <w:rFonts w:ascii="Arial" w:cs="Arial" w:eastAsia="Arial" w:hAnsi="Arial"/>
                <w:sz w:val="16"/>
                <w:szCs w:val="16"/>
                <w:b w:val="1"/>
                <w:bCs w:val="1"/>
                <w:color w:val="1F3C7B"/>
                <w:w w:val="99"/>
              </w:rPr>
            </w:pPr>
            <w:hyperlink w:anchor="page7">
              <w:r>
                <w:rPr>
                  <w:rFonts w:ascii="Arial" w:cs="Arial" w:eastAsia="Arial" w:hAnsi="Arial"/>
                  <w:sz w:val="16"/>
                  <w:szCs w:val="16"/>
                  <w:b w:val="1"/>
                  <w:bCs w:val="1"/>
                  <w:color w:val="1F3C7B"/>
                  <w:w w:val="99"/>
                </w:rPr>
                <w:t>General Information</w:t>
              </w:r>
            </w:hyperlink>
          </w:p>
        </w:tc>
        <w:tc>
          <w:tcPr>
            <w:tcW w:w="7300" w:type="dxa"/>
            <w:vAlign w:val="bottom"/>
            <w:gridSpan w:val="20"/>
          </w:tcPr>
          <w:p>
            <w:pPr>
              <w:spacing w:after="0"/>
              <w:rPr>
                <w:sz w:val="14"/>
                <w:szCs w:val="14"/>
                <w:color w:val="auto"/>
              </w:rPr>
            </w:pPr>
          </w:p>
        </w:tc>
        <w:tc>
          <w:tcPr>
            <w:tcW w:w="360" w:type="dxa"/>
            <w:vAlign w:val="bottom"/>
            <w:gridSpan w:val="5"/>
          </w:tcPr>
          <w:p>
            <w:pPr>
              <w:jc w:val="right"/>
              <w:ind w:right="28"/>
              <w:spacing w:after="0" w:line="163" w:lineRule="exact"/>
              <w:rPr>
                <w:rFonts w:ascii="Arial" w:cs="Arial" w:eastAsia="Arial" w:hAnsi="Arial"/>
                <w:sz w:val="16"/>
                <w:szCs w:val="16"/>
                <w:color w:val="auto"/>
              </w:rPr>
            </w:pPr>
            <w:hyperlink w:anchor="page7">
              <w:r>
                <w:rPr>
                  <w:rFonts w:ascii="Arial" w:cs="Arial" w:eastAsia="Arial" w:hAnsi="Arial"/>
                  <w:sz w:val="16"/>
                  <w:szCs w:val="16"/>
                  <w:color w:val="auto"/>
                </w:rPr>
                <w:t>4</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440" w:type="dxa"/>
            <w:vAlign w:val="bottom"/>
            <w:gridSpan w:val="3"/>
            <w:shd w:val="clear" w:color="auto" w:fill="1F3C7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gridSpan w:val="13"/>
          </w:tcPr>
          <w:p>
            <w:pPr>
              <w:spacing w:after="0"/>
              <w:rPr>
                <w:rFonts w:ascii="Arial" w:cs="Arial" w:eastAsia="Arial" w:hAnsi="Arial"/>
                <w:sz w:val="16"/>
                <w:szCs w:val="16"/>
                <w:b w:val="1"/>
                <w:bCs w:val="1"/>
                <w:color w:val="1F3C7B"/>
              </w:rPr>
            </w:pPr>
            <w:hyperlink w:anchor="page12">
              <w:r>
                <w:rPr>
                  <w:rFonts w:ascii="Arial" w:cs="Arial" w:eastAsia="Arial" w:hAnsi="Arial"/>
                  <w:sz w:val="16"/>
                  <w:szCs w:val="16"/>
                  <w:b w:val="1"/>
                  <w:bCs w:val="1"/>
                  <w:color w:val="1F3C7B"/>
                </w:rPr>
                <w:t>Proposal No. 1—Election of Directors</w:t>
              </w:r>
            </w:hyperlink>
          </w:p>
        </w:tc>
        <w:tc>
          <w:tcPr>
            <w:tcW w:w="5960" w:type="dxa"/>
            <w:vAlign w:val="bottom"/>
            <w:gridSpan w:val="11"/>
          </w:tcPr>
          <w:p>
            <w:pPr>
              <w:spacing w:after="0"/>
              <w:rPr>
                <w:sz w:val="17"/>
                <w:szCs w:val="17"/>
                <w:color w:val="auto"/>
              </w:rPr>
            </w:pPr>
          </w:p>
        </w:tc>
        <w:tc>
          <w:tcPr>
            <w:tcW w:w="360" w:type="dxa"/>
            <w:vAlign w:val="bottom"/>
            <w:gridSpan w:val="5"/>
          </w:tcPr>
          <w:p>
            <w:pPr>
              <w:jc w:val="right"/>
              <w:ind w:right="28"/>
              <w:spacing w:after="0"/>
              <w:rPr>
                <w:rFonts w:ascii="Arial" w:cs="Arial" w:eastAsia="Arial" w:hAnsi="Arial"/>
                <w:sz w:val="16"/>
                <w:szCs w:val="16"/>
                <w:color w:val="auto"/>
              </w:rPr>
            </w:pPr>
            <w:hyperlink w:anchor="page12">
              <w:r>
                <w:rPr>
                  <w:rFonts w:ascii="Arial" w:cs="Arial" w:eastAsia="Arial" w:hAnsi="Arial"/>
                  <w:sz w:val="16"/>
                  <w:szCs w:val="16"/>
                  <w:color w:val="auto"/>
                </w:rPr>
                <w:t>9</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600" w:type="dxa"/>
            <w:vAlign w:val="bottom"/>
            <w:gridSpan w:val="4"/>
            <w:shd w:val="clear" w:color="auto" w:fill="1F3C7B"/>
          </w:tcPr>
          <w:p>
            <w:pPr>
              <w:spacing w:after="0" w:line="20" w:lineRule="exact"/>
              <w:rPr>
                <w:sz w:val="1"/>
                <w:szCs w:val="1"/>
                <w:color w:val="auto"/>
              </w:rPr>
            </w:pPr>
          </w:p>
        </w:tc>
        <w:tc>
          <w:tcPr>
            <w:tcW w:w="80" w:type="dxa"/>
            <w:vAlign w:val="bottom"/>
            <w:shd w:val="clear" w:color="auto" w:fill="1F3C7B"/>
          </w:tcPr>
          <w:p>
            <w:pPr>
              <w:spacing w:after="0" w:line="20" w:lineRule="exact"/>
              <w:rPr>
                <w:sz w:val="1"/>
                <w:szCs w:val="1"/>
                <w:color w:val="auto"/>
              </w:rPr>
            </w:pPr>
          </w:p>
        </w:tc>
        <w:tc>
          <w:tcPr>
            <w:tcW w:w="140" w:type="dxa"/>
            <w:vAlign w:val="bottom"/>
            <w:gridSpan w:val="2"/>
            <w:shd w:val="clear" w:color="auto" w:fill="1F3C7B"/>
          </w:tcPr>
          <w:p>
            <w:pPr>
              <w:spacing w:after="0" w:line="20" w:lineRule="exact"/>
              <w:rPr>
                <w:sz w:val="1"/>
                <w:szCs w:val="1"/>
                <w:color w:val="auto"/>
              </w:rPr>
            </w:pPr>
          </w:p>
        </w:tc>
        <w:tc>
          <w:tcPr>
            <w:tcW w:w="260" w:type="dxa"/>
            <w:vAlign w:val="bottom"/>
            <w:shd w:val="clear" w:color="auto" w:fill="1F3C7B"/>
          </w:tcPr>
          <w:p>
            <w:pPr>
              <w:spacing w:after="0" w:line="20" w:lineRule="exact"/>
              <w:rPr>
                <w:sz w:val="1"/>
                <w:szCs w:val="1"/>
                <w:color w:val="auto"/>
              </w:rPr>
            </w:pPr>
          </w:p>
        </w:tc>
        <w:tc>
          <w:tcPr>
            <w:tcW w:w="140" w:type="dxa"/>
            <w:vAlign w:val="bottom"/>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260" w:type="dxa"/>
            <w:vAlign w:val="bottom"/>
            <w:shd w:val="clear" w:color="auto" w:fill="1F3C7B"/>
          </w:tcPr>
          <w:p>
            <w:pPr>
              <w:spacing w:after="0" w:line="20" w:lineRule="exact"/>
              <w:rPr>
                <w:sz w:val="1"/>
                <w:szCs w:val="1"/>
                <w:color w:val="auto"/>
              </w:rPr>
            </w:pPr>
          </w:p>
        </w:tc>
        <w:tc>
          <w:tcPr>
            <w:tcW w:w="120" w:type="dxa"/>
            <w:vAlign w:val="bottom"/>
            <w:shd w:val="clear" w:color="auto" w:fill="1F3C7B"/>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20" w:type="dxa"/>
            <w:vAlign w:val="bottom"/>
            <w:gridSpan w:val="16"/>
          </w:tcPr>
          <w:p>
            <w:pPr>
              <w:spacing w:after="0"/>
              <w:rPr>
                <w:rFonts w:ascii="Arial" w:cs="Arial" w:eastAsia="Arial" w:hAnsi="Arial"/>
                <w:sz w:val="16"/>
                <w:szCs w:val="16"/>
                <w:color w:val="auto"/>
              </w:rPr>
            </w:pPr>
            <w:hyperlink w:anchor="page14">
              <w:r>
                <w:rPr>
                  <w:rFonts w:ascii="Arial" w:cs="Arial" w:eastAsia="Arial" w:hAnsi="Arial"/>
                  <w:sz w:val="16"/>
                  <w:szCs w:val="16"/>
                  <w:color w:val="auto"/>
                </w:rPr>
                <w:t>The Board of Directors and Certain Governance Matters</w:t>
              </w:r>
            </w:hyperlink>
          </w:p>
        </w:tc>
        <w:tc>
          <w:tcPr>
            <w:tcW w:w="48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14">
              <w:r>
                <w:rPr>
                  <w:rFonts w:ascii="Arial" w:cs="Arial" w:eastAsia="Arial" w:hAnsi="Arial"/>
                  <w:sz w:val="16"/>
                  <w:szCs w:val="16"/>
                  <w:color w:val="auto"/>
                  <w:w w:val="89"/>
                </w:rPr>
                <w:t>11</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gridSpan w:val="8"/>
          </w:tcPr>
          <w:p>
            <w:pPr>
              <w:spacing w:after="0"/>
              <w:rPr>
                <w:rFonts w:ascii="Arial" w:cs="Arial" w:eastAsia="Arial" w:hAnsi="Arial"/>
                <w:sz w:val="16"/>
                <w:szCs w:val="16"/>
                <w:color w:val="auto"/>
              </w:rPr>
            </w:pPr>
            <w:hyperlink w:anchor="page19">
              <w:r>
                <w:rPr>
                  <w:rFonts w:ascii="Arial" w:cs="Arial" w:eastAsia="Arial" w:hAnsi="Arial"/>
                  <w:sz w:val="16"/>
                  <w:szCs w:val="16"/>
                  <w:color w:val="auto"/>
                </w:rPr>
                <w:t>Compensation of Directors</w:t>
              </w:r>
            </w:hyperlink>
          </w:p>
        </w:tc>
        <w:tc>
          <w:tcPr>
            <w:tcW w:w="2100" w:type="dxa"/>
            <w:vAlign w:val="bottom"/>
            <w:gridSpan w:val="8"/>
          </w:tcPr>
          <w:p>
            <w:pPr>
              <w:spacing w:after="0"/>
              <w:rPr>
                <w:sz w:val="17"/>
                <w:szCs w:val="17"/>
                <w:color w:val="auto"/>
              </w:rPr>
            </w:pPr>
          </w:p>
        </w:tc>
        <w:tc>
          <w:tcPr>
            <w:tcW w:w="48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16</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40" w:type="dxa"/>
            <w:vAlign w:val="bottom"/>
            <w:gridSpan w:val="24"/>
          </w:tcPr>
          <w:p>
            <w:pPr>
              <w:spacing w:after="0"/>
              <w:rPr>
                <w:rFonts w:ascii="Arial" w:cs="Arial" w:eastAsia="Arial" w:hAnsi="Arial"/>
                <w:sz w:val="16"/>
                <w:szCs w:val="16"/>
                <w:b w:val="1"/>
                <w:bCs w:val="1"/>
                <w:color w:val="1F3C7B"/>
              </w:rPr>
            </w:pPr>
            <w:hyperlink w:anchor="page20">
              <w:r>
                <w:rPr>
                  <w:rFonts w:ascii="Arial" w:cs="Arial" w:eastAsia="Arial" w:hAnsi="Arial"/>
                  <w:sz w:val="16"/>
                  <w:szCs w:val="16"/>
                  <w:b w:val="1"/>
                  <w:bCs w:val="1"/>
                  <w:color w:val="1F3C7B"/>
                </w:rPr>
                <w:t>Proposal No. 2—Ratification of Independent Registered Public Accounting Firm</w:t>
              </w:r>
            </w:hyperlink>
          </w:p>
        </w:tc>
        <w:tc>
          <w:tcPr>
            <w:tcW w:w="360" w:type="dxa"/>
            <w:vAlign w:val="bottom"/>
            <w:gridSpan w:val="5"/>
          </w:tcPr>
          <w:p>
            <w:pPr>
              <w:jc w:val="right"/>
              <w:ind w:right="28"/>
              <w:spacing w:after="0"/>
              <w:rPr>
                <w:rFonts w:ascii="Arial" w:cs="Arial" w:eastAsia="Arial" w:hAnsi="Arial"/>
                <w:sz w:val="16"/>
                <w:szCs w:val="16"/>
                <w:color w:val="auto"/>
              </w:rPr>
            </w:pPr>
            <w:hyperlink w:anchor="page20">
              <w:r>
                <w:rPr>
                  <w:rFonts w:ascii="Arial" w:cs="Arial" w:eastAsia="Arial" w:hAnsi="Arial"/>
                  <w:sz w:val="16"/>
                  <w:szCs w:val="16"/>
                  <w:color w:val="auto"/>
                </w:rPr>
                <w:t>17</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600" w:type="dxa"/>
            <w:vAlign w:val="bottom"/>
            <w:gridSpan w:val="4"/>
            <w:shd w:val="clear" w:color="auto" w:fill="1F3C7B"/>
          </w:tcPr>
          <w:p>
            <w:pPr>
              <w:spacing w:after="0" w:line="20" w:lineRule="exact"/>
              <w:rPr>
                <w:sz w:val="1"/>
                <w:szCs w:val="1"/>
                <w:color w:val="auto"/>
              </w:rPr>
            </w:pPr>
          </w:p>
        </w:tc>
        <w:tc>
          <w:tcPr>
            <w:tcW w:w="80" w:type="dxa"/>
            <w:vAlign w:val="bottom"/>
            <w:shd w:val="clear" w:color="auto" w:fill="1F3C7B"/>
          </w:tcPr>
          <w:p>
            <w:pPr>
              <w:spacing w:after="0" w:line="20" w:lineRule="exact"/>
              <w:rPr>
                <w:sz w:val="1"/>
                <w:szCs w:val="1"/>
                <w:color w:val="auto"/>
              </w:rPr>
            </w:pPr>
          </w:p>
        </w:tc>
        <w:tc>
          <w:tcPr>
            <w:tcW w:w="400" w:type="dxa"/>
            <w:vAlign w:val="bottom"/>
            <w:gridSpan w:val="3"/>
            <w:shd w:val="clear" w:color="auto" w:fill="1F3C7B"/>
          </w:tcPr>
          <w:p>
            <w:pPr>
              <w:spacing w:after="0" w:line="20" w:lineRule="exact"/>
              <w:rPr>
                <w:sz w:val="1"/>
                <w:szCs w:val="1"/>
                <w:color w:val="auto"/>
              </w:rPr>
            </w:pPr>
          </w:p>
        </w:tc>
        <w:tc>
          <w:tcPr>
            <w:tcW w:w="140" w:type="dxa"/>
            <w:vAlign w:val="bottom"/>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260" w:type="dxa"/>
            <w:vAlign w:val="bottom"/>
            <w:shd w:val="clear" w:color="auto" w:fill="1F3C7B"/>
          </w:tcPr>
          <w:p>
            <w:pPr>
              <w:spacing w:after="0" w:line="20" w:lineRule="exact"/>
              <w:rPr>
                <w:sz w:val="1"/>
                <w:szCs w:val="1"/>
                <w:color w:val="auto"/>
              </w:rPr>
            </w:pPr>
          </w:p>
        </w:tc>
        <w:tc>
          <w:tcPr>
            <w:tcW w:w="940" w:type="dxa"/>
            <w:vAlign w:val="bottom"/>
            <w:gridSpan w:val="2"/>
            <w:shd w:val="clear" w:color="auto" w:fill="1F3C7B"/>
          </w:tcPr>
          <w:p>
            <w:pPr>
              <w:spacing w:after="0" w:line="20" w:lineRule="exact"/>
              <w:rPr>
                <w:sz w:val="1"/>
                <w:szCs w:val="1"/>
                <w:color w:val="auto"/>
              </w:rPr>
            </w:pPr>
          </w:p>
        </w:tc>
        <w:tc>
          <w:tcPr>
            <w:tcW w:w="480" w:type="dxa"/>
            <w:vAlign w:val="bottom"/>
            <w:gridSpan w:val="3"/>
            <w:shd w:val="clear" w:color="auto" w:fill="1F3C7B"/>
          </w:tcPr>
          <w:p>
            <w:pPr>
              <w:spacing w:after="0" w:line="20" w:lineRule="exact"/>
              <w:rPr>
                <w:sz w:val="1"/>
                <w:szCs w:val="1"/>
                <w:color w:val="auto"/>
              </w:rPr>
            </w:pPr>
          </w:p>
        </w:tc>
        <w:tc>
          <w:tcPr>
            <w:tcW w:w="680" w:type="dxa"/>
            <w:vAlign w:val="bottom"/>
            <w:shd w:val="clear" w:color="auto" w:fill="1F3C7B"/>
          </w:tcPr>
          <w:p>
            <w:pPr>
              <w:spacing w:after="0" w:line="20" w:lineRule="exact"/>
              <w:rPr>
                <w:sz w:val="1"/>
                <w:szCs w:val="1"/>
                <w:color w:val="auto"/>
              </w:rPr>
            </w:pPr>
          </w:p>
        </w:tc>
        <w:tc>
          <w:tcPr>
            <w:tcW w:w="1080" w:type="dxa"/>
            <w:vAlign w:val="bottom"/>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80" w:type="dxa"/>
            <w:vAlign w:val="bottom"/>
            <w:gridSpan w:val="9"/>
          </w:tcPr>
          <w:p>
            <w:pPr>
              <w:spacing w:after="0"/>
              <w:rPr>
                <w:rFonts w:ascii="Arial" w:cs="Arial" w:eastAsia="Arial" w:hAnsi="Arial"/>
                <w:sz w:val="16"/>
                <w:szCs w:val="16"/>
                <w:color w:val="auto"/>
              </w:rPr>
            </w:pPr>
            <w:hyperlink w:anchor="page21">
              <w:r>
                <w:rPr>
                  <w:rFonts w:ascii="Arial" w:cs="Arial" w:eastAsia="Arial" w:hAnsi="Arial"/>
                  <w:sz w:val="16"/>
                  <w:szCs w:val="16"/>
                  <w:color w:val="auto"/>
                </w:rPr>
                <w:t>Report of the Audit Committee</w:t>
              </w:r>
            </w:hyperlink>
          </w:p>
        </w:tc>
        <w:tc>
          <w:tcPr>
            <w:tcW w:w="3940" w:type="dxa"/>
            <w:vAlign w:val="bottom"/>
            <w:gridSpan w:val="11"/>
          </w:tcPr>
          <w:p>
            <w:pPr>
              <w:spacing w:after="0"/>
              <w:rPr>
                <w:sz w:val="17"/>
                <w:szCs w:val="17"/>
                <w:color w:val="auto"/>
              </w:rPr>
            </w:pPr>
          </w:p>
        </w:tc>
        <w:tc>
          <w:tcPr>
            <w:tcW w:w="27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21">
              <w:r>
                <w:rPr>
                  <w:rFonts w:ascii="Arial" w:cs="Arial" w:eastAsia="Arial" w:hAnsi="Arial"/>
                  <w:sz w:val="16"/>
                  <w:szCs w:val="16"/>
                  <w:color w:val="auto"/>
                  <w:w w:val="89"/>
                </w:rPr>
                <w:t>18</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40" w:type="dxa"/>
            <w:vAlign w:val="bottom"/>
            <w:gridSpan w:val="24"/>
          </w:tcPr>
          <w:p>
            <w:pPr>
              <w:spacing w:after="0"/>
              <w:rPr>
                <w:rFonts w:ascii="Arial" w:cs="Arial" w:eastAsia="Arial" w:hAnsi="Arial"/>
                <w:sz w:val="16"/>
                <w:szCs w:val="16"/>
                <w:b w:val="1"/>
                <w:bCs w:val="1"/>
                <w:color w:val="1F3C7B"/>
              </w:rPr>
            </w:pPr>
            <w:hyperlink w:anchor="page22">
              <w:r>
                <w:rPr>
                  <w:rFonts w:ascii="Arial" w:cs="Arial" w:eastAsia="Arial" w:hAnsi="Arial"/>
                  <w:sz w:val="16"/>
                  <w:szCs w:val="16"/>
                  <w:b w:val="1"/>
                  <w:bCs w:val="1"/>
                  <w:color w:val="1F3C7B"/>
                </w:rPr>
                <w:t>Proposal No. 3—Non-Binding Vote on Executive Compensation</w:t>
              </w:r>
            </w:hyperlink>
          </w:p>
        </w:tc>
        <w:tc>
          <w:tcPr>
            <w:tcW w:w="360" w:type="dxa"/>
            <w:vAlign w:val="bottom"/>
            <w:gridSpan w:val="5"/>
          </w:tcPr>
          <w:p>
            <w:pPr>
              <w:jc w:val="right"/>
              <w:ind w:right="28"/>
              <w:spacing w:after="0"/>
              <w:rPr>
                <w:rFonts w:ascii="Arial" w:cs="Arial" w:eastAsia="Arial" w:hAnsi="Arial"/>
                <w:sz w:val="16"/>
                <w:szCs w:val="16"/>
                <w:color w:val="auto"/>
              </w:rPr>
            </w:pPr>
            <w:hyperlink w:anchor="page22">
              <w:r>
                <w:rPr>
                  <w:rFonts w:ascii="Arial" w:cs="Arial" w:eastAsia="Arial" w:hAnsi="Arial"/>
                  <w:sz w:val="16"/>
                  <w:szCs w:val="16"/>
                  <w:color w:val="auto"/>
                </w:rPr>
                <w:t>19</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600" w:type="dxa"/>
            <w:vAlign w:val="bottom"/>
            <w:gridSpan w:val="4"/>
            <w:shd w:val="clear" w:color="auto" w:fill="1F3C7B"/>
          </w:tcPr>
          <w:p>
            <w:pPr>
              <w:spacing w:after="0" w:line="20" w:lineRule="exact"/>
              <w:rPr>
                <w:sz w:val="1"/>
                <w:szCs w:val="1"/>
                <w:color w:val="auto"/>
              </w:rPr>
            </w:pPr>
          </w:p>
        </w:tc>
        <w:tc>
          <w:tcPr>
            <w:tcW w:w="80" w:type="dxa"/>
            <w:vAlign w:val="bottom"/>
            <w:shd w:val="clear" w:color="auto" w:fill="1F3C7B"/>
          </w:tcPr>
          <w:p>
            <w:pPr>
              <w:spacing w:after="0" w:line="20" w:lineRule="exact"/>
              <w:rPr>
                <w:sz w:val="1"/>
                <w:szCs w:val="1"/>
                <w:color w:val="auto"/>
              </w:rPr>
            </w:pPr>
          </w:p>
        </w:tc>
        <w:tc>
          <w:tcPr>
            <w:tcW w:w="540" w:type="dxa"/>
            <w:vAlign w:val="bottom"/>
            <w:gridSpan w:val="4"/>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260" w:type="dxa"/>
            <w:vAlign w:val="bottom"/>
            <w:shd w:val="clear" w:color="auto" w:fill="1F3C7B"/>
          </w:tcPr>
          <w:p>
            <w:pPr>
              <w:spacing w:after="0" w:line="20" w:lineRule="exact"/>
              <w:rPr>
                <w:sz w:val="1"/>
                <w:szCs w:val="1"/>
                <w:color w:val="auto"/>
              </w:rPr>
            </w:pPr>
          </w:p>
        </w:tc>
        <w:tc>
          <w:tcPr>
            <w:tcW w:w="940" w:type="dxa"/>
            <w:vAlign w:val="bottom"/>
            <w:gridSpan w:val="2"/>
            <w:shd w:val="clear" w:color="auto" w:fill="1F3C7B"/>
          </w:tcPr>
          <w:p>
            <w:pPr>
              <w:spacing w:after="0" w:line="20" w:lineRule="exact"/>
              <w:rPr>
                <w:sz w:val="1"/>
                <w:szCs w:val="1"/>
                <w:color w:val="auto"/>
              </w:rPr>
            </w:pPr>
          </w:p>
        </w:tc>
        <w:tc>
          <w:tcPr>
            <w:tcW w:w="480" w:type="dxa"/>
            <w:vAlign w:val="bottom"/>
            <w:gridSpan w:val="3"/>
            <w:shd w:val="clear" w:color="auto" w:fill="1F3C7B"/>
          </w:tcPr>
          <w:p>
            <w:pPr>
              <w:spacing w:after="0" w:line="20" w:lineRule="exact"/>
              <w:rPr>
                <w:sz w:val="1"/>
                <w:szCs w:val="1"/>
                <w:color w:val="auto"/>
              </w:rPr>
            </w:pPr>
          </w:p>
        </w:tc>
        <w:tc>
          <w:tcPr>
            <w:tcW w:w="680" w:type="dxa"/>
            <w:vAlign w:val="bottom"/>
            <w:shd w:val="clear" w:color="auto" w:fill="1F3C7B"/>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40" w:type="dxa"/>
            <w:vAlign w:val="bottom"/>
            <w:gridSpan w:val="24"/>
          </w:tcPr>
          <w:p>
            <w:pPr>
              <w:spacing w:after="0"/>
              <w:rPr>
                <w:rFonts w:ascii="Arial" w:cs="Arial" w:eastAsia="Arial" w:hAnsi="Arial"/>
                <w:sz w:val="16"/>
                <w:szCs w:val="16"/>
                <w:b w:val="1"/>
                <w:bCs w:val="1"/>
                <w:color w:val="1F3C7B"/>
              </w:rPr>
            </w:pPr>
            <w:hyperlink w:anchor="page23">
              <w:r>
                <w:rPr>
                  <w:rFonts w:ascii="Arial" w:cs="Arial" w:eastAsia="Arial" w:hAnsi="Arial"/>
                  <w:sz w:val="16"/>
                  <w:szCs w:val="16"/>
                  <w:b w:val="1"/>
                  <w:bCs w:val="1"/>
                  <w:color w:val="1F3C7B"/>
                </w:rPr>
                <w:t>Proposal No. 4—Non-Binding Vote on Frequency of Stockholder Votes on Executive Compensation</w:t>
              </w:r>
            </w:hyperlink>
          </w:p>
        </w:tc>
        <w:tc>
          <w:tcPr>
            <w:tcW w:w="360" w:type="dxa"/>
            <w:vAlign w:val="bottom"/>
            <w:gridSpan w:val="5"/>
          </w:tcPr>
          <w:p>
            <w:pPr>
              <w:jc w:val="right"/>
              <w:ind w:right="28"/>
              <w:spacing w:after="0"/>
              <w:rPr>
                <w:rFonts w:ascii="Arial" w:cs="Arial" w:eastAsia="Arial" w:hAnsi="Arial"/>
                <w:sz w:val="16"/>
                <w:szCs w:val="16"/>
                <w:color w:val="auto"/>
              </w:rPr>
            </w:pPr>
            <w:hyperlink w:anchor="page23">
              <w:r>
                <w:rPr>
                  <w:rFonts w:ascii="Arial" w:cs="Arial" w:eastAsia="Arial" w:hAnsi="Arial"/>
                  <w:sz w:val="16"/>
                  <w:szCs w:val="16"/>
                  <w:color w:val="auto"/>
                </w:rPr>
                <w:t>20</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600" w:type="dxa"/>
            <w:vAlign w:val="bottom"/>
            <w:gridSpan w:val="4"/>
            <w:shd w:val="clear" w:color="auto" w:fill="1F3C7B"/>
          </w:tcPr>
          <w:p>
            <w:pPr>
              <w:spacing w:after="0" w:line="20" w:lineRule="exact"/>
              <w:rPr>
                <w:sz w:val="1"/>
                <w:szCs w:val="1"/>
                <w:color w:val="auto"/>
              </w:rPr>
            </w:pPr>
          </w:p>
        </w:tc>
        <w:tc>
          <w:tcPr>
            <w:tcW w:w="80" w:type="dxa"/>
            <w:vAlign w:val="bottom"/>
            <w:shd w:val="clear" w:color="auto" w:fill="1F3C7B"/>
          </w:tcPr>
          <w:p>
            <w:pPr>
              <w:spacing w:after="0" w:line="20" w:lineRule="exact"/>
              <w:rPr>
                <w:sz w:val="1"/>
                <w:szCs w:val="1"/>
                <w:color w:val="auto"/>
              </w:rPr>
            </w:pPr>
          </w:p>
        </w:tc>
        <w:tc>
          <w:tcPr>
            <w:tcW w:w="540" w:type="dxa"/>
            <w:vAlign w:val="bottom"/>
            <w:gridSpan w:val="4"/>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260" w:type="dxa"/>
            <w:vAlign w:val="bottom"/>
            <w:shd w:val="clear" w:color="auto" w:fill="1F3C7B"/>
          </w:tcPr>
          <w:p>
            <w:pPr>
              <w:spacing w:after="0" w:line="20" w:lineRule="exact"/>
              <w:rPr>
                <w:sz w:val="1"/>
                <w:szCs w:val="1"/>
                <w:color w:val="auto"/>
              </w:rPr>
            </w:pPr>
          </w:p>
        </w:tc>
        <w:tc>
          <w:tcPr>
            <w:tcW w:w="940" w:type="dxa"/>
            <w:vAlign w:val="bottom"/>
            <w:gridSpan w:val="2"/>
            <w:shd w:val="clear" w:color="auto" w:fill="1F3C7B"/>
          </w:tcPr>
          <w:p>
            <w:pPr>
              <w:spacing w:after="0" w:line="20" w:lineRule="exact"/>
              <w:rPr>
                <w:sz w:val="1"/>
                <w:szCs w:val="1"/>
                <w:color w:val="auto"/>
              </w:rPr>
            </w:pPr>
          </w:p>
        </w:tc>
        <w:tc>
          <w:tcPr>
            <w:tcW w:w="480" w:type="dxa"/>
            <w:vAlign w:val="bottom"/>
            <w:gridSpan w:val="3"/>
            <w:shd w:val="clear" w:color="auto" w:fill="1F3C7B"/>
          </w:tcPr>
          <w:p>
            <w:pPr>
              <w:spacing w:after="0" w:line="20" w:lineRule="exact"/>
              <w:rPr>
                <w:sz w:val="1"/>
                <w:szCs w:val="1"/>
                <w:color w:val="auto"/>
              </w:rPr>
            </w:pPr>
          </w:p>
        </w:tc>
        <w:tc>
          <w:tcPr>
            <w:tcW w:w="1760" w:type="dxa"/>
            <w:vAlign w:val="bottom"/>
            <w:gridSpan w:val="2"/>
            <w:shd w:val="clear" w:color="auto" w:fill="1F3C7B"/>
          </w:tcPr>
          <w:p>
            <w:pPr>
              <w:spacing w:after="0" w:line="20" w:lineRule="exact"/>
              <w:rPr>
                <w:sz w:val="1"/>
                <w:szCs w:val="1"/>
                <w:color w:val="auto"/>
              </w:rPr>
            </w:pPr>
          </w:p>
        </w:tc>
        <w:tc>
          <w:tcPr>
            <w:tcW w:w="1440" w:type="dxa"/>
            <w:vAlign w:val="bottom"/>
            <w:gridSpan w:val="2"/>
            <w:shd w:val="clear" w:color="auto" w:fill="1F3C7B"/>
          </w:tcPr>
          <w:p>
            <w:pPr>
              <w:spacing w:after="0" w:line="20" w:lineRule="exact"/>
              <w:rPr>
                <w:sz w:val="1"/>
                <w:szCs w:val="1"/>
                <w:color w:val="auto"/>
              </w:rPr>
            </w:pPr>
          </w:p>
        </w:tc>
        <w:tc>
          <w:tcPr>
            <w:tcW w:w="240" w:type="dxa"/>
            <w:vAlign w:val="bottom"/>
            <w:gridSpan w:val="2"/>
            <w:shd w:val="clear" w:color="auto" w:fill="1F3C7B"/>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620" w:type="dxa"/>
            <w:vAlign w:val="bottom"/>
            <w:gridSpan w:val="23"/>
          </w:tcPr>
          <w:p>
            <w:pPr>
              <w:spacing w:after="0"/>
              <w:rPr>
                <w:rFonts w:ascii="Arial" w:cs="Arial" w:eastAsia="Arial" w:hAnsi="Arial"/>
                <w:sz w:val="16"/>
                <w:szCs w:val="16"/>
                <w:color w:val="auto"/>
              </w:rPr>
            </w:pPr>
            <w:hyperlink w:anchor="page24">
              <w:r>
                <w:rPr>
                  <w:rFonts w:ascii="Arial" w:cs="Arial" w:eastAsia="Arial" w:hAnsi="Arial"/>
                  <w:sz w:val="16"/>
                  <w:szCs w:val="16"/>
                  <w:color w:val="auto"/>
                </w:rPr>
                <w:t>Executive Compensation</w:t>
              </w:r>
            </w:hyperlink>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24">
              <w:r>
                <w:rPr>
                  <w:rFonts w:ascii="Arial" w:cs="Arial" w:eastAsia="Arial" w:hAnsi="Arial"/>
                  <w:sz w:val="16"/>
                  <w:szCs w:val="16"/>
                  <w:color w:val="auto"/>
                  <w:w w:val="89"/>
                </w:rPr>
                <w:t>21</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760" w:type="dxa"/>
            <w:vAlign w:val="bottom"/>
            <w:gridSpan w:val="12"/>
          </w:tcPr>
          <w:p>
            <w:pPr>
              <w:spacing w:after="0"/>
              <w:rPr>
                <w:rFonts w:ascii="Arial" w:cs="Arial" w:eastAsia="Arial" w:hAnsi="Arial"/>
                <w:sz w:val="16"/>
                <w:szCs w:val="16"/>
                <w:color w:val="auto"/>
              </w:rPr>
            </w:pPr>
            <w:hyperlink w:anchor="page41">
              <w:r>
                <w:rPr>
                  <w:rFonts w:ascii="Arial" w:cs="Arial" w:eastAsia="Arial" w:hAnsi="Arial"/>
                  <w:sz w:val="16"/>
                  <w:szCs w:val="16"/>
                  <w:color w:val="auto"/>
                </w:rPr>
                <w:t>Equity Compensation Plan Information</w:t>
              </w:r>
            </w:hyperlink>
          </w:p>
        </w:tc>
        <w:tc>
          <w:tcPr>
            <w:tcW w:w="608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38</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180" w:type="dxa"/>
            <w:vAlign w:val="bottom"/>
            <w:gridSpan w:val="17"/>
          </w:tcPr>
          <w:p>
            <w:pPr>
              <w:spacing w:after="0"/>
              <w:rPr>
                <w:rFonts w:ascii="Arial" w:cs="Arial" w:eastAsia="Arial" w:hAnsi="Arial"/>
                <w:sz w:val="16"/>
                <w:szCs w:val="16"/>
                <w:color w:val="auto"/>
              </w:rPr>
            </w:pPr>
            <w:hyperlink w:anchor="page41">
              <w:r>
                <w:rPr>
                  <w:rFonts w:ascii="Arial" w:cs="Arial" w:eastAsia="Arial" w:hAnsi="Arial"/>
                  <w:sz w:val="16"/>
                  <w:szCs w:val="16"/>
                  <w:color w:val="auto"/>
                </w:rPr>
                <w:t>Section 16(a) Beneficial Ownership Reporting Compliance</w:t>
              </w:r>
            </w:hyperlink>
          </w:p>
        </w:tc>
        <w:tc>
          <w:tcPr>
            <w:tcW w:w="46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38</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gridSpan w:val="21"/>
          </w:tcPr>
          <w:p>
            <w:pPr>
              <w:spacing w:after="0"/>
              <w:rPr>
                <w:rFonts w:ascii="Arial" w:cs="Arial" w:eastAsia="Arial" w:hAnsi="Arial"/>
                <w:sz w:val="16"/>
                <w:szCs w:val="16"/>
                <w:b w:val="1"/>
                <w:bCs w:val="1"/>
                <w:color w:val="1F3C7B"/>
              </w:rPr>
            </w:pPr>
            <w:hyperlink w:anchor="page42">
              <w:r>
                <w:rPr>
                  <w:rFonts w:ascii="Arial" w:cs="Arial" w:eastAsia="Arial" w:hAnsi="Arial"/>
                  <w:sz w:val="16"/>
                  <w:szCs w:val="16"/>
                  <w:b w:val="1"/>
                  <w:bCs w:val="1"/>
                  <w:color w:val="1F3C7B"/>
                </w:rPr>
                <w:t>Proposal No. 5—Approval of National Vision Holdings, Inc. 2018 Associate Stock Purchase Plan</w:t>
              </w:r>
            </w:hyperlink>
          </w:p>
        </w:tc>
        <w:tc>
          <w:tcPr>
            <w:tcW w:w="14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42">
              <w:r>
                <w:rPr>
                  <w:rFonts w:ascii="Arial" w:cs="Arial" w:eastAsia="Arial" w:hAnsi="Arial"/>
                  <w:sz w:val="16"/>
                  <w:szCs w:val="16"/>
                  <w:color w:val="auto"/>
                  <w:w w:val="89"/>
                </w:rPr>
                <w:t>39</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1F3C7B"/>
          </w:tcPr>
          <w:p>
            <w:pPr>
              <w:spacing w:after="0" w:line="20" w:lineRule="exact"/>
              <w:rPr>
                <w:sz w:val="1"/>
                <w:szCs w:val="1"/>
                <w:color w:val="auto"/>
              </w:rPr>
            </w:pPr>
          </w:p>
        </w:tc>
        <w:tc>
          <w:tcPr>
            <w:tcW w:w="600" w:type="dxa"/>
            <w:vAlign w:val="bottom"/>
            <w:gridSpan w:val="4"/>
            <w:shd w:val="clear" w:color="auto" w:fill="1F3C7B"/>
          </w:tcPr>
          <w:p>
            <w:pPr>
              <w:spacing w:after="0" w:line="20" w:lineRule="exact"/>
              <w:rPr>
                <w:sz w:val="1"/>
                <w:szCs w:val="1"/>
                <w:color w:val="auto"/>
              </w:rPr>
            </w:pPr>
          </w:p>
        </w:tc>
        <w:tc>
          <w:tcPr>
            <w:tcW w:w="620" w:type="dxa"/>
            <w:vAlign w:val="bottom"/>
            <w:gridSpan w:val="5"/>
            <w:shd w:val="clear" w:color="auto" w:fill="1F3C7B"/>
          </w:tcPr>
          <w:p>
            <w:pPr>
              <w:spacing w:after="0" w:line="20" w:lineRule="exact"/>
              <w:rPr>
                <w:sz w:val="1"/>
                <w:szCs w:val="1"/>
                <w:color w:val="auto"/>
              </w:rPr>
            </w:pPr>
          </w:p>
        </w:tc>
        <w:tc>
          <w:tcPr>
            <w:tcW w:w="180" w:type="dxa"/>
            <w:vAlign w:val="bottom"/>
            <w:shd w:val="clear" w:color="auto" w:fill="1F3C7B"/>
          </w:tcPr>
          <w:p>
            <w:pPr>
              <w:spacing w:after="0" w:line="20" w:lineRule="exact"/>
              <w:rPr>
                <w:sz w:val="1"/>
                <w:szCs w:val="1"/>
                <w:color w:val="auto"/>
              </w:rPr>
            </w:pPr>
          </w:p>
        </w:tc>
        <w:tc>
          <w:tcPr>
            <w:tcW w:w="1200" w:type="dxa"/>
            <w:vAlign w:val="bottom"/>
            <w:gridSpan w:val="3"/>
            <w:shd w:val="clear" w:color="auto" w:fill="1F3C7B"/>
          </w:tcPr>
          <w:p>
            <w:pPr>
              <w:spacing w:after="0" w:line="20" w:lineRule="exact"/>
              <w:rPr>
                <w:sz w:val="1"/>
                <w:szCs w:val="1"/>
                <w:color w:val="auto"/>
              </w:rPr>
            </w:pPr>
          </w:p>
        </w:tc>
        <w:tc>
          <w:tcPr>
            <w:tcW w:w="2240" w:type="dxa"/>
            <w:vAlign w:val="bottom"/>
            <w:gridSpan w:val="5"/>
            <w:shd w:val="clear" w:color="auto" w:fill="1F3C7B"/>
          </w:tcPr>
          <w:p>
            <w:pPr>
              <w:spacing w:after="0" w:line="20" w:lineRule="exact"/>
              <w:rPr>
                <w:sz w:val="1"/>
                <w:szCs w:val="1"/>
                <w:color w:val="auto"/>
              </w:rPr>
            </w:pPr>
          </w:p>
        </w:tc>
        <w:tc>
          <w:tcPr>
            <w:tcW w:w="1440" w:type="dxa"/>
            <w:vAlign w:val="bottom"/>
            <w:gridSpan w:val="2"/>
            <w:shd w:val="clear" w:color="auto" w:fill="1F3C7B"/>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gridSpan w:val="21"/>
          </w:tcPr>
          <w:p>
            <w:pPr>
              <w:spacing w:after="0"/>
              <w:rPr>
                <w:rFonts w:ascii="Arial" w:cs="Arial" w:eastAsia="Arial" w:hAnsi="Arial"/>
                <w:sz w:val="16"/>
                <w:szCs w:val="16"/>
                <w:color w:val="auto"/>
              </w:rPr>
            </w:pPr>
            <w:hyperlink w:anchor="page46">
              <w:r>
                <w:rPr>
                  <w:rFonts w:ascii="Arial" w:cs="Arial" w:eastAsia="Arial" w:hAnsi="Arial"/>
                  <w:sz w:val="16"/>
                  <w:szCs w:val="16"/>
                  <w:color w:val="auto"/>
                </w:rPr>
                <w:t>Ownership of Securities</w:t>
              </w:r>
            </w:hyperlink>
          </w:p>
        </w:tc>
        <w:tc>
          <w:tcPr>
            <w:tcW w:w="14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43</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500" w:type="dxa"/>
            <w:vAlign w:val="bottom"/>
            <w:gridSpan w:val="11"/>
          </w:tcPr>
          <w:p>
            <w:pPr>
              <w:spacing w:after="0"/>
              <w:rPr>
                <w:rFonts w:ascii="Arial" w:cs="Arial" w:eastAsia="Arial" w:hAnsi="Arial"/>
                <w:sz w:val="16"/>
                <w:szCs w:val="16"/>
                <w:color w:val="auto"/>
              </w:rPr>
            </w:pPr>
            <w:hyperlink w:anchor="page48">
              <w:r>
                <w:rPr>
                  <w:rFonts w:ascii="Arial" w:cs="Arial" w:eastAsia="Arial" w:hAnsi="Arial"/>
                  <w:sz w:val="16"/>
                  <w:szCs w:val="16"/>
                  <w:color w:val="auto"/>
                </w:rPr>
                <w:t>Transactions with Related Persons</w:t>
              </w:r>
            </w:hyperlink>
          </w:p>
        </w:tc>
        <w:tc>
          <w:tcPr>
            <w:tcW w:w="634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48">
              <w:r>
                <w:rPr>
                  <w:rFonts w:ascii="Arial" w:cs="Arial" w:eastAsia="Arial" w:hAnsi="Arial"/>
                  <w:sz w:val="16"/>
                  <w:szCs w:val="16"/>
                  <w:color w:val="auto"/>
                  <w:w w:val="89"/>
                </w:rPr>
                <w:t>45</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14"/>
          </w:tcPr>
          <w:p>
            <w:pPr>
              <w:spacing w:after="0"/>
              <w:rPr>
                <w:rFonts w:ascii="Arial" w:cs="Arial" w:eastAsia="Arial" w:hAnsi="Arial"/>
                <w:sz w:val="16"/>
                <w:szCs w:val="16"/>
                <w:color w:val="auto"/>
              </w:rPr>
            </w:pPr>
            <w:hyperlink w:anchor="page51">
              <w:r>
                <w:rPr>
                  <w:rFonts w:ascii="Arial" w:cs="Arial" w:eastAsia="Arial" w:hAnsi="Arial"/>
                  <w:sz w:val="16"/>
                  <w:szCs w:val="16"/>
                  <w:color w:val="auto"/>
                </w:rPr>
                <w:t>Stockholder Proposals for the 2019 Annual Meeting</w:t>
              </w:r>
            </w:hyperlink>
          </w:p>
        </w:tc>
        <w:tc>
          <w:tcPr>
            <w:tcW w:w="51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51">
              <w:r>
                <w:rPr>
                  <w:rFonts w:ascii="Arial" w:cs="Arial" w:eastAsia="Arial" w:hAnsi="Arial"/>
                  <w:sz w:val="16"/>
                  <w:szCs w:val="16"/>
                  <w:color w:val="auto"/>
                  <w:w w:val="89"/>
                </w:rPr>
                <w:t>48</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14"/>
          </w:tcPr>
          <w:p>
            <w:pPr>
              <w:spacing w:after="0"/>
              <w:rPr>
                <w:rFonts w:ascii="Arial" w:cs="Arial" w:eastAsia="Arial" w:hAnsi="Arial"/>
                <w:sz w:val="16"/>
                <w:szCs w:val="16"/>
                <w:color w:val="auto"/>
              </w:rPr>
            </w:pPr>
            <w:hyperlink w:anchor="page51">
              <w:r>
                <w:rPr>
                  <w:rFonts w:ascii="Arial" w:cs="Arial" w:eastAsia="Arial" w:hAnsi="Arial"/>
                  <w:sz w:val="16"/>
                  <w:szCs w:val="16"/>
                  <w:color w:val="auto"/>
                </w:rPr>
                <w:t>Householding of Proxy Materials</w:t>
              </w:r>
            </w:hyperlink>
          </w:p>
        </w:tc>
        <w:tc>
          <w:tcPr>
            <w:tcW w:w="51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51">
              <w:r>
                <w:rPr>
                  <w:rFonts w:ascii="Arial" w:cs="Arial" w:eastAsia="Arial" w:hAnsi="Arial"/>
                  <w:sz w:val="16"/>
                  <w:szCs w:val="16"/>
                  <w:color w:val="auto"/>
                  <w:w w:val="89"/>
                </w:rPr>
                <w:t>48</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gridSpan w:val="10"/>
          </w:tcPr>
          <w:p>
            <w:pPr>
              <w:spacing w:after="0"/>
              <w:rPr>
                <w:rFonts w:ascii="Arial" w:cs="Arial" w:eastAsia="Arial" w:hAnsi="Arial"/>
                <w:sz w:val="16"/>
                <w:szCs w:val="16"/>
                <w:color w:val="auto"/>
              </w:rPr>
            </w:pPr>
            <w:hyperlink w:anchor="page52">
              <w:r>
                <w:rPr>
                  <w:rFonts w:ascii="Arial" w:cs="Arial" w:eastAsia="Arial" w:hAnsi="Arial"/>
                  <w:sz w:val="16"/>
                  <w:szCs w:val="16"/>
                  <w:color w:val="auto"/>
                </w:rPr>
                <w:t>Other Business</w:t>
              </w:r>
            </w:hyperlink>
          </w:p>
        </w:tc>
        <w:tc>
          <w:tcPr>
            <w:tcW w:w="652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4"/>
          </w:tcPr>
          <w:p>
            <w:pPr>
              <w:jc w:val="right"/>
              <w:ind w:right="28"/>
              <w:spacing w:after="0"/>
              <w:rPr>
                <w:rFonts w:ascii="Arial" w:cs="Arial" w:eastAsia="Arial" w:hAnsi="Arial"/>
                <w:sz w:val="16"/>
                <w:szCs w:val="16"/>
                <w:color w:val="auto"/>
                <w:w w:val="89"/>
              </w:rPr>
            </w:pPr>
            <w:hyperlink w:anchor="page52">
              <w:r>
                <w:rPr>
                  <w:rFonts w:ascii="Arial" w:cs="Arial" w:eastAsia="Arial" w:hAnsi="Arial"/>
                  <w:sz w:val="16"/>
                  <w:szCs w:val="16"/>
                  <w:color w:val="auto"/>
                  <w:w w:val="89"/>
                </w:rPr>
                <w:t>49</w:t>
              </w:r>
            </w:hyperlink>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40" w:type="dxa"/>
            <w:vAlign w:val="bottom"/>
            <w:gridSpan w:val="18"/>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840" w:type="dxa"/>
            <w:vAlign w:val="bottom"/>
            <w:gridSpan w:val="24"/>
          </w:tcPr>
          <w:p>
            <w:pPr>
              <w:spacing w:after="0"/>
              <w:rPr>
                <w:rFonts w:ascii="Arial" w:cs="Arial" w:eastAsia="Arial" w:hAnsi="Arial"/>
                <w:sz w:val="16"/>
                <w:szCs w:val="16"/>
                <w:b w:val="1"/>
                <w:bCs w:val="1"/>
                <w:color w:val="1F3C7B"/>
              </w:rPr>
            </w:pPr>
            <w:hyperlink w:anchor="page53">
              <w:r>
                <w:rPr>
                  <w:rFonts w:ascii="Arial" w:cs="Arial" w:eastAsia="Arial" w:hAnsi="Arial"/>
                  <w:sz w:val="16"/>
                  <w:szCs w:val="16"/>
                  <w:b w:val="1"/>
                  <w:bCs w:val="1"/>
                  <w:color w:val="1F3C7B"/>
                </w:rPr>
                <w:t>Exhibit A: National Vision Holdings, Inc. 2018 Associate Stock Purchase Plan</w:t>
              </w:r>
            </w:hyperlink>
          </w:p>
        </w:tc>
        <w:tc>
          <w:tcPr>
            <w:tcW w:w="360" w:type="dxa"/>
            <w:vAlign w:val="bottom"/>
            <w:gridSpan w:val="5"/>
          </w:tcPr>
          <w:p>
            <w:pPr>
              <w:jc w:val="right"/>
              <w:ind w:right="28"/>
              <w:spacing w:after="0"/>
              <w:rPr>
                <w:rFonts w:ascii="Arial" w:cs="Arial" w:eastAsia="Arial" w:hAnsi="Arial"/>
                <w:sz w:val="16"/>
                <w:szCs w:val="16"/>
                <w:color w:val="auto"/>
                <w:w w:val="96"/>
              </w:rPr>
            </w:pPr>
            <w:hyperlink w:anchor="page53">
              <w:r>
                <w:rPr>
                  <w:rFonts w:ascii="Arial" w:cs="Arial" w:eastAsia="Arial" w:hAnsi="Arial"/>
                  <w:sz w:val="16"/>
                  <w:szCs w:val="16"/>
                  <w:color w:val="auto"/>
                  <w:w w:val="96"/>
                </w:rPr>
                <w:t>A-1</w:t>
              </w:r>
            </w:hyperlink>
          </w:p>
        </w:tc>
      </w:tr>
      <w:tr>
        <w:trPr>
          <w:trHeight w:val="427"/>
        </w:trPr>
        <w:tc>
          <w:tcPr>
            <w:tcW w:w="360" w:type="dxa"/>
            <w:vAlign w:val="bottom"/>
          </w:tcPr>
          <w:p>
            <w:pPr>
              <w:spacing w:after="0"/>
              <w:rPr>
                <w:sz w:val="24"/>
                <w:szCs w:val="24"/>
                <w:color w:val="auto"/>
              </w:rPr>
            </w:pPr>
          </w:p>
        </w:tc>
        <w:tc>
          <w:tcPr>
            <w:tcW w:w="1100" w:type="dxa"/>
            <w:vAlign w:val="bottom"/>
            <w:tcBorders>
              <w:top w:val="single" w:sz="8" w:color="1F3C7B"/>
            </w:tcBorders>
          </w:tcPr>
          <w:p>
            <w:pPr>
              <w:spacing w:after="0"/>
              <w:rPr>
                <w:sz w:val="24"/>
                <w:szCs w:val="24"/>
                <w:color w:val="auto"/>
              </w:rPr>
            </w:pPr>
          </w:p>
        </w:tc>
        <w:tc>
          <w:tcPr>
            <w:tcW w:w="240" w:type="dxa"/>
            <w:vAlign w:val="bottom"/>
            <w:tcBorders>
              <w:top w:val="single" w:sz="8" w:color="1F3C7B"/>
            </w:tcBorders>
          </w:tcPr>
          <w:p>
            <w:pPr>
              <w:spacing w:after="0"/>
              <w:rPr>
                <w:sz w:val="24"/>
                <w:szCs w:val="24"/>
                <w:color w:val="auto"/>
              </w:rPr>
            </w:pPr>
          </w:p>
        </w:tc>
        <w:tc>
          <w:tcPr>
            <w:tcW w:w="60" w:type="dxa"/>
            <w:vAlign w:val="bottom"/>
            <w:tcBorders>
              <w:top w:val="single" w:sz="8" w:color="1F3C7B"/>
            </w:tcBorders>
          </w:tcPr>
          <w:p>
            <w:pPr>
              <w:spacing w:after="0"/>
              <w:rPr>
                <w:sz w:val="24"/>
                <w:szCs w:val="24"/>
                <w:color w:val="auto"/>
              </w:rPr>
            </w:pPr>
          </w:p>
        </w:tc>
        <w:tc>
          <w:tcPr>
            <w:tcW w:w="140" w:type="dxa"/>
            <w:vAlign w:val="bottom"/>
            <w:tcBorders>
              <w:top w:val="single" w:sz="8" w:color="1F3C7B"/>
            </w:tcBorders>
          </w:tcPr>
          <w:p>
            <w:pPr>
              <w:spacing w:after="0"/>
              <w:rPr>
                <w:sz w:val="24"/>
                <w:szCs w:val="24"/>
                <w:color w:val="auto"/>
              </w:rPr>
            </w:pPr>
          </w:p>
        </w:tc>
        <w:tc>
          <w:tcPr>
            <w:tcW w:w="160" w:type="dxa"/>
            <w:vAlign w:val="bottom"/>
            <w:tcBorders>
              <w:top w:val="single" w:sz="8" w:color="1F3C7B"/>
            </w:tcBorders>
          </w:tcPr>
          <w:p>
            <w:pPr>
              <w:spacing w:after="0"/>
              <w:rPr>
                <w:sz w:val="24"/>
                <w:szCs w:val="24"/>
                <w:color w:val="auto"/>
              </w:rPr>
            </w:pPr>
          </w:p>
        </w:tc>
        <w:tc>
          <w:tcPr>
            <w:tcW w:w="80" w:type="dxa"/>
            <w:vAlign w:val="bottom"/>
            <w:tcBorders>
              <w:top w:val="single" w:sz="8" w:color="1F3C7B"/>
            </w:tcBorders>
          </w:tcPr>
          <w:p>
            <w:pPr>
              <w:spacing w:after="0"/>
              <w:rPr>
                <w:sz w:val="24"/>
                <w:szCs w:val="24"/>
                <w:color w:val="auto"/>
              </w:rPr>
            </w:pPr>
          </w:p>
        </w:tc>
        <w:tc>
          <w:tcPr>
            <w:tcW w:w="120" w:type="dxa"/>
            <w:vAlign w:val="bottom"/>
            <w:tcBorders>
              <w:top w:val="single" w:sz="8" w:color="1F3C7B"/>
            </w:tcBorders>
          </w:tcPr>
          <w:p>
            <w:pPr>
              <w:spacing w:after="0"/>
              <w:rPr>
                <w:sz w:val="24"/>
                <w:szCs w:val="24"/>
                <w:color w:val="auto"/>
              </w:rPr>
            </w:pPr>
          </w:p>
        </w:tc>
        <w:tc>
          <w:tcPr>
            <w:tcW w:w="20" w:type="dxa"/>
            <w:vAlign w:val="bottom"/>
            <w:tcBorders>
              <w:top w:val="single" w:sz="8" w:color="1F3C7B"/>
            </w:tcBorders>
          </w:tcPr>
          <w:p>
            <w:pPr>
              <w:spacing w:after="0"/>
              <w:rPr>
                <w:sz w:val="24"/>
                <w:szCs w:val="24"/>
                <w:color w:val="auto"/>
              </w:rPr>
            </w:pPr>
          </w:p>
        </w:tc>
        <w:tc>
          <w:tcPr>
            <w:tcW w:w="260" w:type="dxa"/>
            <w:vAlign w:val="bottom"/>
            <w:tcBorders>
              <w:top w:val="single" w:sz="8" w:color="1F3C7B"/>
            </w:tcBorders>
          </w:tcPr>
          <w:p>
            <w:pPr>
              <w:spacing w:after="0"/>
              <w:rPr>
                <w:sz w:val="24"/>
                <w:szCs w:val="24"/>
                <w:color w:val="auto"/>
              </w:rPr>
            </w:pPr>
          </w:p>
        </w:tc>
        <w:tc>
          <w:tcPr>
            <w:tcW w:w="140" w:type="dxa"/>
            <w:vAlign w:val="bottom"/>
            <w:tcBorders>
              <w:top w:val="single" w:sz="8" w:color="1F3C7B"/>
            </w:tcBorders>
          </w:tcPr>
          <w:p>
            <w:pPr>
              <w:spacing w:after="0"/>
              <w:rPr>
                <w:sz w:val="24"/>
                <w:szCs w:val="24"/>
                <w:color w:val="auto"/>
              </w:rPr>
            </w:pPr>
          </w:p>
        </w:tc>
        <w:tc>
          <w:tcPr>
            <w:tcW w:w="180" w:type="dxa"/>
            <w:vAlign w:val="bottom"/>
            <w:tcBorders>
              <w:top w:val="single" w:sz="8" w:color="1F3C7B"/>
            </w:tcBorders>
          </w:tcPr>
          <w:p>
            <w:pPr>
              <w:spacing w:after="0"/>
              <w:rPr>
                <w:sz w:val="24"/>
                <w:szCs w:val="24"/>
                <w:color w:val="auto"/>
              </w:rPr>
            </w:pPr>
          </w:p>
        </w:tc>
        <w:tc>
          <w:tcPr>
            <w:tcW w:w="260" w:type="dxa"/>
            <w:vAlign w:val="bottom"/>
            <w:tcBorders>
              <w:top w:val="single" w:sz="8" w:color="1F3C7B"/>
            </w:tcBorders>
          </w:tcPr>
          <w:p>
            <w:pPr>
              <w:spacing w:after="0"/>
              <w:rPr>
                <w:sz w:val="24"/>
                <w:szCs w:val="24"/>
                <w:color w:val="auto"/>
              </w:rPr>
            </w:pPr>
          </w:p>
        </w:tc>
        <w:tc>
          <w:tcPr>
            <w:tcW w:w="120" w:type="dxa"/>
            <w:vAlign w:val="bottom"/>
            <w:tcBorders>
              <w:top w:val="single" w:sz="8" w:color="1F3C7B"/>
            </w:tcBorders>
          </w:tcPr>
          <w:p>
            <w:pPr>
              <w:spacing w:after="0"/>
              <w:rPr>
                <w:sz w:val="24"/>
                <w:szCs w:val="24"/>
                <w:color w:val="auto"/>
              </w:rPr>
            </w:pPr>
          </w:p>
        </w:tc>
        <w:tc>
          <w:tcPr>
            <w:tcW w:w="820" w:type="dxa"/>
            <w:vAlign w:val="bottom"/>
            <w:tcBorders>
              <w:top w:val="single" w:sz="8" w:color="1F3C7B"/>
            </w:tcBorders>
          </w:tcPr>
          <w:p>
            <w:pPr>
              <w:spacing w:after="0"/>
              <w:rPr>
                <w:sz w:val="24"/>
                <w:szCs w:val="24"/>
                <w:color w:val="auto"/>
              </w:rPr>
            </w:pPr>
          </w:p>
        </w:tc>
        <w:tc>
          <w:tcPr>
            <w:tcW w:w="220" w:type="dxa"/>
            <w:vAlign w:val="bottom"/>
            <w:tcBorders>
              <w:top w:val="single" w:sz="8" w:color="1F3C7B"/>
            </w:tcBorders>
          </w:tcPr>
          <w:p>
            <w:pPr>
              <w:spacing w:after="0"/>
              <w:rPr>
                <w:sz w:val="24"/>
                <w:szCs w:val="24"/>
                <w:color w:val="auto"/>
              </w:rPr>
            </w:pPr>
          </w:p>
        </w:tc>
        <w:tc>
          <w:tcPr>
            <w:tcW w:w="100" w:type="dxa"/>
            <w:vAlign w:val="bottom"/>
            <w:tcBorders>
              <w:top w:val="single" w:sz="8" w:color="1F3C7B"/>
            </w:tcBorders>
          </w:tcPr>
          <w:p>
            <w:pPr>
              <w:spacing w:after="0"/>
              <w:rPr>
                <w:sz w:val="24"/>
                <w:szCs w:val="24"/>
                <w:color w:val="auto"/>
              </w:rPr>
            </w:pPr>
          </w:p>
        </w:tc>
        <w:tc>
          <w:tcPr>
            <w:tcW w:w="160" w:type="dxa"/>
            <w:vAlign w:val="bottom"/>
            <w:tcBorders>
              <w:top w:val="single" w:sz="8" w:color="1F3C7B"/>
            </w:tcBorders>
          </w:tcPr>
          <w:p>
            <w:pPr>
              <w:spacing w:after="0"/>
              <w:rPr>
                <w:sz w:val="24"/>
                <w:szCs w:val="24"/>
                <w:color w:val="auto"/>
              </w:rPr>
            </w:pPr>
          </w:p>
        </w:tc>
        <w:tc>
          <w:tcPr>
            <w:tcW w:w="680" w:type="dxa"/>
            <w:vAlign w:val="bottom"/>
            <w:tcBorders>
              <w:top w:val="single" w:sz="8" w:color="1F3C7B"/>
            </w:tcBorders>
          </w:tcPr>
          <w:p>
            <w:pPr>
              <w:spacing w:after="0"/>
              <w:rPr>
                <w:sz w:val="24"/>
                <w:szCs w:val="24"/>
                <w:color w:val="auto"/>
              </w:rPr>
            </w:pPr>
          </w:p>
        </w:tc>
        <w:tc>
          <w:tcPr>
            <w:tcW w:w="1080" w:type="dxa"/>
            <w:vAlign w:val="bottom"/>
            <w:tcBorders>
              <w:top w:val="single" w:sz="8" w:color="1F3C7B"/>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4"/>
          </w:tcPr>
          <w:p>
            <w:pPr>
              <w:ind w:left="480"/>
              <w:spacing w:after="0"/>
              <w:rPr>
                <w:sz w:val="20"/>
                <w:szCs w:val="20"/>
                <w:color w:val="auto"/>
              </w:rPr>
            </w:pPr>
            <w:r>
              <w:rPr>
                <w:rFonts w:ascii="Arial" w:cs="Arial" w:eastAsia="Arial" w:hAnsi="Arial"/>
                <w:sz w:val="14"/>
                <w:szCs w:val="14"/>
                <w:color w:val="auto"/>
              </w:rPr>
              <w:t>2018 Proxy Statement</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471"/>
        </w:trPr>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-496570</wp:posOffset>
            </wp:positionV>
            <wp:extent cx="20574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92075</wp:posOffset>
            </wp:positionV>
            <wp:extent cx="1346200" cy="1046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Please join us for National Vision Holdings, Inc.’s Annual Meeting of Stockholders on Wednesday, June 6, 2018, at 2:00 p.m., Eastern Time, at the Sonesta Gwinnett Place Atlanta, 1775 Pleasant Hill Road, Duluth, Georgia 30096.</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 This Proxy Statement and the enclosed proxy card and annual report are first being sent to stockholders on or about April 25, 2018.</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Your vote is important to us. Whether you own a few shares or many, and whether or not you plan to attend the Annual Meeting in person, it is important that your shares be represented and voted at the meeting. You may vote your shares on the Internet, by telephone or by completing, signing and promptly returning a proxy card or you may vote in person at the Annual Meeting. Voting online, by telephone or by returning your proxy card does not deprive you of your right to attend the Annual Meeting. If you do attend the Annual Meeting and wish to vote your shares personally, you may revoke your proxy at or prior to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National Vision Holdings,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92646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6465" cy="31750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40640</wp:posOffset>
            </wp:positionV>
            <wp:extent cx="1551940"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940" cy="46291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Nathaniel H. Taylor</w:t>
      </w: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4060" w:space="720"/>
            <w:col w:w="4780"/>
          </w:cols>
          <w:pgMar w:left="1180" w:top="279" w:right="11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107950</wp:posOffset>
            </wp:positionV>
            <wp:extent cx="20574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471"/>
        </w:trPr>
        <w:tc>
          <w:tcPr>
            <w:tcW w:w="8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89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2:00 p.m., Eastern Time, on Wednesday, June 6, 2018</w:t>
            </w:r>
          </w:p>
        </w:tc>
      </w:tr>
      <w:tr>
        <w:trPr>
          <w:trHeight w:val="445"/>
        </w:trPr>
        <w:tc>
          <w:tcPr>
            <w:tcW w:w="21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Sonesta Gwinnett Place Atlanta</w:t>
            </w:r>
          </w:p>
        </w:tc>
      </w:tr>
      <w:tr>
        <w:trPr>
          <w:trHeight w:val="203"/>
        </w:trPr>
        <w:tc>
          <w:tcPr>
            <w:tcW w:w="2160" w:type="dxa"/>
            <w:vAlign w:val="bottom"/>
          </w:tcPr>
          <w:p>
            <w:pPr>
              <w:spacing w:after="0"/>
              <w:rPr>
                <w:sz w:val="17"/>
                <w:szCs w:val="17"/>
                <w:color w:val="auto"/>
              </w:rPr>
            </w:pPr>
          </w:p>
        </w:tc>
        <w:tc>
          <w:tcPr>
            <w:tcW w:w="73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Pleasant Hill Road</w:t>
            </w:r>
          </w:p>
        </w:tc>
      </w:tr>
      <w:tr>
        <w:trPr>
          <w:trHeight w:val="217"/>
        </w:trPr>
        <w:tc>
          <w:tcPr>
            <w:tcW w:w="2160" w:type="dxa"/>
            <w:vAlign w:val="bottom"/>
          </w:tcPr>
          <w:p>
            <w:pPr>
              <w:spacing w:after="0"/>
              <w:rPr>
                <w:sz w:val="18"/>
                <w:szCs w:val="18"/>
                <w:color w:val="auto"/>
              </w:rPr>
            </w:pP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Duluth, Georgia 30096</w:t>
            </w:r>
          </w:p>
        </w:tc>
      </w:tr>
      <w:tr>
        <w:trPr>
          <w:trHeight w:val="459"/>
        </w:trPr>
        <w:tc>
          <w:tcPr>
            <w:tcW w:w="21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60" w:type="dxa"/>
            <w:vAlign w:val="bottom"/>
          </w:tcPr>
          <w:p>
            <w:pPr>
              <w:ind w:left="340"/>
              <w:spacing w:after="0"/>
              <w:rPr>
                <w:sz w:val="20"/>
                <w:szCs w:val="20"/>
                <w:color w:val="auto"/>
              </w:rPr>
            </w:pPr>
            <w:r>
              <w:rPr>
                <w:rFonts w:ascii="Arial" w:cs="Arial" w:eastAsia="Arial" w:hAnsi="Arial"/>
                <w:sz w:val="18"/>
                <w:szCs w:val="18"/>
                <w:color w:val="auto"/>
              </w:rPr>
              <w:t>1.</w:t>
            </w:r>
          </w:p>
        </w:tc>
        <w:tc>
          <w:tcPr>
            <w:tcW w:w="6720" w:type="dxa"/>
            <w:vAlign w:val="bottom"/>
          </w:tcPr>
          <w:p>
            <w:pPr>
              <w:ind w:left="160"/>
              <w:spacing w:after="0"/>
              <w:rPr>
                <w:sz w:val="20"/>
                <w:szCs w:val="20"/>
                <w:color w:val="auto"/>
              </w:rPr>
            </w:pPr>
            <w:r>
              <w:rPr>
                <w:rFonts w:ascii="Arial" w:cs="Arial" w:eastAsia="Arial" w:hAnsi="Arial"/>
                <w:sz w:val="18"/>
                <w:szCs w:val="18"/>
                <w:color w:val="auto"/>
              </w:rPr>
              <w:t>To elect the two Class I director nominees listed in the Proxy Statement.</w:t>
            </w:r>
          </w:p>
        </w:tc>
      </w:tr>
      <w:tr>
        <w:trPr>
          <w:trHeight w:val="445"/>
        </w:trPr>
        <w:tc>
          <w:tcPr>
            <w:tcW w:w="2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2.</w:t>
            </w:r>
          </w:p>
        </w:tc>
        <w:tc>
          <w:tcPr>
            <w:tcW w:w="6720" w:type="dxa"/>
            <w:vAlign w:val="bottom"/>
          </w:tcPr>
          <w:p>
            <w:pPr>
              <w:ind w:left="160"/>
              <w:spacing w:after="0"/>
              <w:rPr>
                <w:sz w:val="20"/>
                <w:szCs w:val="20"/>
                <w:color w:val="auto"/>
              </w:rPr>
            </w:pPr>
            <w:r>
              <w:rPr>
                <w:rFonts w:ascii="Arial" w:cs="Arial" w:eastAsia="Arial" w:hAnsi="Arial"/>
                <w:sz w:val="18"/>
                <w:szCs w:val="18"/>
                <w:color w:val="auto"/>
              </w:rPr>
              <w:t>To ratify the appointment of Deloitte &amp; Touche LLP as our independent registered</w:t>
            </w:r>
          </w:p>
        </w:tc>
      </w:tr>
      <w:tr>
        <w:trPr>
          <w:trHeight w:val="217"/>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public accounting firm for fiscal 2018.</w:t>
            </w:r>
          </w:p>
        </w:tc>
      </w:tr>
      <w:tr>
        <w:trPr>
          <w:trHeight w:val="445"/>
        </w:trPr>
        <w:tc>
          <w:tcPr>
            <w:tcW w:w="2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3.</w:t>
            </w:r>
          </w:p>
        </w:tc>
        <w:tc>
          <w:tcPr>
            <w:tcW w:w="6720" w:type="dxa"/>
            <w:vAlign w:val="bottom"/>
          </w:tcPr>
          <w:p>
            <w:pPr>
              <w:ind w:left="160"/>
              <w:spacing w:after="0"/>
              <w:rPr>
                <w:sz w:val="20"/>
                <w:szCs w:val="20"/>
                <w:color w:val="auto"/>
              </w:rPr>
            </w:pPr>
            <w:r>
              <w:rPr>
                <w:rFonts w:ascii="Arial" w:cs="Arial" w:eastAsia="Arial" w:hAnsi="Arial"/>
                <w:sz w:val="18"/>
                <w:szCs w:val="18"/>
                <w:color w:val="auto"/>
              </w:rPr>
              <w:t>To approve, in a non-binding advisory vote, the compensation paid to the named</w:t>
            </w:r>
          </w:p>
        </w:tc>
      </w:tr>
      <w:tr>
        <w:trPr>
          <w:trHeight w:val="217"/>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executive officers.</w:t>
            </w:r>
          </w:p>
        </w:tc>
      </w:tr>
      <w:tr>
        <w:trPr>
          <w:trHeight w:val="445"/>
        </w:trPr>
        <w:tc>
          <w:tcPr>
            <w:tcW w:w="2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4.</w:t>
            </w:r>
          </w:p>
        </w:tc>
        <w:tc>
          <w:tcPr>
            <w:tcW w:w="6720" w:type="dxa"/>
            <w:vAlign w:val="bottom"/>
          </w:tcPr>
          <w:p>
            <w:pPr>
              <w:ind w:left="160"/>
              <w:spacing w:after="0"/>
              <w:rPr>
                <w:sz w:val="20"/>
                <w:szCs w:val="20"/>
                <w:color w:val="auto"/>
              </w:rPr>
            </w:pPr>
            <w:r>
              <w:rPr>
                <w:rFonts w:ascii="Arial" w:cs="Arial" w:eastAsia="Arial" w:hAnsi="Arial"/>
                <w:sz w:val="18"/>
                <w:szCs w:val="18"/>
                <w:color w:val="auto"/>
              </w:rPr>
              <w:t>To determine, in a non-binding advisory vote, whether a non-binding stockholder</w:t>
            </w:r>
          </w:p>
        </w:tc>
      </w:tr>
      <w:tr>
        <w:trPr>
          <w:trHeight w:val="203"/>
        </w:trPr>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vote to approve the compensation paid to our named executive officers should</w:t>
            </w:r>
          </w:p>
        </w:tc>
      </w:tr>
      <w:tr>
        <w:trPr>
          <w:trHeight w:val="217"/>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occur every one, two or three years.</w:t>
            </w:r>
          </w:p>
        </w:tc>
      </w:tr>
      <w:tr>
        <w:trPr>
          <w:trHeight w:val="445"/>
        </w:trPr>
        <w:tc>
          <w:tcPr>
            <w:tcW w:w="2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5.</w:t>
            </w:r>
          </w:p>
        </w:tc>
        <w:tc>
          <w:tcPr>
            <w:tcW w:w="6720" w:type="dxa"/>
            <w:vAlign w:val="bottom"/>
          </w:tcPr>
          <w:p>
            <w:pPr>
              <w:ind w:left="160"/>
              <w:spacing w:after="0"/>
              <w:rPr>
                <w:sz w:val="20"/>
                <w:szCs w:val="20"/>
                <w:color w:val="auto"/>
              </w:rPr>
            </w:pPr>
            <w:r>
              <w:rPr>
                <w:rFonts w:ascii="Arial" w:cs="Arial" w:eastAsia="Arial" w:hAnsi="Arial"/>
                <w:sz w:val="18"/>
                <w:szCs w:val="18"/>
                <w:color w:val="auto"/>
              </w:rPr>
              <w:t>To approve the National Vision Holdings, Inc. 2018 Associate Stock Purchase</w:t>
            </w:r>
          </w:p>
        </w:tc>
      </w:tr>
      <w:tr>
        <w:trPr>
          <w:trHeight w:val="217"/>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Plan.</w:t>
            </w:r>
          </w:p>
        </w:tc>
      </w:tr>
      <w:tr>
        <w:trPr>
          <w:trHeight w:val="445"/>
        </w:trPr>
        <w:tc>
          <w:tcPr>
            <w:tcW w:w="2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6.</w:t>
            </w:r>
          </w:p>
        </w:tc>
        <w:tc>
          <w:tcPr>
            <w:tcW w:w="6720" w:type="dxa"/>
            <w:vAlign w:val="bottom"/>
          </w:tcPr>
          <w:p>
            <w:pPr>
              <w:ind w:left="160"/>
              <w:spacing w:after="0"/>
              <w:rPr>
                <w:sz w:val="20"/>
                <w:szCs w:val="20"/>
                <w:color w:val="auto"/>
              </w:rPr>
            </w:pPr>
            <w:r>
              <w:rPr>
                <w:rFonts w:ascii="Arial" w:cs="Arial" w:eastAsia="Arial" w:hAnsi="Arial"/>
                <w:sz w:val="18"/>
                <w:szCs w:val="18"/>
                <w:color w:val="auto"/>
                <w:w w:val="99"/>
              </w:rPr>
              <w:t>To consider such other business as may properly come before the Annual Meeting</w:t>
            </w:r>
          </w:p>
        </w:tc>
      </w:tr>
      <w:tr>
        <w:trPr>
          <w:trHeight w:val="217"/>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and any adjournments or postponements thereof.</w:t>
            </w:r>
          </w:p>
        </w:tc>
      </w:tr>
      <w:tr>
        <w:trPr>
          <w:trHeight w:val="445"/>
        </w:trPr>
        <w:tc>
          <w:tcPr>
            <w:tcW w:w="21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You may vote at the Annual Meeting if you were a stockholder of record at the close of</w:t>
            </w:r>
          </w:p>
        </w:tc>
      </w:tr>
      <w:tr>
        <w:trPr>
          <w:trHeight w:val="217"/>
        </w:trPr>
        <w:tc>
          <w:tcPr>
            <w:tcW w:w="2160" w:type="dxa"/>
            <w:vAlign w:val="bottom"/>
          </w:tcPr>
          <w:p>
            <w:pPr>
              <w:spacing w:after="0"/>
              <w:rPr>
                <w:sz w:val="18"/>
                <w:szCs w:val="18"/>
                <w:color w:val="auto"/>
              </w:rPr>
            </w:pP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business on April 17, 2018.</w:t>
            </w:r>
          </w:p>
        </w:tc>
      </w:tr>
      <w:tr>
        <w:trPr>
          <w:trHeight w:val="445"/>
        </w:trPr>
        <w:tc>
          <w:tcPr>
            <w:tcW w:w="21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To ensure your shares are voted, you may vote your shares over the Internet, by</w:t>
            </w:r>
          </w:p>
        </w:tc>
      </w:tr>
      <w:tr>
        <w:trPr>
          <w:trHeight w:val="203"/>
        </w:trPr>
        <w:tc>
          <w:tcPr>
            <w:tcW w:w="2160" w:type="dxa"/>
            <w:vAlign w:val="bottom"/>
          </w:tcPr>
          <w:p>
            <w:pPr>
              <w:spacing w:after="0"/>
              <w:rPr>
                <w:sz w:val="17"/>
                <w:szCs w:val="17"/>
                <w:color w:val="auto"/>
              </w:rPr>
            </w:pPr>
          </w:p>
        </w:tc>
        <w:tc>
          <w:tcPr>
            <w:tcW w:w="73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telephone or by completing, signing and mailing the enclosed proxy card. Voting</w:t>
            </w:r>
          </w:p>
        </w:tc>
      </w:tr>
      <w:tr>
        <w:trPr>
          <w:trHeight w:val="217"/>
        </w:trPr>
        <w:tc>
          <w:tcPr>
            <w:tcW w:w="2160" w:type="dxa"/>
            <w:vAlign w:val="bottom"/>
          </w:tcPr>
          <w:p>
            <w:pPr>
              <w:spacing w:after="0"/>
              <w:rPr>
                <w:sz w:val="18"/>
                <w:szCs w:val="18"/>
                <w:color w:val="auto"/>
              </w:rPr>
            </w:pPr>
          </w:p>
        </w:tc>
        <w:tc>
          <w:tcPr>
            <w:tcW w:w="7380" w:type="dxa"/>
            <w:vAlign w:val="bottom"/>
            <w:gridSpan w:val="2"/>
          </w:tcPr>
          <w:p>
            <w:pPr>
              <w:ind w:left="340"/>
              <w:spacing w:after="0"/>
              <w:rPr>
                <w:sz w:val="20"/>
                <w:szCs w:val="20"/>
                <w:color w:val="auto"/>
              </w:rPr>
            </w:pPr>
            <w:r>
              <w:rPr>
                <w:rFonts w:ascii="Arial" w:cs="Arial" w:eastAsia="Arial" w:hAnsi="Arial"/>
                <w:sz w:val="18"/>
                <w:szCs w:val="18"/>
                <w:color w:val="auto"/>
              </w:rPr>
              <w:t>procedures are described on the following page and on the proxy card.</w:t>
            </w:r>
          </w:p>
        </w:tc>
      </w:tr>
    </w:tbl>
    <w:p>
      <w:pPr>
        <w:spacing w:after="0" w:line="6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1724025"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40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Mitchell Goodman</w:t>
      </w:r>
    </w:p>
    <w:p>
      <w:pPr>
        <w:ind w:left="478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071870" cy="420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20370"/>
                    </a:xfrm>
                    <a:prstGeom prst="rect">
                      <a:avLst/>
                    </a:prstGeom>
                    <a:noFill/>
                  </pic:spPr>
                </pic:pic>
              </a:graphicData>
            </a:graphic>
          </wp:anchor>
        </w:drawing>
      </w:r>
    </w:p>
    <w:p>
      <w:pPr>
        <w:spacing w:after="0" w:line="48" w:lineRule="exact"/>
        <w:rPr>
          <w:sz w:val="20"/>
          <w:szCs w:val="20"/>
          <w:color w:val="auto"/>
        </w:rPr>
      </w:pPr>
    </w:p>
    <w:p>
      <w:pPr>
        <w:jc w:val="center"/>
        <w:ind w:left="1200" w:right="900"/>
        <w:spacing w:after="0" w:line="253" w:lineRule="auto"/>
        <w:rPr>
          <w:sz w:val="20"/>
          <w:szCs w:val="20"/>
          <w:color w:val="auto"/>
        </w:rPr>
      </w:pPr>
      <w:r>
        <w:rPr>
          <w:rFonts w:ascii="Arial" w:cs="Arial" w:eastAsia="Arial" w:hAnsi="Arial"/>
          <w:sz w:val="18"/>
          <w:szCs w:val="18"/>
          <w:b w:val="1"/>
          <w:bCs w:val="1"/>
          <w:i w:val="1"/>
          <w:iCs w:val="1"/>
          <w:color w:val="auto"/>
        </w:rPr>
        <w:t xml:space="preserve">Important Notice Regarding the Availability of Proxy Materials for the Stockholder Meeting to Be Held on Wednesday, June 6, 2018: This Proxy Statement and our Annual Report are available free of charge at </w:t>
      </w:r>
      <w:r>
        <w:rPr>
          <w:rFonts w:ascii="Arial" w:cs="Arial" w:eastAsia="Arial" w:hAnsi="Arial"/>
          <w:sz w:val="18"/>
          <w:szCs w:val="18"/>
          <w:b w:val="1"/>
          <w:bCs w:val="1"/>
          <w:i w:val="1"/>
          <w:iCs w:val="1"/>
          <w:u w:val="single" w:color="auto"/>
          <w:color w:val="auto"/>
        </w:rPr>
        <w:t>www.edocumentview.com/EYE</w:t>
      </w:r>
      <w:r>
        <w:rPr>
          <w:rFonts w:ascii="Arial" w:cs="Arial" w:eastAsia="Arial" w:hAnsi="Arial"/>
          <w:sz w:val="18"/>
          <w:szCs w:val="18"/>
          <w:color w:val="auto"/>
        </w:rPr>
        <w:t>.</w:t>
      </w:r>
    </w:p>
    <w:p>
      <w:pPr>
        <w:spacing w:after="0" w:line="137"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205740" cy="1543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32"/>
          <w:szCs w:val="32"/>
          <w:b w:val="1"/>
          <w:bCs w:val="1"/>
          <w:color w:val="auto"/>
        </w:rPr>
        <w:t>PROXY VOTING METHODS</w:t>
      </w:r>
    </w:p>
    <w:p>
      <w:pPr>
        <w:spacing w:after="0" w:line="154" w:lineRule="exact"/>
        <w:rPr>
          <w:sz w:val="20"/>
          <w:szCs w:val="20"/>
          <w:color w:val="auto"/>
        </w:rPr>
      </w:pPr>
    </w:p>
    <w:p>
      <w:pPr>
        <w:ind w:left="7" w:right="80"/>
        <w:spacing w:after="0" w:line="252" w:lineRule="auto"/>
        <w:rPr>
          <w:sz w:val="20"/>
          <w:szCs w:val="20"/>
          <w:color w:val="auto"/>
        </w:rPr>
      </w:pPr>
      <w:r>
        <w:rPr>
          <w:rFonts w:ascii="Arial" w:cs="Arial" w:eastAsia="Arial" w:hAnsi="Arial"/>
          <w:sz w:val="18"/>
          <w:szCs w:val="18"/>
          <w:color w:val="auto"/>
        </w:rPr>
        <w:t>If at the close of business on April 17, 2018, you were a stockholder of record or held shares through a broker or bank, you may vote your shares by proxy at the Annual Meeting. If you were a stockholder of record, you may vote your shares over the Internet, by telephone or by mail, or you may vote in person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77" w:lineRule="exact"/>
        <w:rPr>
          <w:sz w:val="20"/>
          <w:szCs w:val="20"/>
          <w:color w:val="auto"/>
        </w:rPr>
      </w:pPr>
    </w:p>
    <w:p>
      <w:pPr>
        <w:jc w:val="both"/>
        <w:ind w:left="7" w:right="180"/>
        <w:spacing w:after="0" w:line="269" w:lineRule="auto"/>
        <w:rPr>
          <w:sz w:val="20"/>
          <w:szCs w:val="20"/>
          <w:color w:val="auto"/>
        </w:rPr>
      </w:pPr>
      <w:r>
        <w:rPr>
          <w:rFonts w:ascii="Arial" w:cs="Arial" w:eastAsia="Arial" w:hAnsi="Arial"/>
          <w:sz w:val="18"/>
          <w:szCs w:val="18"/>
          <w:b w:val="1"/>
          <w:bCs w:val="1"/>
          <w:color w:val="auto"/>
        </w:rPr>
        <w:t>If you are a stockholder of record, your vote must be received by 11:59 p.m., Eastern Time, on June 5, 2018 to be counted. If you hold shares through a broker, bank or other nominee, please refer to information from your bank, broker or nominee for voting instructions.</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vote by proxy if you are a stockholder of record:</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left="347" w:hanging="347"/>
        <w:spacing w:after="0"/>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auto"/>
        </w:rPr>
      </w:pPr>
    </w:p>
    <w:p>
      <w:pPr>
        <w:ind w:left="347" w:right="340" w:hanging="347"/>
        <w:spacing w:after="0" w:line="246" w:lineRule="auto"/>
        <w:tabs>
          <w:tab w:leader="none" w:pos="347"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to obtain your records and to create an electronic voting instruction form.</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left="347" w:right="320" w:hanging="347"/>
        <w:spacing w:after="0" w:line="246" w:lineRule="auto"/>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a touch-tone telephone, dial 1-800-652-VOTE (8683) and follow the recorded instructions, 24 hours a day, seven days a week.</w:t>
      </w:r>
    </w:p>
    <w:p>
      <w:pPr>
        <w:spacing w:after="0" w:line="88" w:lineRule="exact"/>
        <w:rPr>
          <w:rFonts w:ascii="Arial" w:cs="Arial" w:eastAsia="Arial" w:hAnsi="Arial"/>
          <w:sz w:val="18"/>
          <w:szCs w:val="18"/>
          <w:color w:val="auto"/>
        </w:rPr>
      </w:pPr>
    </w:p>
    <w:p>
      <w:pPr>
        <w:ind w:left="347" w:hanging="347"/>
        <w:spacing w:after="0"/>
        <w:tabs>
          <w:tab w:leader="none" w:pos="347"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071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left="347" w:hanging="347"/>
        <w:spacing w:after="0"/>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103" w:lineRule="exact"/>
        <w:rPr>
          <w:rFonts w:ascii="Arial" w:cs="Arial" w:eastAsia="Arial" w:hAnsi="Arial"/>
          <w:sz w:val="18"/>
          <w:szCs w:val="18"/>
          <w:color w:val="auto"/>
        </w:rPr>
      </w:pPr>
    </w:p>
    <w:p>
      <w:pPr>
        <w:ind w:left="347" w:hanging="347"/>
        <w:spacing w:after="0"/>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auto"/>
        </w:rPr>
      </w:pPr>
    </w:p>
    <w:p>
      <w:pPr>
        <w:ind w:left="347" w:hanging="347"/>
        <w:spacing w:after="0"/>
        <w:tabs>
          <w:tab w:leader="none" w:pos="347"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100965</wp:posOffset>
            </wp:positionV>
            <wp:extent cx="20574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1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92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471"/>
        </w:trPr>
        <w:tc>
          <w:tcPr>
            <w:tcW w:w="8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89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6" w:name="page7"/>
    <w:bookmarkEnd w:id="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77" w:lineRule="exact"/>
        <w:rPr>
          <w:sz w:val="20"/>
          <w:szCs w:val="20"/>
          <w:color w:val="auto"/>
        </w:rPr>
      </w:pPr>
    </w:p>
    <w:p>
      <w:pPr>
        <w:ind w:left="7"/>
        <w:spacing w:after="0"/>
        <w:rPr>
          <w:sz w:val="20"/>
          <w:szCs w:val="20"/>
          <w:color w:val="auto"/>
        </w:rPr>
      </w:pPr>
      <w:r>
        <w:rPr>
          <w:rFonts w:ascii="Arial" w:cs="Arial" w:eastAsia="Arial" w:hAnsi="Arial"/>
          <w:sz w:val="32"/>
          <w:szCs w:val="32"/>
          <w:b w:val="1"/>
          <w:bCs w:val="1"/>
          <w:color w:val="auto"/>
        </w:rPr>
        <w:t>PROXY STATEMENT</w:t>
      </w:r>
    </w:p>
    <w:p>
      <w:pPr>
        <w:spacing w:after="0" w:line="6" w:lineRule="exact"/>
        <w:rPr>
          <w:sz w:val="20"/>
          <w:szCs w:val="20"/>
          <w:color w:val="auto"/>
        </w:rPr>
      </w:pPr>
    </w:p>
    <w:p>
      <w:pPr>
        <w:ind w:left="7"/>
        <w:spacing w:after="0"/>
        <w:rPr>
          <w:sz w:val="20"/>
          <w:szCs w:val="20"/>
          <w:color w:val="auto"/>
        </w:rPr>
      </w:pPr>
      <w:r>
        <w:rPr>
          <w:rFonts w:ascii="Arial" w:cs="Arial" w:eastAsia="Arial" w:hAnsi="Arial"/>
          <w:sz w:val="32"/>
          <w:szCs w:val="32"/>
          <w:b w:val="1"/>
          <w:bCs w:val="1"/>
          <w:color w:val="auto"/>
        </w:rPr>
        <w:t>Annual Meeting of Stockholders</w:t>
      </w:r>
    </w:p>
    <w:p>
      <w:pPr>
        <w:ind w:left="7"/>
        <w:spacing w:after="0"/>
        <w:rPr>
          <w:sz w:val="20"/>
          <w:szCs w:val="20"/>
          <w:color w:val="auto"/>
        </w:rPr>
      </w:pPr>
      <w:r>
        <w:rPr>
          <w:rFonts w:ascii="Arial" w:cs="Arial" w:eastAsia="Arial" w:hAnsi="Arial"/>
          <w:sz w:val="32"/>
          <w:szCs w:val="32"/>
          <w:b w:val="1"/>
          <w:bCs w:val="1"/>
          <w:color w:val="auto"/>
        </w:rPr>
        <w:t>June 6, 2018</w:t>
      </w:r>
    </w:p>
    <w:p>
      <w:pPr>
        <w:spacing w:after="0" w:line="213" w:lineRule="exact"/>
        <w:rPr>
          <w:sz w:val="20"/>
          <w:szCs w:val="20"/>
          <w:color w:val="auto"/>
        </w:rPr>
      </w:pPr>
    </w:p>
    <w:p>
      <w:pPr>
        <w:ind w:left="7"/>
        <w:spacing w:after="0"/>
        <w:rPr>
          <w:sz w:val="20"/>
          <w:szCs w:val="20"/>
          <w:color w:val="auto"/>
        </w:rPr>
      </w:pPr>
      <w:r>
        <w:rPr>
          <w:rFonts w:ascii="Arial" w:cs="Arial" w:eastAsia="Arial" w:hAnsi="Arial"/>
          <w:sz w:val="32"/>
          <w:szCs w:val="32"/>
          <w:color w:val="auto"/>
        </w:rPr>
        <w:t>GENERAL INFORMATION</w:t>
      </w:r>
    </w:p>
    <w:p>
      <w:pPr>
        <w:spacing w:after="0" w:line="9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Why am I being provided with these materials?</w:t>
      </w:r>
    </w:p>
    <w:p>
      <w:pPr>
        <w:spacing w:after="0" w:line="126" w:lineRule="exact"/>
        <w:rPr>
          <w:sz w:val="20"/>
          <w:szCs w:val="20"/>
          <w:color w:val="auto"/>
        </w:rPr>
      </w:pPr>
    </w:p>
    <w:p>
      <w:pPr>
        <w:ind w:left="347" w:right="60" w:hanging="347"/>
        <w:spacing w:after="0" w:line="237" w:lineRule="auto"/>
        <w:tabs>
          <w:tab w:leader="none" w:pos="347"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have delivered these proxy materials to you in connection with the solicitation by the Board of Directors (the “Board” or “Board of Directors”) of National Vision Holdings, Inc. of proxies to be voted at our Annual Meeting of Stockholders to be held on June 6, 2018 (the “Annual Meeting”), and at any postponements or adjournments of the Annual Meeting. You are invited to attend the Annual Meeting and vote your shares in person. Except where the context requires otherwise, references to “National Vision,” “the Company,” “we,” “us” and “our” refer to National Vision Holdings, Inc. Capitalized terms used but not defined herein have the meanings set forth in our Annual Report on Form 10-K (“Form 10-K”) for the fiscal year ended December 30, 2017.</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What am I voting on?</w:t>
      </w:r>
    </w:p>
    <w:p>
      <w:pPr>
        <w:spacing w:after="0" w:line="126" w:lineRule="exact"/>
        <w:rPr>
          <w:sz w:val="20"/>
          <w:szCs w:val="20"/>
          <w:color w:val="auto"/>
        </w:rPr>
      </w:pPr>
    </w:p>
    <w:p>
      <w:pPr>
        <w:ind w:left="347" w:hanging="347"/>
        <w:spacing w:after="0"/>
        <w:tabs>
          <w:tab w:leader="none" w:pos="347"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There are five proposals scheduled to be voted on at the Annual Meeting:</w:t>
      </w:r>
    </w:p>
    <w:p>
      <w:pPr>
        <w:spacing w:after="0" w:line="103" w:lineRule="exact"/>
        <w:rPr>
          <w:rFonts w:ascii="Arial" w:cs="Arial" w:eastAsia="Arial" w:hAnsi="Arial"/>
          <w:sz w:val="18"/>
          <w:szCs w:val="18"/>
          <w:b w:val="1"/>
          <w:bCs w:val="1"/>
          <w:color w:val="auto"/>
        </w:rPr>
      </w:pPr>
    </w:p>
    <w:p>
      <w:pPr>
        <w:ind w:left="1067" w:hanging="351"/>
        <w:spacing w:after="0"/>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No. 1: Election of the two Class I director nominees listed in this Proxy Statement.</w:t>
      </w:r>
    </w:p>
    <w:p>
      <w:pPr>
        <w:spacing w:after="0" w:line="103" w:lineRule="exact"/>
        <w:rPr>
          <w:rFonts w:ascii="Arial" w:cs="Arial" w:eastAsia="Arial" w:hAnsi="Arial"/>
          <w:sz w:val="18"/>
          <w:szCs w:val="18"/>
          <w:color w:val="auto"/>
        </w:rPr>
      </w:pPr>
    </w:p>
    <w:p>
      <w:pPr>
        <w:ind w:left="1067" w:right="280" w:hanging="351"/>
        <w:spacing w:after="0" w:line="246"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No. 2: Ratification of the appointment of Deloitte &amp; Touche LLP as our independent registered public accounting firm for fiscal 2018.</w:t>
      </w:r>
    </w:p>
    <w:p>
      <w:pPr>
        <w:spacing w:after="0" w:line="88" w:lineRule="exact"/>
        <w:rPr>
          <w:rFonts w:ascii="Arial" w:cs="Arial" w:eastAsia="Arial" w:hAnsi="Arial"/>
          <w:sz w:val="18"/>
          <w:szCs w:val="18"/>
          <w:color w:val="auto"/>
        </w:rPr>
      </w:pPr>
    </w:p>
    <w:p>
      <w:pPr>
        <w:ind w:left="1067" w:right="760" w:hanging="351"/>
        <w:spacing w:after="0" w:line="246"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No. 3: Approval, in a non-binding advisory vote, of the compensation paid to our named executive officers.</w:t>
      </w:r>
    </w:p>
    <w:p>
      <w:pPr>
        <w:spacing w:after="0" w:line="88" w:lineRule="exact"/>
        <w:rPr>
          <w:rFonts w:ascii="Arial" w:cs="Arial" w:eastAsia="Arial" w:hAnsi="Arial"/>
          <w:sz w:val="18"/>
          <w:szCs w:val="18"/>
          <w:color w:val="auto"/>
        </w:rPr>
      </w:pPr>
    </w:p>
    <w:p>
      <w:pPr>
        <w:ind w:left="1067" w:right="140" w:hanging="351"/>
        <w:spacing w:after="0"/>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No. 4: Determination, in a non-binding advisory vote, of whether a non-binding stockholder vote to approve the compensation paid to our named executive officers should occur every one, two or three years.</w:t>
      </w:r>
    </w:p>
    <w:p>
      <w:pPr>
        <w:spacing w:after="0" w:line="94" w:lineRule="exact"/>
        <w:rPr>
          <w:rFonts w:ascii="Arial" w:cs="Arial" w:eastAsia="Arial" w:hAnsi="Arial"/>
          <w:sz w:val="18"/>
          <w:szCs w:val="18"/>
          <w:color w:val="auto"/>
        </w:rPr>
      </w:pPr>
    </w:p>
    <w:p>
      <w:pPr>
        <w:ind w:left="1067" w:right="220" w:hanging="351"/>
        <w:spacing w:after="0" w:line="246" w:lineRule="auto"/>
        <w:tabs>
          <w:tab w:leader="none" w:pos="1067"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Proposal No. 5: Approval of the National Vision Holdings, Inc. 2018 Associate Stock Purchase Plan (the “Associate Stock Purchase Plan”).</w:t>
      </w:r>
    </w:p>
    <w:p>
      <w:pPr>
        <w:spacing w:after="0" w:line="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Who is entitled to vote?</w:t>
      </w:r>
    </w:p>
    <w:p>
      <w:pPr>
        <w:spacing w:after="0" w:line="126" w:lineRule="exact"/>
        <w:rPr>
          <w:sz w:val="20"/>
          <w:szCs w:val="20"/>
          <w:color w:val="auto"/>
        </w:rPr>
      </w:pPr>
    </w:p>
    <w:p>
      <w:pPr>
        <w:ind w:left="347" w:right="80" w:hanging="347"/>
        <w:spacing w:after="0"/>
        <w:tabs>
          <w:tab w:leader="none" w:pos="34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Stockholders as of the close of business on April 17, 2018 (the “Record Date”) may vote at the Annual Meeting. As of that date, there were 75,160,759 shares of common stock outstanding. You have one vote for each share of common stock held by you as of the Record Date, including shares:</w:t>
      </w:r>
    </w:p>
    <w:p>
      <w:pPr>
        <w:spacing w:after="0" w:line="94" w:lineRule="exact"/>
        <w:rPr>
          <w:rFonts w:ascii="Arial" w:cs="Arial" w:eastAsia="Arial" w:hAnsi="Arial"/>
          <w:sz w:val="18"/>
          <w:szCs w:val="18"/>
          <w:b w:val="1"/>
          <w:bCs w:val="1"/>
          <w:color w:val="auto"/>
        </w:rPr>
      </w:pPr>
    </w:p>
    <w:p>
      <w:pPr>
        <w:ind w:left="1067" w:hanging="351"/>
        <w:spacing w:after="0"/>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w:t>
      </w:r>
    </w:p>
    <w:p>
      <w:pPr>
        <w:spacing w:after="0" w:line="103" w:lineRule="exact"/>
        <w:rPr>
          <w:rFonts w:ascii="Arial" w:cs="Arial" w:eastAsia="Arial" w:hAnsi="Arial"/>
          <w:sz w:val="18"/>
          <w:szCs w:val="18"/>
          <w:color w:val="auto"/>
        </w:rPr>
      </w:pPr>
    </w:p>
    <w:p>
      <w:pPr>
        <w:jc w:val="both"/>
        <w:ind w:left="1067" w:right="340" w:hanging="351"/>
        <w:spacing w:after="0"/>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94" w:lineRule="exact"/>
        <w:rPr>
          <w:rFonts w:ascii="Arial" w:cs="Arial" w:eastAsia="Arial" w:hAnsi="Arial"/>
          <w:sz w:val="18"/>
          <w:szCs w:val="18"/>
          <w:color w:val="auto"/>
        </w:rPr>
      </w:pPr>
    </w:p>
    <w:p>
      <w:pPr>
        <w:ind w:left="1067" w:hanging="351"/>
        <w:spacing w:after="0" w:line="246" w:lineRule="auto"/>
        <w:tabs>
          <w:tab w:leader="none" w:pos="1067" w:val="left"/>
        </w:tabs>
        <w:numPr>
          <w:ilvl w:val="1"/>
          <w:numId w:val="9"/>
        </w:numPr>
        <w:rPr>
          <w:rFonts w:ascii="Arial" w:cs="Arial" w:eastAsia="Arial" w:hAnsi="Arial"/>
          <w:sz w:val="18"/>
          <w:szCs w:val="18"/>
          <w:color w:val="auto"/>
        </w:rPr>
      </w:pPr>
      <w:r>
        <w:rPr>
          <w:rFonts w:ascii="Arial" w:cs="Arial" w:eastAsia="Arial" w:hAnsi="Arial"/>
          <w:sz w:val="18"/>
          <w:szCs w:val="18"/>
          <w:color w:val="auto"/>
        </w:rPr>
        <w:t>Held for you by us as restricted securities under either our 2014 Stock Incentive Plan or our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7187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20" w:lineRule="exact"/>
        <w:rPr>
          <w:sz w:val="20"/>
          <w:szCs w:val="20"/>
          <w:color w:val="auto"/>
        </w:rPr>
      </w:pPr>
    </w:p>
    <w:p>
      <w:pPr>
        <w:jc w:val="center"/>
        <w:ind w:right="-26"/>
        <w:spacing w:after="0"/>
        <w:rPr>
          <w:sz w:val="20"/>
          <w:szCs w:val="20"/>
          <w:color w:val="auto"/>
        </w:rPr>
      </w:pPr>
      <w:r>
        <w:rPr>
          <w:rFonts w:ascii="Arial" w:cs="Arial" w:eastAsia="Arial" w:hAnsi="Arial"/>
          <w:sz w:val="18"/>
          <w:szCs w:val="18"/>
          <w:b w:val="1"/>
          <w:bCs w:val="1"/>
          <w:i w:val="1"/>
          <w:iCs w:val="1"/>
          <w:color w:val="auto"/>
        </w:rPr>
        <w:t>THIS PROXY STATEMENT, TOGETHER WITH A FORM OF PROXY,</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8"/>
          <w:szCs w:val="18"/>
          <w:b w:val="1"/>
          <w:bCs w:val="1"/>
          <w:i w:val="1"/>
          <w:iCs w:val="1"/>
          <w:color w:val="auto"/>
        </w:rPr>
        <w:t>IS FIRST BEING SENT TO STOCKHOLDERS ON OR ABOUT APRIL 25, 2018.</w:t>
      </w:r>
    </w:p>
    <w:p>
      <w:pPr>
        <w:spacing w:after="0" w:line="157"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205740" cy="1543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7" w:name="page8"/>
    <w:bookmarkEnd w:id="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GENERAL INFORMATION</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What constitutes a quorum?</w:t>
      </w:r>
    </w:p>
    <w:p>
      <w:pPr>
        <w:spacing w:after="0" w:line="126" w:lineRule="exact"/>
        <w:rPr>
          <w:sz w:val="20"/>
          <w:szCs w:val="20"/>
          <w:color w:val="auto"/>
        </w:rPr>
      </w:pPr>
    </w:p>
    <w:p>
      <w:pPr>
        <w:ind w:left="347" w:right="40" w:hanging="347"/>
        <w:spacing w:after="0"/>
        <w:tabs>
          <w:tab w:leader="none" w:pos="34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What is a “broker non-vote”?</w:t>
      </w:r>
    </w:p>
    <w:p>
      <w:pPr>
        <w:spacing w:after="0" w:line="126" w:lineRule="exact"/>
        <w:rPr>
          <w:sz w:val="20"/>
          <w:szCs w:val="20"/>
          <w:color w:val="auto"/>
        </w:rPr>
      </w:pPr>
    </w:p>
    <w:p>
      <w:pPr>
        <w:ind w:left="347" w:right="100" w:hanging="347"/>
        <w:spacing w:after="0" w:line="237" w:lineRule="auto"/>
        <w:tabs>
          <w:tab w:leader="none" w:pos="347"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3, 4 and 5 are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spacing w:after="0" w:line="7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How many votes are required to approve each proposal?</w:t>
      </w:r>
    </w:p>
    <w:p>
      <w:pPr>
        <w:spacing w:after="0" w:line="126" w:lineRule="exact"/>
        <w:rPr>
          <w:sz w:val="20"/>
          <w:szCs w:val="20"/>
          <w:color w:val="auto"/>
        </w:rPr>
      </w:pPr>
    </w:p>
    <w:p>
      <w:pPr>
        <w:jc w:val="both"/>
        <w:ind w:left="347" w:right="300" w:hanging="347"/>
        <w:spacing w:after="0"/>
        <w:tabs>
          <w:tab w:leader="none" w:pos="347"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Under our Second Amended and Restated Bylaws (the “Bylaws”), directors are elected by a plurality vote, which means that the two director nominees with the greatest number of votes cast, even if less than a majority, will be elected. There is no cumulative voting.</w:t>
      </w:r>
    </w:p>
    <w:p>
      <w:pPr>
        <w:spacing w:after="0" w:line="94" w:lineRule="exact"/>
        <w:rPr>
          <w:rFonts w:ascii="Arial" w:cs="Arial" w:eastAsia="Arial" w:hAnsi="Arial"/>
          <w:sz w:val="18"/>
          <w:szCs w:val="18"/>
          <w:b w:val="1"/>
          <w:bCs w:val="1"/>
          <w:color w:val="auto"/>
        </w:rPr>
      </w:pPr>
    </w:p>
    <w:p>
      <w:pPr>
        <w:ind w:left="367"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For any other proposal being considered at the Annual Meeting, under our Bylaws, approval of the proposal requires the vote of the holders of a majority of the voting power of the shares of stock present in person or represented by proxy and entitled to vote at the Annual Meeting. Under NASDAQ rules, approval of the Associate Stock Purchase Plan (Proposal No. 5) requires a majority of the votes cast. It is important to note that the proposals to ratify the appointment of Deloitte &amp; Touche LLP as our independent registered public accounting firm for fiscal 2018 (Proposal No. 2), to approve the compensation of our named executive officers (Proposal No. 3) and to determine the frequency of stockholder votes on executive compensation (Proposal No. 4) are non-binding and advisory. While the vote on executive compensation and vote on the frequency of stockholder votes on executive compensation are advisory in nature and non-binding, the Board will review the voting results and expects to take them into consideration when making future decisions regarding executive compensation.</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How are votes counted?</w:t>
      </w:r>
    </w:p>
    <w:p>
      <w:pPr>
        <w:spacing w:after="0" w:line="126" w:lineRule="exact"/>
        <w:rPr>
          <w:sz w:val="20"/>
          <w:szCs w:val="20"/>
          <w:color w:val="auto"/>
        </w:rPr>
      </w:pPr>
    </w:p>
    <w:p>
      <w:pPr>
        <w:ind w:left="347" w:right="40" w:hanging="347"/>
        <w:spacing w:after="0" w:line="239" w:lineRule="auto"/>
        <w:tabs>
          <w:tab w:leader="none" w:pos="347"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With respect to the election of directors (Proposal No. 1), you may vote “FOR” or “WITHHOLD” with respect to each nominee. Votes that are “withheld” will have the same effect as an abstention and will not count as a vote “FOR” or “AGAINST” a director because directors are elected by plurality voting. Broker non-votes will have no effect on the outcome of Proposal No. 1.</w:t>
      </w:r>
    </w:p>
    <w:p>
      <w:pPr>
        <w:spacing w:after="0" w:line="93" w:lineRule="exact"/>
        <w:rPr>
          <w:rFonts w:ascii="Arial" w:cs="Arial" w:eastAsia="Arial" w:hAnsi="Arial"/>
          <w:sz w:val="18"/>
          <w:szCs w:val="18"/>
          <w:b w:val="1"/>
          <w:bCs w:val="1"/>
          <w:color w:val="auto"/>
        </w:rPr>
      </w:pPr>
    </w:p>
    <w:p>
      <w:pPr>
        <w:ind w:left="367"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With respect to the ratification of our independent registered public accounting firm (Proposal No. 2), the approval of the compensation of our named executive officers (Proposal No. 3) and the approval of the Associate Stock Purchase Plan (Proposal No. 5), you may vote “FOR,” “AGAINST” or “ABSTAIN.” With respect to the determination of the frequency of stockholder votes on executive compensation (Proposal No. 4), you may vote every “ONE YEAR,” “TWO YEARS,” “THREE YEARS” or “ABSTAIN.” For each of Proposal Nos. 2, 3 and 4, abstentions will have the effect of a vote “against” the proposal. For Proposal Nos. 3, 4 and 5, broker non-votes will have no effect on the outcome of these proposals.</w:t>
      </w:r>
    </w:p>
    <w:p>
      <w:pPr>
        <w:spacing w:after="0" w:line="99" w:lineRule="exact"/>
        <w:rPr>
          <w:rFonts w:ascii="Arial" w:cs="Arial" w:eastAsia="Arial" w:hAnsi="Arial"/>
          <w:sz w:val="18"/>
          <w:szCs w:val="18"/>
          <w:b w:val="1"/>
          <w:bCs w:val="1"/>
          <w:color w:val="auto"/>
        </w:rPr>
      </w:pPr>
    </w:p>
    <w:p>
      <w:pPr>
        <w:ind w:left="367"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94615</wp:posOffset>
            </wp:positionV>
            <wp:extent cx="20574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92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71"/>
        </w:trPr>
        <w:tc>
          <w:tcPr>
            <w:tcW w:w="8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89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8" w:name="page9"/>
    <w:bookmarkEnd w:id="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GENERAL INFORMATION</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How does the Board recommend that I vote?</w:t>
      </w:r>
    </w:p>
    <w:p>
      <w:pPr>
        <w:spacing w:after="0" w:line="126" w:lineRule="exact"/>
        <w:rPr>
          <w:sz w:val="20"/>
          <w:szCs w:val="20"/>
          <w:color w:val="auto"/>
        </w:rPr>
      </w:pPr>
    </w:p>
    <w:p>
      <w:pPr>
        <w:ind w:left="347" w:hanging="347"/>
        <w:spacing w:after="0"/>
        <w:tabs>
          <w:tab w:leader="none" w:pos="34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Board recommends that you vote your shares:</w:t>
      </w:r>
    </w:p>
    <w:p>
      <w:pPr>
        <w:spacing w:after="0" w:line="103" w:lineRule="exact"/>
        <w:rPr>
          <w:rFonts w:ascii="Arial" w:cs="Arial" w:eastAsia="Arial" w:hAnsi="Arial"/>
          <w:sz w:val="18"/>
          <w:szCs w:val="18"/>
          <w:b w:val="1"/>
          <w:bCs w:val="1"/>
          <w:color w:val="auto"/>
        </w:rPr>
      </w:pPr>
    </w:p>
    <w:p>
      <w:pPr>
        <w:ind w:left="1067" w:hanging="351"/>
        <w:spacing w:after="0"/>
        <w:tabs>
          <w:tab w:leader="none" w:pos="10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each of the director nominees set forth in this Proxy Statement.</w:t>
      </w:r>
    </w:p>
    <w:p>
      <w:pPr>
        <w:spacing w:after="0" w:line="103" w:lineRule="exact"/>
        <w:rPr>
          <w:rFonts w:ascii="Arial" w:cs="Arial" w:eastAsia="Arial" w:hAnsi="Arial"/>
          <w:sz w:val="18"/>
          <w:szCs w:val="18"/>
          <w:color w:val="auto"/>
        </w:rPr>
      </w:pPr>
    </w:p>
    <w:p>
      <w:pPr>
        <w:ind w:left="1067" w:right="280" w:hanging="351"/>
        <w:spacing w:after="0" w:line="246" w:lineRule="auto"/>
        <w:tabs>
          <w:tab w:leader="none" w:pos="10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fiscal 2018.</w:t>
      </w:r>
    </w:p>
    <w:p>
      <w:pPr>
        <w:spacing w:after="0" w:line="88" w:lineRule="exact"/>
        <w:rPr>
          <w:rFonts w:ascii="Arial" w:cs="Arial" w:eastAsia="Arial" w:hAnsi="Arial"/>
          <w:sz w:val="18"/>
          <w:szCs w:val="18"/>
          <w:color w:val="auto"/>
        </w:rPr>
      </w:pPr>
    </w:p>
    <w:p>
      <w:pPr>
        <w:ind w:left="1067" w:right="220" w:hanging="351"/>
        <w:spacing w:after="0" w:line="246" w:lineRule="auto"/>
        <w:tabs>
          <w:tab w:leader="none" w:pos="10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paid to our named executive officers.</w:t>
      </w:r>
    </w:p>
    <w:p>
      <w:pPr>
        <w:spacing w:after="0" w:line="88" w:lineRule="exact"/>
        <w:rPr>
          <w:rFonts w:ascii="Arial" w:cs="Arial" w:eastAsia="Arial" w:hAnsi="Arial"/>
          <w:sz w:val="18"/>
          <w:szCs w:val="18"/>
          <w:color w:val="auto"/>
        </w:rPr>
      </w:pPr>
    </w:p>
    <w:p>
      <w:pPr>
        <w:ind w:left="1067" w:right="320" w:hanging="351"/>
        <w:spacing w:after="0" w:line="275" w:lineRule="auto"/>
        <w:tabs>
          <w:tab w:leader="none" w:pos="1067" w:val="left"/>
        </w:tabs>
        <w:numPr>
          <w:ilvl w:val="1"/>
          <w:numId w:val="14"/>
        </w:numPr>
        <w:rPr>
          <w:rFonts w:ascii="Arial" w:cs="Arial" w:eastAsia="Arial" w:hAnsi="Arial"/>
          <w:sz w:val="17"/>
          <w:szCs w:val="17"/>
          <w:color w:val="auto"/>
        </w:rPr>
      </w:pPr>
      <w:r>
        <w:rPr>
          <w:rFonts w:ascii="Arial" w:cs="Arial" w:eastAsia="Arial" w:hAnsi="Arial"/>
          <w:sz w:val="17"/>
          <w:szCs w:val="17"/>
          <w:color w:val="auto"/>
        </w:rPr>
        <w:t>For every “ONE YEAR,” on a non-binding, advisory basis, with respect to how frequently a non-binding stockholder vote to approve the compensation paid to our named executive officers should occur.</w:t>
      </w:r>
    </w:p>
    <w:p>
      <w:pPr>
        <w:spacing w:after="0" w:line="65" w:lineRule="exact"/>
        <w:rPr>
          <w:rFonts w:ascii="Arial" w:cs="Arial" w:eastAsia="Arial" w:hAnsi="Arial"/>
          <w:sz w:val="17"/>
          <w:szCs w:val="17"/>
          <w:color w:val="auto"/>
        </w:rPr>
      </w:pPr>
    </w:p>
    <w:p>
      <w:pPr>
        <w:ind w:left="1067" w:hanging="351"/>
        <w:spacing w:after="0"/>
        <w:tabs>
          <w:tab w:leader="none" w:pos="10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approval of the Associate Stock Purchase Plan.</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Who will count the vote?</w:t>
      </w:r>
    </w:p>
    <w:p>
      <w:pPr>
        <w:spacing w:after="0" w:line="126" w:lineRule="exact"/>
        <w:rPr>
          <w:sz w:val="20"/>
          <w:szCs w:val="20"/>
          <w:color w:val="auto"/>
        </w:rPr>
      </w:pPr>
    </w:p>
    <w:p>
      <w:pPr>
        <w:ind w:left="347" w:right="480" w:hanging="347"/>
        <w:spacing w:after="0" w:line="246" w:lineRule="auto"/>
        <w:tabs>
          <w:tab w:leader="none" w:pos="347"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How do I vote my shares without attending the Annual Meeting?</w:t>
      </w:r>
    </w:p>
    <w:p>
      <w:pPr>
        <w:spacing w:after="0" w:line="126" w:lineRule="exact"/>
        <w:rPr>
          <w:sz w:val="20"/>
          <w:szCs w:val="20"/>
          <w:color w:val="auto"/>
        </w:rPr>
      </w:pPr>
    </w:p>
    <w:p>
      <w:pPr>
        <w:ind w:left="347" w:right="700" w:hanging="347"/>
        <w:spacing w:after="0" w:line="246" w:lineRule="auto"/>
        <w:tabs>
          <w:tab w:leader="none" w:pos="34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70" w:lineRule="exact"/>
        <w:rPr>
          <w:rFonts w:ascii="Arial" w:cs="Arial" w:eastAsia="Arial" w:hAnsi="Arial"/>
          <w:sz w:val="18"/>
          <w:szCs w:val="18"/>
          <w:b w:val="1"/>
          <w:bCs w:val="1"/>
          <w:color w:val="auto"/>
        </w:rPr>
      </w:pPr>
    </w:p>
    <w:p>
      <w:pPr>
        <w:ind w:left="1067" w:right="60" w:hanging="351"/>
        <w:spacing w:after="0" w:line="251" w:lineRule="auto"/>
        <w:tabs>
          <w:tab w:leader="none" w:pos="1067"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by following the instructions on how to complete an electronic proxy card. You will need the 16-digit number included on your proxy card in order to vote by Internet.</w:t>
      </w:r>
    </w:p>
    <w:p>
      <w:pPr>
        <w:spacing w:after="0" w:line="66" w:lineRule="exact"/>
        <w:rPr>
          <w:rFonts w:ascii="Arial" w:cs="Arial" w:eastAsia="Arial" w:hAnsi="Arial"/>
          <w:sz w:val="18"/>
          <w:szCs w:val="18"/>
          <w:color w:val="auto"/>
        </w:rPr>
      </w:pPr>
    </w:p>
    <w:p>
      <w:pPr>
        <w:ind w:left="1067" w:hanging="351"/>
        <w:spacing w:after="0" w:line="251" w:lineRule="auto"/>
        <w:tabs>
          <w:tab w:leader="none" w:pos="1067"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16-digit number included on your proxy card in order to vote by telephone.</w:t>
      </w:r>
    </w:p>
    <w:p>
      <w:pPr>
        <w:spacing w:after="0" w:line="66" w:lineRule="exact"/>
        <w:rPr>
          <w:rFonts w:ascii="Arial" w:cs="Arial" w:eastAsia="Arial" w:hAnsi="Arial"/>
          <w:sz w:val="18"/>
          <w:szCs w:val="18"/>
          <w:color w:val="auto"/>
        </w:rPr>
      </w:pPr>
    </w:p>
    <w:p>
      <w:pPr>
        <w:ind w:left="1067" w:right="20" w:hanging="351"/>
        <w:spacing w:after="0" w:line="242" w:lineRule="auto"/>
        <w:tabs>
          <w:tab w:leader="none" w:pos="1067"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95" w:lineRule="exact"/>
        <w:rPr>
          <w:sz w:val="20"/>
          <w:szCs w:val="20"/>
          <w:color w:val="auto"/>
        </w:rPr>
      </w:pPr>
    </w:p>
    <w:p>
      <w:pPr>
        <w:ind w:left="367" w:right="20"/>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07187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20370"/>
                    </a:xfrm>
                    <a:prstGeom prst="rect">
                      <a:avLst/>
                    </a:prstGeom>
                    <a:noFill/>
                  </pic:spPr>
                </pic:pic>
              </a:graphicData>
            </a:graphic>
          </wp:anchor>
        </w:drawing>
      </w:r>
    </w:p>
    <w:p>
      <w:pPr>
        <w:spacing w:after="0" w:line="25" w:lineRule="exact"/>
        <w:rPr>
          <w:sz w:val="20"/>
          <w:szCs w:val="20"/>
          <w:color w:val="auto"/>
        </w:rPr>
      </w:pPr>
    </w:p>
    <w:p>
      <w:pPr>
        <w:jc w:val="center"/>
        <w:ind w:left="1200" w:right="840"/>
        <w:spacing w:after="0" w:line="253"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5, 2018, for the voting of shares held by stockholders of record as of the Record Date. Proxy cards with respect to shares held of record must be received no later than June 5, 2018.</w:t>
      </w:r>
    </w:p>
    <w:p>
      <w:pPr>
        <w:spacing w:after="0" w:line="137"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6</w:t>
      </w:r>
      <w:r>
        <w:rPr>
          <w:sz w:val="20"/>
          <w:szCs w:val="20"/>
          <w:color w:val="auto"/>
        </w:rPr>
        <w:tab/>
      </w:r>
      <w:r>
        <w:rPr>
          <w:sz w:val="1"/>
          <w:szCs w:val="1"/>
          <w:color w:val="auto"/>
        </w:rPr>
        <w:drawing>
          <wp:inline distT="0" distB="0" distL="0" distR="0">
            <wp:extent cx="205740" cy="1543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9" w:name="page10"/>
    <w:bookmarkEnd w:id="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GENERAL INFORMATION</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How do I vote my shares in person at the Annual Meeting?</w:t>
      </w:r>
    </w:p>
    <w:p>
      <w:pPr>
        <w:spacing w:after="0" w:line="126" w:lineRule="exact"/>
        <w:rPr>
          <w:sz w:val="20"/>
          <w:szCs w:val="20"/>
          <w:color w:val="auto"/>
        </w:rPr>
      </w:pPr>
    </w:p>
    <w:p>
      <w:pPr>
        <w:ind w:left="347" w:right="60" w:hanging="347"/>
        <w:spacing w:after="0" w:line="239" w:lineRule="auto"/>
        <w:tabs>
          <w:tab w:leader="none" w:pos="347"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prefer to vote your shares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w:t>
      </w:r>
    </w:p>
    <w:p>
      <w:pPr>
        <w:spacing w:after="0" w:line="93" w:lineRule="exact"/>
        <w:rPr>
          <w:rFonts w:ascii="Arial" w:cs="Arial" w:eastAsia="Arial" w:hAnsi="Arial"/>
          <w:sz w:val="18"/>
          <w:szCs w:val="18"/>
          <w:b w:val="1"/>
          <w:bCs w:val="1"/>
          <w:color w:val="auto"/>
        </w:rPr>
      </w:pPr>
    </w:p>
    <w:p>
      <w:pPr>
        <w:ind w:left="367" w:right="1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Even if you plan to attend the Annual Meeting, we encourage you to vote in advance by Internet, telephone or mail so that your vote will be counted even if you later decide not to attend the Annual Meeting.</w:t>
      </w:r>
    </w:p>
    <w:p>
      <w:pPr>
        <w:spacing w:after="0" w:line="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Do I need a ticket to be admitted to the Annual Meeting?</w:t>
      </w:r>
    </w:p>
    <w:p>
      <w:pPr>
        <w:spacing w:after="0" w:line="126" w:lineRule="exact"/>
        <w:rPr>
          <w:sz w:val="20"/>
          <w:szCs w:val="20"/>
          <w:color w:val="auto"/>
        </w:rPr>
      </w:pPr>
    </w:p>
    <w:p>
      <w:pPr>
        <w:jc w:val="both"/>
        <w:ind w:left="347" w:right="220" w:hanging="347"/>
        <w:spacing w:after="0" w:line="238" w:lineRule="auto"/>
        <w:tabs>
          <w:tab w:leader="none" w:pos="34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order to be admitted to the meeting, you will need to present (1) a form of personal identification, and (2) either your Proxy Card or proof of your stock ownership of National Vision stock on the Record Date. If your shares are held beneficially in the name of a bank, broker or other holder of record and you wish to be admitted to attend the Annual Meeting, you must present proof of your ownership of National Vision stock, such as a bank or brokerage account statement.</w:t>
      </w:r>
    </w:p>
    <w:p>
      <w:pPr>
        <w:spacing w:after="0" w:line="94" w:lineRule="exact"/>
        <w:rPr>
          <w:rFonts w:ascii="Arial" w:cs="Arial" w:eastAsia="Arial" w:hAnsi="Arial"/>
          <w:sz w:val="18"/>
          <w:szCs w:val="18"/>
          <w:b w:val="1"/>
          <w:bCs w:val="1"/>
          <w:color w:val="auto"/>
        </w:rPr>
      </w:pPr>
    </w:p>
    <w:p>
      <w:pPr>
        <w:ind w:left="367" w:right="2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No cameras, recording equipment, electronic devices, large bags, briefcases or packages will be permitted in the Annual Meeting.</w:t>
      </w:r>
    </w:p>
    <w:p>
      <w:pPr>
        <w:spacing w:after="0" w:line="88" w:lineRule="exact"/>
        <w:rPr>
          <w:rFonts w:ascii="Arial" w:cs="Arial" w:eastAsia="Arial" w:hAnsi="Arial"/>
          <w:sz w:val="18"/>
          <w:szCs w:val="18"/>
          <w:b w:val="1"/>
          <w:bCs w:val="1"/>
          <w:color w:val="auto"/>
        </w:rPr>
      </w:pPr>
    </w:p>
    <w:p>
      <w:pPr>
        <w:ind w:left="367" w:right="27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For directions to the meeting, you may contact Beth Dobson at (470) 448-2173 or Beth.Dobson@nationalvision.com.</w:t>
      </w:r>
    </w:p>
    <w:p>
      <w:pPr>
        <w:spacing w:after="0" w:line="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What does it mean if I receive more than one proxy card on or about the same time?</w:t>
      </w:r>
    </w:p>
    <w:p>
      <w:pPr>
        <w:spacing w:after="0" w:line="126" w:lineRule="exact"/>
        <w:rPr>
          <w:sz w:val="20"/>
          <w:szCs w:val="20"/>
          <w:color w:val="auto"/>
        </w:rPr>
      </w:pPr>
    </w:p>
    <w:p>
      <w:pPr>
        <w:jc w:val="both"/>
        <w:ind w:left="347" w:right="180" w:hanging="347"/>
        <w:spacing w:after="0"/>
        <w:tabs>
          <w:tab w:leader="none" w:pos="347"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May I change my vote or revoke my proxy?</w:t>
      </w:r>
    </w:p>
    <w:p>
      <w:pPr>
        <w:spacing w:after="0" w:line="126" w:lineRule="exact"/>
        <w:rPr>
          <w:sz w:val="20"/>
          <w:szCs w:val="20"/>
          <w:color w:val="auto"/>
        </w:rPr>
      </w:pPr>
    </w:p>
    <w:p>
      <w:pPr>
        <w:ind w:left="347" w:right="340" w:hanging="347"/>
        <w:spacing w:after="0" w:line="246" w:lineRule="auto"/>
        <w:tabs>
          <w:tab w:leader="none" w:pos="34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88" w:lineRule="exact"/>
        <w:rPr>
          <w:rFonts w:ascii="Arial" w:cs="Arial" w:eastAsia="Arial" w:hAnsi="Arial"/>
          <w:sz w:val="18"/>
          <w:szCs w:val="18"/>
          <w:b w:val="1"/>
          <w:bCs w:val="1"/>
          <w:color w:val="auto"/>
        </w:rPr>
      </w:pPr>
    </w:p>
    <w:p>
      <w:pPr>
        <w:ind w:left="1067" w:right="320" w:hanging="351"/>
        <w:spacing w:after="0" w:line="246" w:lineRule="auto"/>
        <w:tabs>
          <w:tab w:leader="none" w:pos="10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June 5, 2018;</w:t>
      </w:r>
    </w:p>
    <w:p>
      <w:pPr>
        <w:spacing w:after="0" w:line="88" w:lineRule="exact"/>
        <w:rPr>
          <w:rFonts w:ascii="Arial" w:cs="Arial" w:eastAsia="Arial" w:hAnsi="Arial"/>
          <w:sz w:val="18"/>
          <w:szCs w:val="18"/>
          <w:color w:val="auto"/>
        </w:rPr>
      </w:pPr>
    </w:p>
    <w:p>
      <w:pPr>
        <w:ind w:left="1067" w:right="500" w:hanging="351"/>
        <w:spacing w:after="0" w:line="246" w:lineRule="auto"/>
        <w:tabs>
          <w:tab w:leader="none" w:pos="10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11:59 p.m., Eastern Time, on June 5, 2018;</w:t>
      </w:r>
    </w:p>
    <w:p>
      <w:pPr>
        <w:spacing w:after="0" w:line="88" w:lineRule="exact"/>
        <w:rPr>
          <w:rFonts w:ascii="Arial" w:cs="Arial" w:eastAsia="Arial" w:hAnsi="Arial"/>
          <w:sz w:val="18"/>
          <w:szCs w:val="18"/>
          <w:color w:val="auto"/>
        </w:rPr>
      </w:pPr>
    </w:p>
    <w:p>
      <w:pPr>
        <w:ind w:left="1067" w:right="660" w:hanging="351"/>
        <w:spacing w:after="0" w:line="246" w:lineRule="auto"/>
        <w:tabs>
          <w:tab w:leader="none" w:pos="10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June 5, 2018; or</w:t>
      </w:r>
    </w:p>
    <w:p>
      <w:pPr>
        <w:spacing w:after="0" w:line="88" w:lineRule="exact"/>
        <w:rPr>
          <w:rFonts w:ascii="Arial" w:cs="Arial" w:eastAsia="Arial" w:hAnsi="Arial"/>
          <w:sz w:val="18"/>
          <w:szCs w:val="18"/>
          <w:color w:val="auto"/>
        </w:rPr>
      </w:pPr>
    </w:p>
    <w:p>
      <w:pPr>
        <w:ind w:left="1067" w:hanging="351"/>
        <w:spacing w:after="0"/>
        <w:tabs>
          <w:tab w:leader="none" w:pos="10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04" w:lineRule="exact"/>
        <w:rPr>
          <w:sz w:val="20"/>
          <w:szCs w:val="20"/>
          <w:color w:val="auto"/>
        </w:rPr>
      </w:pPr>
    </w:p>
    <w:p>
      <w:pPr>
        <w:ind w:left="367" w:right="300"/>
        <w:spacing w:after="0" w:line="262"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Could other matters be decided at the Annual Meeting?</w:t>
      </w:r>
    </w:p>
    <w:p>
      <w:pPr>
        <w:spacing w:after="0" w:line="126" w:lineRule="exact"/>
        <w:rPr>
          <w:sz w:val="20"/>
          <w:szCs w:val="20"/>
          <w:color w:val="auto"/>
        </w:rPr>
      </w:pPr>
    </w:p>
    <w:p>
      <w:pPr>
        <w:jc w:val="both"/>
        <w:ind w:left="347" w:right="360" w:hanging="347"/>
        <w:spacing w:after="0" w:line="239" w:lineRule="auto"/>
        <w:tabs>
          <w:tab w:leader="none" w:pos="347"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94615</wp:posOffset>
            </wp:positionV>
            <wp:extent cx="20574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92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71"/>
        </w:trPr>
        <w:tc>
          <w:tcPr>
            <w:tcW w:w="8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89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0" w:name="page11"/>
    <w:bookmarkEnd w:id="1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GENERAL INFORMATION</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F3C7B"/>
        </w:rPr>
        <w:t>Q:  Who will pay for the cost of this proxy solicitation?</w:t>
      </w:r>
    </w:p>
    <w:p>
      <w:pPr>
        <w:spacing w:after="0" w:line="126" w:lineRule="exact"/>
        <w:rPr>
          <w:sz w:val="20"/>
          <w:szCs w:val="20"/>
          <w:color w:val="auto"/>
        </w:rPr>
      </w:pPr>
    </w:p>
    <w:p>
      <w:pPr>
        <w:ind w:left="347" w:hanging="347"/>
        <w:spacing w:after="0" w:line="239" w:lineRule="auto"/>
        <w:tabs>
          <w:tab w:leader="none" w:pos="347"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72" w:lineRule="exact"/>
        <w:rPr>
          <w:sz w:val="20"/>
          <w:szCs w:val="20"/>
          <w:color w:val="auto"/>
        </w:rPr>
      </w:pPr>
    </w:p>
    <w:p>
      <w:pPr>
        <w:ind w:left="347" w:right="620" w:hanging="347"/>
        <w:spacing w:after="0" w:line="271" w:lineRule="auto"/>
        <w:tabs>
          <w:tab w:leader="none" w:pos="347" w:val="left"/>
        </w:tabs>
        <w:numPr>
          <w:ilvl w:val="0"/>
          <w:numId w:val="23"/>
        </w:numPr>
        <w:rPr>
          <w:rFonts w:ascii="Arial" w:cs="Arial" w:eastAsia="Arial" w:hAnsi="Arial"/>
          <w:sz w:val="18"/>
          <w:szCs w:val="18"/>
          <w:b w:val="1"/>
          <w:bCs w:val="1"/>
          <w:color w:val="1F3C7B"/>
        </w:rPr>
      </w:pPr>
      <w:r>
        <w:rPr>
          <w:rFonts w:ascii="Arial" w:cs="Arial" w:eastAsia="Arial" w:hAnsi="Arial"/>
          <w:sz w:val="18"/>
          <w:szCs w:val="18"/>
          <w:b w:val="1"/>
          <w:bCs w:val="1"/>
          <w:color w:val="1F3C7B"/>
        </w:rPr>
        <w:t>How can I view copies of the Company’s corporate documents and SEC filings, including the Proxy Statement and Annual Report?</w:t>
      </w:r>
    </w:p>
    <w:p>
      <w:pPr>
        <w:spacing w:after="0" w:line="68" w:lineRule="exact"/>
        <w:rPr>
          <w:sz w:val="20"/>
          <w:szCs w:val="20"/>
          <w:color w:val="auto"/>
        </w:rPr>
      </w:pPr>
    </w:p>
    <w:p>
      <w:pPr>
        <w:ind w:left="347" w:right="460" w:hanging="347"/>
        <w:spacing w:after="0"/>
        <w:tabs>
          <w:tab w:leader="none" w:pos="34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website contains the Company’s Certificate of Incorporation, Bylaws, Corporate Governance Guidelines, Committee Charters, Code of Conduct and the Company’s SEC filings. To view these documents, go to www.nationalvision.com and click on “Investors.”</w:t>
      </w:r>
    </w:p>
    <w:p>
      <w:pPr>
        <w:spacing w:after="0" w:line="122"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205740" cy="1543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7"/>
          </w:cols>
          <w:pgMar w:left="1173" w:top="279" w:right="12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auto"/>
        </w:rPr>
        <w:t>PROPOSAL NO. 1—ELECTION OF DIRECTORS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Second Amended and Restated Certificate of Incorporation (“Certificate of Incorporation”) provides for a classified Board of Directors divided into three classes. Nathaniel H. Taylor and L. Reade Fahs constitute a class with a term that expires at the Annual Meeting of Stockholders in 2018 (the “Class I Directors”); D. Randolph Peeler and Felix Gernburd constitute a class with a term that expires at the Annual Meeting of Stockholders in 2019 (the “Class II Directors”); and David M. Tehle and Virginia A. Hepner constitute a class with a term that expires at the Annual Meeting of Stockholders in 2020 (the “Class III Directors”).</w:t>
      </w:r>
    </w:p>
    <w:p>
      <w:pPr>
        <w:spacing w:after="0" w:line="1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has considered and nominated the following slate of Class I Director nominees for a three-year term expiring in 2021: Nathaniel H. Taylor and L. Reade Fahs. Action will be taken at the Annual Meeting for the election of these two Class I nominees.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Nathaniel H. Taylor and L. Reade Fahs. Each of these nominees has indicated that he will be willing and able to serve as a director. If any of these nominees ceases to be a candidate for election by the time of the Annual Meeting (a contingency which the Board does not expect to occur), such proxies may be voted by the proxyholders in accordance with the recommendation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Set forth below is certain information regarding each director nominee. Beneficial ownership of equity securities of the director nominees is shown under “Ownership of Securities” below.</w:t>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right="40"/>
        <w:spacing w:after="0" w:line="244" w:lineRule="auto"/>
        <w:rPr>
          <w:sz w:val="20"/>
          <w:szCs w:val="20"/>
          <w:color w:val="auto"/>
        </w:rPr>
      </w:pPr>
      <w:r>
        <w:rPr>
          <w:rFonts w:ascii="Arial" w:cs="Arial" w:eastAsia="Arial" w:hAnsi="Arial"/>
          <w:sz w:val="14"/>
          <w:szCs w:val="14"/>
          <w:color w:val="auto"/>
        </w:rPr>
        <w:t>Mr. Fahs has served as the Chief Executive Officer of NVI since January 2003, having joined NVI in April 2002 as the President and Chief 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071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1"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Nathaniel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February 2014</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41</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right="20"/>
        <w:spacing w:after="0" w:line="244" w:lineRule="auto"/>
        <w:rPr>
          <w:sz w:val="20"/>
          <w:szCs w:val="20"/>
          <w:color w:val="auto"/>
        </w:rPr>
      </w:pPr>
      <w:r>
        <w:rPr>
          <w:rFonts w:ascii="Arial" w:cs="Arial" w:eastAsia="Arial" w:hAnsi="Arial"/>
          <w:sz w:val="14"/>
          <w:szCs w:val="14"/>
          <w:color w:val="auto"/>
        </w:rPr>
        <w:t>Mr. Taylor has been a director since February 2014 and has served as Chairman of the Board since October 2017. Mr. Taylor joined KKR &amp; Co. in 2005 and currently heads the Americas Consumer Retail team. Mr. Taylor also helped establish KKR &amp; Co.’s Indian operations. Mr. Taylor has been involved with many investments at KKR &amp; Co. and currently sits on the board of directors of Academy Sports + Outdoors, Mills Fleet Farm, and Nature’s Bounty Company.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6071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204470</wp:posOffset>
            </wp:positionV>
            <wp:extent cx="607187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06" w:lineRule="exact"/>
        <w:rPr>
          <w:sz w:val="20"/>
          <w:szCs w:val="20"/>
          <w:color w:val="auto"/>
        </w:rPr>
      </w:pPr>
    </w:p>
    <w:p>
      <w:pPr>
        <w:jc w:val="center"/>
        <w:ind w:right="20"/>
        <w:spacing w:after="0" w:line="271" w:lineRule="auto"/>
        <w:rPr>
          <w:sz w:val="20"/>
          <w:szCs w:val="20"/>
          <w:color w:val="auto"/>
        </w:rPr>
      </w:pPr>
      <w:r>
        <w:rPr>
          <w:rFonts w:ascii="Arial" w:cs="Arial" w:eastAsia="Arial" w:hAnsi="Arial"/>
          <w:sz w:val="18"/>
          <w:szCs w:val="18"/>
          <w:b w:val="1"/>
          <w:bCs w:val="1"/>
          <w:i w:val="1"/>
          <w:iCs w:val="1"/>
          <w:color w:val="1F3C7B"/>
        </w:rPr>
        <w:t>YOUR BOARD OF DIRECTORS RECOMMENDS THAT YOU VOTE “FOR” 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95250</wp:posOffset>
            </wp:positionV>
            <wp:extent cx="20574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2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471"/>
        </w:trPr>
        <w:tc>
          <w:tcPr>
            <w:tcW w:w="8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89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PROPOSAL NO. 1—ELECTION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Securities” below.</w:t>
      </w:r>
    </w:p>
    <w:p>
      <w:pPr>
        <w:spacing w:after="0" w:line="116"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53</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spacing w:after="0" w:line="244" w:lineRule="auto"/>
        <w:rPr>
          <w:sz w:val="20"/>
          <w:szCs w:val="20"/>
          <w:color w:val="auto"/>
        </w:rPr>
      </w:pPr>
      <w:r>
        <w:rPr>
          <w:rFonts w:ascii="Arial" w:cs="Arial" w:eastAsia="Arial" w:hAnsi="Arial"/>
          <w:sz w:val="14"/>
          <w:szCs w:val="14"/>
          <w:color w:val="auto"/>
        </w:rPr>
        <w:t>Mr. Peeler has been a director since March 2014. Mr. Peeler joined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Husky Injection Molding Systems Ltd. and Lightower Fiber Networks. Mr. Peeler has an A.B. from Duke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07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4"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Felix Gernburd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September 2015</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31</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right="80"/>
        <w:spacing w:after="0" w:line="244" w:lineRule="auto"/>
        <w:rPr>
          <w:sz w:val="20"/>
          <w:szCs w:val="20"/>
          <w:color w:val="auto"/>
        </w:rPr>
      </w:pPr>
      <w:r>
        <w:rPr>
          <w:rFonts w:ascii="Arial" w:cs="Arial" w:eastAsia="Arial" w:hAnsi="Arial"/>
          <w:sz w:val="14"/>
          <w:szCs w:val="14"/>
          <w:color w:val="auto"/>
        </w:rPr>
        <w:t>Mr. Gernburd has been a director since September 2015. Mr. Gernburd joined KKR &amp; Co. in 2010 and is currently a Director, Private Equity and a member 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6071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3"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July 2017</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right="20"/>
        <w:spacing w:after="0" w:line="244" w:lineRule="auto"/>
        <w:rPr>
          <w:sz w:val="20"/>
          <w:szCs w:val="20"/>
          <w:color w:val="auto"/>
        </w:rPr>
      </w:pPr>
      <w:r>
        <w:rPr>
          <w:rFonts w:ascii="Arial" w:cs="Arial" w:eastAsia="Arial" w:hAnsi="Arial"/>
          <w:sz w:val="14"/>
          <w:szCs w:val="14"/>
          <w:color w:val="auto"/>
        </w:rPr>
        <w:t>Mr. Tehle has been a director since July 2017. 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6071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3"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1F3C7B"/>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-139065</wp:posOffset>
            </wp:positionV>
            <wp:extent cx="6003290" cy="1243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3290" cy="1243330"/>
                    </a:xfrm>
                    <a:prstGeom prst="rect">
                      <a:avLst/>
                    </a:prstGeom>
                    <a:noFill/>
                  </pic:spPr>
                </pic:pic>
              </a:graphicData>
            </a:graphic>
          </wp:anchor>
        </w:drawing>
      </w:r>
    </w:p>
    <w:p>
      <w:pPr>
        <w:spacing w:after="0" w:line="30"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2018</w:t>
      </w:r>
    </w:p>
    <w:p>
      <w:pPr>
        <w:spacing w:after="0" w:line="19"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7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1F3C7B"/>
        </w:rPr>
        <w:t>PRINCIPAL OCCUPATION AND OTHER INFORMATION</w:t>
      </w:r>
    </w:p>
    <w:p>
      <w:pPr>
        <w:spacing w:after="0" w:line="46" w:lineRule="exact"/>
        <w:rPr>
          <w:sz w:val="20"/>
          <w:szCs w:val="20"/>
          <w:color w:val="auto"/>
        </w:rPr>
      </w:pPr>
    </w:p>
    <w:p>
      <w:pPr>
        <w:ind w:left="1820"/>
        <w:spacing w:after="0" w:line="243" w:lineRule="auto"/>
        <w:rPr>
          <w:sz w:val="20"/>
          <w:szCs w:val="20"/>
          <w:color w:val="auto"/>
        </w:rPr>
      </w:pPr>
      <w:r>
        <w:rPr>
          <w:rFonts w:ascii="Arial" w:cs="Arial" w:eastAsia="Arial" w:hAnsi="Arial"/>
          <w:sz w:val="14"/>
          <w:szCs w:val="14"/>
          <w:color w:val="auto"/>
        </w:rPr>
        <w:t>Ms. Hepner has been a director since January 2018. 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State Bank Financial Corporation, serving on its audit committee and independent director committee, and a director of its subsidiary bank, State Bank and Trust Company, since 2010. Additionally, Ms. Hepner has been a member of the board of directors of Oxford Industries, Inc. since 2016, serving on its nominating, compensation and governance committee. Ms. Hepner holds a bachelor’s degree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071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90"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10</w:t>
      </w:r>
      <w:r>
        <w:rPr>
          <w:sz w:val="20"/>
          <w:szCs w:val="20"/>
          <w:color w:val="auto"/>
        </w:rPr>
        <w:tab/>
      </w:r>
      <w:r>
        <w:rPr>
          <w:sz w:val="1"/>
          <w:szCs w:val="1"/>
          <w:color w:val="auto"/>
        </w:rPr>
        <w:drawing>
          <wp:inline distT="0" distB="0" distL="0" distR="0">
            <wp:extent cx="205740" cy="1543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right="500"/>
        <w:spacing w:after="0" w:line="237" w:lineRule="auto"/>
        <w:rPr>
          <w:sz w:val="20"/>
          <w:szCs w:val="20"/>
          <w:color w:val="auto"/>
        </w:rPr>
      </w:pPr>
      <w:r>
        <w:rPr>
          <w:rFonts w:ascii="Arial" w:cs="Arial" w:eastAsia="Arial" w:hAnsi="Arial"/>
          <w:sz w:val="32"/>
          <w:szCs w:val="32"/>
          <w:color w:val="auto"/>
        </w:rPr>
        <w:t>THE BOARD OF DIRECTORS AND CERTAIN GOVERNANCE MATTERS</w:t>
      </w:r>
    </w:p>
    <w:p>
      <w:pPr>
        <w:spacing w:after="0" w:line="6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and two standing committees: the audit committee and the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Under our Corporate Governance Guidelines and the NASDAQ Listing Rules, a director is not independent unless the Board affirmatively determines that he or she does not have a relationship with us, which in the opinion of the Board, would impair their independence.</w:t>
      </w:r>
    </w:p>
    <w:p>
      <w:pPr>
        <w:spacing w:after="0" w:line="9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Our Corporate Governance Guidelines define independence in accordance with the independence standards in the current NASDAQ corporate governance rules for listed companies. Our Corporate Governance Guidelines require the Board to review the independence of all directors at least annually, subject to an election by the Company to rely on the exemption for controlled companies and the applicable transition periods under the applicable NASDAQ Listing Rules.</w:t>
      </w:r>
    </w:p>
    <w:p>
      <w:pPr>
        <w:spacing w:after="0" w:line="8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Board has affirmatively determined that each of Mr. Tehle and Ms. Hepner is independent under the guidelines for director independence set forth in the Corporate Governance Guidelines and under all applicable NASDAQ guidelines, including with respect to committee membership.</w:t>
      </w:r>
    </w:p>
    <w:p>
      <w:pPr>
        <w:spacing w:after="0" w:line="9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Controlled Company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the date of this report, affiliates of Kohlberg Kravis Roberts &amp; Co. L.P. (“KKR Sponsor”) and private equity funds managed by Berkshire Partners LLC (“Berkshire” and, together with the KKR Sponsor, the “Sponsors”) beneficially own shares representing more than 50% of the voting power of our shares eligible to vote in the election of directors. As a result, we are a “controlled company” within the meaning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nominating committee that is composed entirely of independent directors and that we adopt a written charter or board resolution addressing the nominations process.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at least some period, we intend to utilize these exemptions. As a result, we do not have a majority of independent directors on our Board of Directors, do not have a compensation committee that is composed entirely of independent directors and our director nominations are not made, or recommended to the full Board of Directors, by our independent directors or by a nominating/corporate governance committee that is composed entirely of independent directors. Accordingly, our stockholders do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At each annual meeting of stockholders, the successors to directors whose terms then expire will be elected to serve from the time of election and qualification until the third annual meeting following election. Our Certificate of Incorporation provides that the authorized number of directors may be changed only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94615</wp:posOffset>
            </wp:positionV>
            <wp:extent cx="20574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480"/>
        <w:spacing w:after="0" w:line="232" w:lineRule="auto"/>
        <w:rPr>
          <w:sz w:val="20"/>
          <w:szCs w:val="20"/>
          <w:color w:val="auto"/>
        </w:rPr>
      </w:pPr>
      <w:r>
        <w:rPr>
          <w:rFonts w:ascii="Arial" w:cs="Arial" w:eastAsia="Arial" w:hAnsi="Arial"/>
          <w:sz w:val="32"/>
          <w:szCs w:val="32"/>
          <w:color w:val="auto"/>
        </w:rPr>
        <w:t>THE BOARD OF DIRECTORS AND CERTAIN GOVERNANCE MATTERS</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pursuant to a stockholders agreement entered into in connection with our initial public offering (“IPO”), each of the Sponsors have the right to designate nominees to our Board of Directors subject to the maintenance of certain ownership requirements in us. See “Transactions with Related Persons—Stockholders Agreement.”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do not have a standing nominating committee, though we intend to form a nominating committee as and when required to do so by law or NASDAQ rules. In addition, as noted above, we are currently utilizing the exemption for controlled companies from Rule 5605(e)(2) of the NASDAQ Listing Rules, which requires that director nominations be made, or recommended to the full Board of Directors, by our independent directors or by a nominations committee that is composed entirely of independent directors and that we adopt a written charter or board resolution addressing the nominations process. As a controlled company, the Board of Directors believes it is appropriate that the full Board of Directors carry out the responsibility of selecting or approving director nominees in accordance with our Corporate Governance Guidelines and the stockholders agreement.</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of Directors weighs the characteristics, experience, independence and skills of potential candidates for election to the Board and nominates such candidates for election by our stockholders. As the application of these factors involves the exercise of judgment, the Board of Directors does not have a standard set of fixed qualifications that is applicable to all director candidates, although the Board of Directors does at a minimum assess each candidate’s integrity, accountability, skills, experience, independence and ability to work collegially with the other members of the Board of Directors. In addition, although the Board considers diversity of viewpoints, background and experiences, the Board of Directors does not have a formal diversity policy. The Board of Directors may identify candidates for election to the Board of Directors on its own, or by considering recommendations from stockholders, officers and employees of the Company and other sources that the Board of Directors deems appropriate. The Board of Directors may retain a third-party search firm to assist in the identification of possible candidates for election to the Board of Directors.</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members of our Board of Directors considered the following important characteristics, among others:</w:t>
      </w:r>
    </w:p>
    <w:p>
      <w:pPr>
        <w:spacing w:after="0" w:line="117" w:lineRule="exact"/>
        <w:rPr>
          <w:sz w:val="20"/>
          <w:szCs w:val="20"/>
          <w:color w:val="auto"/>
        </w:rPr>
      </w:pPr>
    </w:p>
    <w:p>
      <w:pPr>
        <w:ind w:left="1060" w:hanging="35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Fahs, our Chief Executive Officer, has many years of executive experience in the optical retail industry.</w:t>
      </w:r>
    </w:p>
    <w:p>
      <w:pPr>
        <w:spacing w:after="0" w:line="115" w:lineRule="exact"/>
        <w:rPr>
          <w:rFonts w:ascii="Arial" w:cs="Arial" w:eastAsia="Arial" w:hAnsi="Arial"/>
          <w:sz w:val="17"/>
          <w:szCs w:val="17"/>
          <w:color w:val="auto"/>
        </w:rPr>
      </w:pPr>
    </w:p>
    <w:p>
      <w:pPr>
        <w:ind w:left="1060" w:hanging="35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Taylor and Mr. Gernburd each have significant financial, investment and operational experience from their involvement with numerous portfolio companies of KKR &amp; Co. and its affiliated funds and have played active roles in overseeing those businesses.</w:t>
      </w:r>
    </w:p>
    <w:p>
      <w:pPr>
        <w:spacing w:after="0" w:line="94" w:lineRule="exact"/>
        <w:rPr>
          <w:rFonts w:ascii="Arial" w:cs="Arial" w:eastAsia="Arial" w:hAnsi="Arial"/>
          <w:sz w:val="18"/>
          <w:szCs w:val="18"/>
          <w:color w:val="auto"/>
        </w:rPr>
      </w:pPr>
    </w:p>
    <w:p>
      <w:pPr>
        <w:ind w:left="1060" w:right="140" w:hanging="351"/>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Peeler has significant experience and expertise in private equity investments through his involvement in Berkshire’s investments.</w:t>
      </w:r>
    </w:p>
    <w:p>
      <w:pPr>
        <w:spacing w:after="0" w:line="116"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205740" cy="1543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500"/>
        <w:spacing w:after="0" w:line="232" w:lineRule="auto"/>
        <w:rPr>
          <w:sz w:val="20"/>
          <w:szCs w:val="20"/>
          <w:color w:val="auto"/>
        </w:rPr>
      </w:pPr>
      <w:r>
        <w:rPr>
          <w:rFonts w:ascii="Arial" w:cs="Arial" w:eastAsia="Arial" w:hAnsi="Arial"/>
          <w:sz w:val="32"/>
          <w:szCs w:val="32"/>
          <w:color w:val="auto"/>
        </w:rPr>
        <w:t>THE BOARD OF DIRECTORS AND CERTAIN GOVERNANCE MATTERS</w:t>
      </w:r>
    </w:p>
    <w:p>
      <w:pPr>
        <w:spacing w:after="0" w:line="67" w:lineRule="exact"/>
        <w:rPr>
          <w:sz w:val="20"/>
          <w:szCs w:val="20"/>
          <w:color w:val="auto"/>
        </w:rPr>
      </w:pPr>
    </w:p>
    <w:p>
      <w:pPr>
        <w:jc w:val="both"/>
        <w:ind w:left="1060" w:right="180" w:hanging="35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94" w:lineRule="exact"/>
        <w:rPr>
          <w:rFonts w:ascii="Arial" w:cs="Arial" w:eastAsia="Arial" w:hAnsi="Arial"/>
          <w:sz w:val="18"/>
          <w:szCs w:val="18"/>
          <w:color w:val="auto"/>
        </w:rPr>
      </w:pPr>
    </w:p>
    <w:p>
      <w:pPr>
        <w:ind w:left="1060" w:right="220" w:hanging="351"/>
        <w:spacing w:after="0" w:line="239"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Hepner has leadership experience as the president and chief executive officer of a nationally-esteemed arts center, has significant financial expertise in corporate banking and capital markets having served as a senior officer with financial oversight responsibilities and has served as a director of publicly held companies.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of Directors will consider director candidates recommended by stockholders. Any recommendation submitted to the Secretary of the Company should be in writing and should include any supporting material the stockholder considers appropriate in support of that recommendation, but must include information that would be required under the rules of the U.S. Securities and Exchange Commission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Board of Directors for its consideration. Stockholders also must satisfy the notification, timeliness, consent and information requirements set forth in our Bylaws. These requirements are also described under “Stockholder Proposals for the 2019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Leadership Structure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Currently, these positions are separated, with Mr. Taylor serving as Chairman of the Board and Mr. Fahs serving as our Chief Executive Officer and also as a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Executive sessions, which are meetings of the non-management members of the Board, are regularly scheduled throughout the year. In addition, at least twice a year, the independent directors will meet in a private session that excludes management and any non-independent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described in our Corporate Governance Guidelines, stockholders and other interested parties who wish to communicate with a member or members of our Board of Directors, including the chairman of our Board of Directors, the chairperson of any of the audit and compensation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88900</wp:posOffset>
            </wp:positionV>
            <wp:extent cx="20574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500"/>
        <w:spacing w:after="0" w:line="232" w:lineRule="auto"/>
        <w:rPr>
          <w:sz w:val="20"/>
          <w:szCs w:val="20"/>
          <w:color w:val="auto"/>
        </w:rPr>
      </w:pPr>
      <w:r>
        <w:rPr>
          <w:rFonts w:ascii="Arial" w:cs="Arial" w:eastAsia="Arial" w:hAnsi="Arial"/>
          <w:sz w:val="32"/>
          <w:szCs w:val="32"/>
          <w:color w:val="auto"/>
        </w:rPr>
        <w:t>THE BOARD OF DIRECTORS AND CERTAIN GOVERNANCE MATTERS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071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Board of Directors has an audit committee and a compensation committee, each of which operates under a charter that has been approved by our Board.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860" w:type="dxa"/>
            <w:vAlign w:val="bottom"/>
            <w:tcBorders>
              <w:left w:val="single" w:sz="8" w:color="1F3C7B"/>
              <w:right w:val="single" w:sz="8" w:color="000E5B"/>
            </w:tcBorders>
            <w:shd w:val="clear" w:color="auto" w:fill="1F3C7B"/>
          </w:tcPr>
          <w:p>
            <w:pPr>
              <w:spacing w:after="0"/>
              <w:rPr>
                <w:sz w:val="17"/>
                <w:szCs w:val="17"/>
                <w:color w:val="auto"/>
              </w:rPr>
            </w:pPr>
          </w:p>
        </w:tc>
        <w:tc>
          <w:tcPr>
            <w:tcW w:w="116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154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rPr>
              <w:t>Compensation</w:t>
            </w:r>
          </w:p>
        </w:tc>
      </w:tr>
      <w:tr>
        <w:trPr>
          <w:trHeight w:val="239"/>
        </w:trPr>
        <w:tc>
          <w:tcPr>
            <w:tcW w:w="6860" w:type="dxa"/>
            <w:vAlign w:val="bottom"/>
            <w:tcBorders>
              <w:left w:val="single" w:sz="8" w:color="1F3C7B"/>
              <w:right w:val="single" w:sz="8" w:color="000E5B"/>
            </w:tcBorders>
            <w:shd w:val="clear" w:color="auto" w:fill="1F3C7B"/>
          </w:tcPr>
          <w:p>
            <w:pPr>
              <w:spacing w:after="0"/>
              <w:rPr>
                <w:sz w:val="20"/>
                <w:szCs w:val="20"/>
                <w:color w:val="auto"/>
              </w:rPr>
            </w:pPr>
          </w:p>
        </w:tc>
        <w:tc>
          <w:tcPr>
            <w:tcW w:w="116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54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rPr>
              <w:t>Committee</w:t>
            </w:r>
          </w:p>
        </w:tc>
      </w:tr>
      <w:tr>
        <w:trPr>
          <w:trHeight w:val="230"/>
        </w:trPr>
        <w:tc>
          <w:tcPr>
            <w:tcW w:w="6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160" w:type="dxa"/>
            <w:vAlign w:val="bottom"/>
            <w:tcBorders>
              <w:right w:val="single" w:sz="8" w:color="000E5B"/>
            </w:tcBorders>
            <w:shd w:val="clear" w:color="auto" w:fill="CCEEFF"/>
          </w:tcPr>
          <w:p>
            <w:pPr>
              <w:spacing w:after="0"/>
              <w:rPr>
                <w:sz w:val="19"/>
                <w:szCs w:val="19"/>
                <w:color w:val="auto"/>
              </w:rPr>
            </w:pPr>
          </w:p>
        </w:tc>
        <w:tc>
          <w:tcPr>
            <w:tcW w:w="1540" w:type="dxa"/>
            <w:vAlign w:val="bottom"/>
            <w:tcBorders>
              <w:right w:val="single" w:sz="8" w:color="1F3C7B"/>
            </w:tcBorders>
            <w:shd w:val="clear" w:color="auto" w:fill="CCEEFF"/>
          </w:tcPr>
          <w:p>
            <w:pPr>
              <w:spacing w:after="0"/>
              <w:rPr>
                <w:sz w:val="19"/>
                <w:szCs w:val="19"/>
                <w:color w:val="auto"/>
              </w:rPr>
            </w:pPr>
          </w:p>
        </w:tc>
      </w:tr>
      <w:tr>
        <w:trPr>
          <w:trHeight w:val="230"/>
        </w:trPr>
        <w:tc>
          <w:tcPr>
            <w:tcW w:w="68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Nathaniel H. Taylor.</w:t>
            </w:r>
          </w:p>
        </w:tc>
        <w:tc>
          <w:tcPr>
            <w:tcW w:w="1160" w:type="dxa"/>
            <w:vAlign w:val="bottom"/>
            <w:tcBorders>
              <w:right w:val="single" w:sz="8" w:color="000E5B"/>
            </w:tcBorders>
            <w:shd w:val="clear" w:color="auto" w:fill="C6C8CA"/>
          </w:tcPr>
          <w:p>
            <w:pPr>
              <w:spacing w:after="0"/>
              <w:rPr>
                <w:sz w:val="19"/>
                <w:szCs w:val="19"/>
                <w:color w:val="auto"/>
              </w:rPr>
            </w:pPr>
          </w:p>
        </w:tc>
        <w:tc>
          <w:tcPr>
            <w:tcW w:w="1540" w:type="dxa"/>
            <w:vAlign w:val="bottom"/>
            <w:tcBorders>
              <w:right w:val="single" w:sz="8" w:color="1F3C7B"/>
            </w:tcBorders>
            <w:shd w:val="clear" w:color="auto" w:fill="C6C8CA"/>
          </w:tcPr>
          <w:p>
            <w:pPr>
              <w:jc w:val="center"/>
              <w:spacing w:after="0"/>
              <w:rPr>
                <w:sz w:val="20"/>
                <w:szCs w:val="20"/>
                <w:color w:val="auto"/>
              </w:rPr>
            </w:pPr>
            <w:r>
              <w:rPr>
                <w:rFonts w:ascii="Arial" w:cs="Arial" w:eastAsia="Arial" w:hAnsi="Arial"/>
                <w:sz w:val="18"/>
                <w:szCs w:val="18"/>
                <w:color w:val="auto"/>
                <w:w w:val="97"/>
              </w:rPr>
              <w:t>Chair</w:t>
            </w:r>
          </w:p>
        </w:tc>
      </w:tr>
      <w:tr>
        <w:trPr>
          <w:trHeight w:val="230"/>
        </w:trPr>
        <w:tc>
          <w:tcPr>
            <w:tcW w:w="6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Felix Gernburd</w:t>
            </w:r>
          </w:p>
        </w:tc>
        <w:tc>
          <w:tcPr>
            <w:tcW w:w="1160" w:type="dxa"/>
            <w:vAlign w:val="bottom"/>
            <w:tcBorders>
              <w:right w:val="single" w:sz="8" w:color="000E5B"/>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tcBorders>
              <w:right w:val="single" w:sz="8" w:color="1F3C7B"/>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68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Virginia A. Hepner</w:t>
            </w:r>
          </w:p>
        </w:tc>
        <w:tc>
          <w:tcPr>
            <w:tcW w:w="1160" w:type="dxa"/>
            <w:vAlign w:val="bottom"/>
            <w:tcBorders>
              <w:right w:val="single" w:sz="8" w:color="000E5B"/>
            </w:tcBorders>
            <w:shd w:val="clear" w:color="auto" w:fill="C6C8CA"/>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tcBorders>
              <w:right w:val="single" w:sz="8" w:color="1F3C7B"/>
            </w:tcBorders>
            <w:shd w:val="clear" w:color="auto" w:fill="C6C8CA"/>
          </w:tcPr>
          <w:p>
            <w:pPr>
              <w:spacing w:after="0"/>
              <w:rPr>
                <w:sz w:val="19"/>
                <w:szCs w:val="19"/>
                <w:color w:val="auto"/>
              </w:rPr>
            </w:pPr>
          </w:p>
        </w:tc>
      </w:tr>
      <w:tr>
        <w:trPr>
          <w:trHeight w:val="230"/>
        </w:trPr>
        <w:tc>
          <w:tcPr>
            <w:tcW w:w="6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D. Randolph Peeler</w:t>
            </w:r>
          </w:p>
        </w:tc>
        <w:tc>
          <w:tcPr>
            <w:tcW w:w="1160" w:type="dxa"/>
            <w:vAlign w:val="bottom"/>
            <w:tcBorders>
              <w:right w:val="single" w:sz="8" w:color="000E5B"/>
            </w:tcBorders>
            <w:shd w:val="clear" w:color="auto" w:fill="CCEEFF"/>
          </w:tcPr>
          <w:p>
            <w:pPr>
              <w:spacing w:after="0"/>
              <w:rPr>
                <w:sz w:val="19"/>
                <w:szCs w:val="19"/>
                <w:color w:val="auto"/>
              </w:rPr>
            </w:pPr>
          </w:p>
        </w:tc>
        <w:tc>
          <w:tcPr>
            <w:tcW w:w="1540" w:type="dxa"/>
            <w:vAlign w:val="bottom"/>
            <w:tcBorders>
              <w:right w:val="single" w:sz="8" w:color="1F3C7B"/>
            </w:tcBorders>
            <w:shd w:val="clear" w:color="auto" w:fill="CCEEFF"/>
          </w:tcPr>
          <w:p>
            <w:pPr>
              <w:spacing w:after="0"/>
              <w:rPr>
                <w:sz w:val="19"/>
                <w:szCs w:val="19"/>
                <w:color w:val="auto"/>
              </w:rPr>
            </w:pPr>
          </w:p>
        </w:tc>
      </w:tr>
      <w:tr>
        <w:trPr>
          <w:trHeight w:val="230"/>
        </w:trPr>
        <w:tc>
          <w:tcPr>
            <w:tcW w:w="6860" w:type="dxa"/>
            <w:vAlign w:val="bottom"/>
            <w:tcBorders>
              <w:left w:val="single" w:sz="8" w:color="1F3C7B"/>
              <w:bottom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David M. Tehle</w:t>
            </w:r>
          </w:p>
        </w:tc>
        <w:tc>
          <w:tcPr>
            <w:tcW w:w="1160" w:type="dxa"/>
            <w:vAlign w:val="bottom"/>
            <w:tcBorders>
              <w:bottom w:val="single" w:sz="8" w:color="1F3C7B"/>
              <w:right w:val="single" w:sz="8" w:color="000E5B"/>
            </w:tcBorders>
            <w:shd w:val="clear" w:color="auto" w:fill="C6C8CA"/>
          </w:tcPr>
          <w:p>
            <w:pPr>
              <w:jc w:val="center"/>
              <w:spacing w:after="0"/>
              <w:rPr>
                <w:sz w:val="20"/>
                <w:szCs w:val="20"/>
                <w:color w:val="auto"/>
              </w:rPr>
            </w:pPr>
            <w:r>
              <w:rPr>
                <w:rFonts w:ascii="Arial" w:cs="Arial" w:eastAsia="Arial" w:hAnsi="Arial"/>
                <w:sz w:val="18"/>
                <w:szCs w:val="18"/>
                <w:color w:val="auto"/>
              </w:rPr>
              <w:t>Chair</w:t>
            </w:r>
          </w:p>
        </w:tc>
        <w:tc>
          <w:tcPr>
            <w:tcW w:w="1540" w:type="dxa"/>
            <w:vAlign w:val="bottom"/>
            <w:tcBorders>
              <w:bottom w:val="single" w:sz="8" w:color="1F3C7B"/>
              <w:right w:val="single" w:sz="8" w:color="1F3C7B"/>
            </w:tcBorders>
            <w:shd w:val="clear" w:color="auto" w:fill="C6C8C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-882650</wp:posOffset>
            </wp:positionV>
            <wp:extent cx="60629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-591185</wp:posOffset>
            </wp:positionV>
            <wp:extent cx="606298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60629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1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During the fiscal year ended December 30, 2017, the Board held five meetings, the audit committee held two meetings and the compensation committee held one meeting. In addition, the Board, the audit committee and the compensation committee acted by unanimous written consent several times during fiscal year 2017. In fiscal 2017, all of our directors attended at least 75% of the meetings of the Board of Directors and committees during the time in which he or she served as a member of the Board of Directors or such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audit committee consists of David M. Tehle, who serves as the Chair, Virginia A. Hepner and Felix Gernburd. Mr. Tehle and Ms. Hepner each qualifies as an independent director under NASDAQ corporate governance standards and the independence requirements of Rule 10A-3 of the Exchange Act. Our Board of Directors has determined that Mr. Tehle and Ms. Hepner each qualifies as an “audit committee financial expert” as such term is defined in Item 407(d)(5) of Regulation S-K.</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is responsible for, among other things, preparing the audit committee report required by the SEC to be included in our proxy statement and assisting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(4) the qualifications, performance and independence of the outside auditors and (5) the performance of our internal audit function.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consists of Nathaniel H. Taylor, who serves as the Chair, and Felix Gernburd.</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23"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14</w:t>
      </w:r>
      <w:r>
        <w:rPr>
          <w:sz w:val="20"/>
          <w:szCs w:val="20"/>
          <w:color w:val="auto"/>
        </w:rPr>
        <w:tab/>
      </w:r>
      <w:r>
        <w:rPr>
          <w:sz w:val="1"/>
          <w:szCs w:val="1"/>
          <w:color w:val="auto"/>
        </w:rPr>
        <w:drawing>
          <wp:inline distT="0" distB="0" distL="0" distR="0">
            <wp:extent cx="205740"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500"/>
        <w:spacing w:after="0" w:line="232" w:lineRule="auto"/>
        <w:rPr>
          <w:sz w:val="20"/>
          <w:szCs w:val="20"/>
          <w:color w:val="auto"/>
        </w:rPr>
      </w:pPr>
      <w:r>
        <w:rPr>
          <w:rFonts w:ascii="Arial" w:cs="Arial" w:eastAsia="Arial" w:hAnsi="Arial"/>
          <w:sz w:val="32"/>
          <w:szCs w:val="32"/>
          <w:color w:val="auto"/>
        </w:rPr>
        <w:t>THE BOARD OF DIRECTORS AND CERTAIN GOVERNANCE MATTERS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071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Our Corporate Governance Guidelines, Audit and Compensation Committee Charters, and other corporate governance information are available on our website at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 xml:space="preserve">We maintain a written code of ethics that applies to our directors, officers and employees, including our principal executive officer, principal financial officer, principal accounting officer or controller, or persons performing similar functions, which we call our Code of Conduct. Our Code of Conduct is a “code of ethics” as defined in item 406(b) of Regulation S-K under the Securities Act and is posted in the investors section of our website,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w:t>
      </w:r>
    </w:p>
    <w:p>
      <w:pPr>
        <w:spacing w:after="0" w:line="8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71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of Directors has extensive involvement in the oversight of risk management. The Board and the audit committee receive regular reports from management to help ensure effective and efficient oversight of our activities and to assist in proper risk management, including with respect to cybersecurity, and the ongoing evaluation of management controls. Through its regular meetings with management, including the finance, legal, internal audit, and compliance functions, the audit committee reviews and discusses significant areas of our business, including areas of risk and appropriate mitigating factors. Internal audit reports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97155</wp:posOffset>
            </wp:positionV>
            <wp:extent cx="20574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ind w:left="7"/>
        <w:spacing w:after="0"/>
        <w:rPr>
          <w:sz w:val="20"/>
          <w:szCs w:val="20"/>
          <w:color w:val="auto"/>
        </w:rPr>
      </w:pPr>
      <w:r>
        <w:rPr>
          <w:rFonts w:ascii="Arial" w:cs="Arial" w:eastAsia="Arial" w:hAnsi="Arial"/>
          <w:sz w:val="32"/>
          <w:szCs w:val="32"/>
          <w:color w:val="auto"/>
        </w:rPr>
        <w:t>COMPENSATION OF DIRECTORS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71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left="7" w:right="40"/>
        <w:spacing w:after="0" w:line="251" w:lineRule="auto"/>
        <w:rPr>
          <w:sz w:val="20"/>
          <w:szCs w:val="20"/>
          <w:color w:val="auto"/>
        </w:rPr>
      </w:pPr>
      <w:r>
        <w:rPr>
          <w:rFonts w:ascii="Arial" w:cs="Arial" w:eastAsia="Arial" w:hAnsi="Arial"/>
          <w:sz w:val="18"/>
          <w:szCs w:val="18"/>
          <w:color w:val="auto"/>
        </w:rPr>
        <w:t>Directors who are our employees or are associated with our Sponsors do not receive remuneration for serving on our Board. Non-employee directors receive an annual cash retainer of $75,000, paid quarterly, in arrears. The Chair of each of the audit committee and the compensation committee receives an additional annual cash retainer of $20,000, paid quarterly, in arrears. In addition, each non-employee director receives an annual $100,000 restricted stock grant. The shares of restricted stock vest in three equal installments on each of the first, second and third anniversaries of the grant date, subject to continued service through the applicable vesting date. Upon the occurrence of a change in control, all shares of restricted stock fully vest. Upon any termination of a director’s service, all unvested shares of restricted stock will be forfeited. Our directors are not paid any fees for attending meetings. However, our directors are reimbursed for reasonable travel and related expenses associated with attendance at board or committee meetings.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reflects the fees earned by our non-employee directors for service in fiscal 2017:</w:t>
      </w:r>
    </w:p>
    <w:p>
      <w:pPr>
        <w:spacing w:after="0" w:line="50"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3020" w:type="dxa"/>
            <w:vAlign w:val="bottom"/>
            <w:tcBorders>
              <w:left w:val="single" w:sz="8" w:color="1F3C7B"/>
              <w:right w:val="single" w:sz="8" w:color="000E5B"/>
            </w:tcBorders>
            <w:shd w:val="clear" w:color="auto" w:fill="1F3C7B"/>
          </w:tcPr>
          <w:p>
            <w:pPr>
              <w:spacing w:after="0"/>
              <w:rPr>
                <w:sz w:val="17"/>
                <w:szCs w:val="17"/>
                <w:color w:val="auto"/>
              </w:rPr>
            </w:pPr>
          </w:p>
        </w:tc>
        <w:tc>
          <w:tcPr>
            <w:tcW w:w="16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Fees earned or</w:t>
            </w:r>
          </w:p>
        </w:tc>
        <w:tc>
          <w:tcPr>
            <w:tcW w:w="16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16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rPr>
              <w:t>All other</w:t>
            </w:r>
          </w:p>
        </w:tc>
        <w:tc>
          <w:tcPr>
            <w:tcW w:w="1660" w:type="dxa"/>
            <w:vAlign w:val="bottom"/>
            <w:tcBorders>
              <w:right w:val="single" w:sz="8" w:color="1F3C7B"/>
            </w:tcBorders>
            <w:shd w:val="clear" w:color="auto" w:fill="1F3C7B"/>
          </w:tcPr>
          <w:p>
            <w:pPr>
              <w:spacing w:after="0"/>
              <w:rPr>
                <w:sz w:val="17"/>
                <w:szCs w:val="17"/>
                <w:color w:val="auto"/>
              </w:rPr>
            </w:pPr>
          </w:p>
        </w:tc>
      </w:tr>
      <w:tr>
        <w:trPr>
          <w:trHeight w:val="193"/>
        </w:trPr>
        <w:tc>
          <w:tcPr>
            <w:tcW w:w="3020" w:type="dxa"/>
            <w:vAlign w:val="bottom"/>
            <w:tcBorders>
              <w:left w:val="single" w:sz="8" w:color="1F3C7B"/>
              <w:right w:val="single" w:sz="8" w:color="000E5B"/>
            </w:tcBorders>
            <w:shd w:val="clear" w:color="auto" w:fill="1F3C7B"/>
          </w:tcPr>
          <w:p>
            <w:pPr>
              <w:spacing w:after="0"/>
              <w:rPr>
                <w:sz w:val="16"/>
                <w:szCs w:val="16"/>
                <w:color w:val="auto"/>
              </w:rPr>
            </w:pPr>
          </w:p>
        </w:tc>
        <w:tc>
          <w:tcPr>
            <w:tcW w:w="162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paid in cash</w:t>
            </w:r>
          </w:p>
        </w:tc>
        <w:tc>
          <w:tcPr>
            <w:tcW w:w="164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awards</w:t>
            </w:r>
          </w:p>
        </w:tc>
        <w:tc>
          <w:tcPr>
            <w:tcW w:w="162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compensation</w:t>
            </w:r>
          </w:p>
        </w:tc>
        <w:tc>
          <w:tcPr>
            <w:tcW w:w="1660" w:type="dxa"/>
            <w:vAlign w:val="bottom"/>
            <w:tcBorders>
              <w:right w:val="single" w:sz="8" w:color="1F3C7B"/>
            </w:tcBorders>
            <w:shd w:val="clear" w:color="auto" w:fill="1F3C7B"/>
          </w:tcPr>
          <w:p>
            <w:pPr>
              <w:jc w:val="right"/>
              <w:ind w:right="550"/>
              <w:spacing w:after="0" w:line="194" w:lineRule="exact"/>
              <w:rPr>
                <w:sz w:val="20"/>
                <w:szCs w:val="20"/>
                <w:color w:val="auto"/>
              </w:rPr>
            </w:pPr>
            <w:r>
              <w:rPr>
                <w:rFonts w:ascii="Arial" w:cs="Arial" w:eastAsia="Arial" w:hAnsi="Arial"/>
                <w:sz w:val="18"/>
                <w:szCs w:val="18"/>
                <w:b w:val="1"/>
                <w:bCs w:val="1"/>
                <w:color w:val="FFFFFF"/>
              </w:rPr>
              <w:t>Total</w:t>
            </w:r>
          </w:p>
        </w:tc>
      </w:tr>
      <w:tr>
        <w:trPr>
          <w:trHeight w:val="248"/>
        </w:trPr>
        <w:tc>
          <w:tcPr>
            <w:tcW w:w="3020" w:type="dxa"/>
            <w:vAlign w:val="bottom"/>
            <w:tcBorders>
              <w:left w:val="single" w:sz="8" w:color="1F3C7B"/>
              <w:right w:val="single" w:sz="8" w:color="000E5B"/>
            </w:tcBorders>
            <w:shd w:val="clear" w:color="auto" w:fill="1F3C7B"/>
          </w:tcPr>
          <w:p>
            <w:pPr>
              <w:ind w:left="1260"/>
              <w:spacing w:after="0"/>
              <w:rPr>
                <w:sz w:val="20"/>
                <w:szCs w:val="20"/>
                <w:color w:val="auto"/>
              </w:rPr>
            </w:pPr>
            <w:r>
              <w:rPr>
                <w:rFonts w:ascii="Arial" w:cs="Arial" w:eastAsia="Arial" w:hAnsi="Arial"/>
                <w:sz w:val="18"/>
                <w:szCs w:val="18"/>
                <w:b w:val="1"/>
                <w:bCs w:val="1"/>
                <w:color w:val="FFFFFF"/>
              </w:rPr>
              <w:t>Name</w:t>
            </w:r>
          </w:p>
        </w:tc>
        <w:tc>
          <w:tcPr>
            <w:tcW w:w="16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w:t>
            </w:r>
          </w:p>
        </w:tc>
        <w:tc>
          <w:tcPr>
            <w:tcW w:w="164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(1)</w:t>
            </w:r>
          </w:p>
        </w:tc>
        <w:tc>
          <w:tcPr>
            <w:tcW w:w="16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w:t>
            </w:r>
          </w:p>
        </w:tc>
        <w:tc>
          <w:tcPr>
            <w:tcW w:w="1660" w:type="dxa"/>
            <w:vAlign w:val="bottom"/>
            <w:tcBorders>
              <w:right w:val="single" w:sz="8" w:color="1F3C7B"/>
            </w:tcBorders>
            <w:shd w:val="clear" w:color="auto" w:fill="1F3C7B"/>
          </w:tcPr>
          <w:p>
            <w:pPr>
              <w:jc w:val="right"/>
              <w:ind w:right="650"/>
              <w:spacing w:after="0"/>
              <w:rPr>
                <w:sz w:val="20"/>
                <w:szCs w:val="20"/>
                <w:color w:val="auto"/>
              </w:rPr>
            </w:pPr>
            <w:r>
              <w:rPr>
                <w:rFonts w:ascii="Arial" w:cs="Arial" w:eastAsia="Arial" w:hAnsi="Arial"/>
                <w:sz w:val="18"/>
                <w:szCs w:val="18"/>
                <w:b w:val="1"/>
                <w:bCs w:val="1"/>
                <w:color w:val="FFFFFF"/>
              </w:rPr>
              <w:t>($)</w:t>
            </w:r>
          </w:p>
        </w:tc>
      </w:tr>
      <w:tr>
        <w:trPr>
          <w:trHeight w:val="230"/>
        </w:trPr>
        <w:tc>
          <w:tcPr>
            <w:tcW w:w="30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Nataniel H. Taylor</w:t>
            </w:r>
          </w:p>
        </w:tc>
        <w:tc>
          <w:tcPr>
            <w:tcW w:w="162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000E5B"/>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Felix Gernburd</w:t>
            </w:r>
          </w:p>
        </w:tc>
        <w:tc>
          <w:tcPr>
            <w:tcW w:w="162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000E5B"/>
            </w:tcBorders>
            <w:shd w:val="clear" w:color="auto" w:fill="C6C8CA"/>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Borders>
              <w:left w:val="single" w:sz="8" w:color="1F3C7B"/>
              <w:right w:val="single" w:sz="8" w:color="000E5B"/>
            </w:tcBorders>
            <w:shd w:val="clear" w:color="auto" w:fill="CCEEFF"/>
          </w:tcPr>
          <w:p>
            <w:pPr>
              <w:ind w:left="40"/>
              <w:spacing w:after="0" w:line="230" w:lineRule="exact"/>
              <w:rPr>
                <w:sz w:val="20"/>
                <w:szCs w:val="20"/>
                <w:color w:val="auto"/>
              </w:rPr>
            </w:pPr>
            <w:r>
              <w:rPr>
                <w:rFonts w:ascii="Arial" w:cs="Arial" w:eastAsia="Arial" w:hAnsi="Arial"/>
                <w:sz w:val="16"/>
                <w:szCs w:val="16"/>
                <w:color w:val="auto"/>
              </w:rPr>
              <w:t>Virginia A. Hepner</w:t>
            </w:r>
            <w:r>
              <w:rPr>
                <w:rFonts w:ascii="Arial" w:cs="Arial" w:eastAsia="Arial" w:hAnsi="Arial"/>
                <w:sz w:val="26"/>
                <w:szCs w:val="26"/>
                <w:color w:val="auto"/>
                <w:vertAlign w:val="superscript"/>
              </w:rPr>
              <w:t>(3)</w:t>
            </w:r>
          </w:p>
        </w:tc>
        <w:tc>
          <w:tcPr>
            <w:tcW w:w="162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000E5B"/>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D. Randolph Peeler</w:t>
            </w:r>
          </w:p>
        </w:tc>
        <w:tc>
          <w:tcPr>
            <w:tcW w:w="162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000E5B"/>
            </w:tcBorders>
            <w:shd w:val="clear" w:color="auto" w:fill="C6C8CA"/>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Borders>
              <w:left w:val="single" w:sz="8" w:color="1F3C7B"/>
              <w:bottom w:val="single" w:sz="8" w:color="1F3C7B"/>
              <w:right w:val="single" w:sz="8" w:color="000E5B"/>
            </w:tcBorders>
            <w:shd w:val="clear" w:color="auto" w:fill="CCEEFF"/>
          </w:tcPr>
          <w:p>
            <w:pPr>
              <w:ind w:left="40"/>
              <w:spacing w:after="0" w:line="230" w:lineRule="exact"/>
              <w:rPr>
                <w:sz w:val="20"/>
                <w:szCs w:val="20"/>
                <w:color w:val="auto"/>
              </w:rPr>
            </w:pPr>
            <w:r>
              <w:rPr>
                <w:rFonts w:ascii="Arial" w:cs="Arial" w:eastAsia="Arial" w:hAnsi="Arial"/>
                <w:sz w:val="16"/>
                <w:szCs w:val="16"/>
                <w:color w:val="auto"/>
              </w:rPr>
              <w:t>David M. Tehle</w:t>
            </w:r>
            <w:r>
              <w:rPr>
                <w:rFonts w:ascii="Arial" w:cs="Arial" w:eastAsia="Arial" w:hAnsi="Arial"/>
                <w:sz w:val="26"/>
                <w:szCs w:val="26"/>
                <w:color w:val="auto"/>
                <w:vertAlign w:val="superscript"/>
              </w:rPr>
              <w:t>(2)</w:t>
            </w:r>
          </w:p>
        </w:tc>
        <w:tc>
          <w:tcPr>
            <w:tcW w:w="1620" w:type="dxa"/>
            <w:vAlign w:val="bottom"/>
            <w:tcBorders>
              <w:bottom w:val="single" w:sz="8" w:color="1F3C7B"/>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18,750</w:t>
            </w:r>
          </w:p>
        </w:tc>
        <w:tc>
          <w:tcPr>
            <w:tcW w:w="1640" w:type="dxa"/>
            <w:vAlign w:val="bottom"/>
            <w:tcBorders>
              <w:bottom w:val="single" w:sz="8" w:color="1F3C7B"/>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620" w:type="dxa"/>
            <w:vAlign w:val="bottom"/>
            <w:tcBorders>
              <w:bottom w:val="single" w:sz="8" w:color="1F3C7B"/>
              <w:right w:val="single" w:sz="8" w:color="000E5B"/>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1F3C7B"/>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118,750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-736600</wp:posOffset>
            </wp:positionV>
            <wp:extent cx="60629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-445135</wp:posOffset>
            </wp:positionV>
            <wp:extent cx="606298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60629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1209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0" w:lineRule="exact"/>
        <w:rPr>
          <w:sz w:val="20"/>
          <w:szCs w:val="20"/>
          <w:color w:val="auto"/>
        </w:rPr>
      </w:pPr>
    </w:p>
    <w:p>
      <w:pPr>
        <w:ind w:left="347" w:right="60" w:hanging="347"/>
        <w:spacing w:after="0" w:line="231" w:lineRule="auto"/>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 reported reflects the grant date fair value associated with the grant to Mr. Tehle of 6,357 shares of restricted stock on July 24, 2017 under the 2014 Stock Incentive Plan. As of December 30, 2017, Mr. Tehle held 6,357 shares of restricted stock.</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Tehle joined our Board on July 17, 2017 and his cash retainer was prorated for his partial year of service.</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Hepner joined our Board on January 22, 2018 and therefore did not receive any compensation for the year ended December 30, 2017.</w:t>
      </w:r>
    </w:p>
    <w:p>
      <w:pPr>
        <w:spacing w:after="0" w:line="121"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205740" cy="1631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 w:name="page20"/>
    <w:bookmarkEnd w:id="1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0"/>
          <w:szCs w:val="20"/>
          <w:color w:val="auto"/>
        </w:rPr>
      </w:pPr>
    </w:p>
    <w:p>
      <w:pPr>
        <w:ind w:left="7" w:right="1360"/>
        <w:spacing w:after="0" w:line="242" w:lineRule="auto"/>
        <w:rPr>
          <w:sz w:val="20"/>
          <w:szCs w:val="20"/>
          <w:color w:val="auto"/>
        </w:rPr>
      </w:pPr>
      <w:r>
        <w:rPr>
          <w:rFonts w:ascii="Arial" w:cs="Arial" w:eastAsia="Arial" w:hAnsi="Arial"/>
          <w:sz w:val="32"/>
          <w:szCs w:val="32"/>
          <w:color w:val="auto"/>
        </w:rPr>
        <w:t>PROPOSAL NO. 2—RATIFICATION OF INDEPENDENT REGISTERED PUBLIC ACCOUNTING FIRM</w:t>
      </w:r>
    </w:p>
    <w:p>
      <w:pPr>
        <w:spacing w:after="0" w:line="77" w:lineRule="exact"/>
        <w:rPr>
          <w:sz w:val="20"/>
          <w:szCs w:val="20"/>
          <w:color w:val="auto"/>
        </w:rPr>
      </w:pPr>
    </w:p>
    <w:p>
      <w:pPr>
        <w:ind w:left="7" w:right="120"/>
        <w:spacing w:after="0" w:line="262"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2018.</w:t>
      </w:r>
    </w:p>
    <w:p>
      <w:pPr>
        <w:spacing w:after="0" w:line="88" w:lineRule="exact"/>
        <w:rPr>
          <w:sz w:val="20"/>
          <w:szCs w:val="20"/>
          <w:color w:val="auto"/>
        </w:rPr>
      </w:pPr>
    </w:p>
    <w:p>
      <w:pPr>
        <w:ind w:left="7" w:right="20"/>
        <w:spacing w:after="0" w:line="269" w:lineRule="auto"/>
        <w:rPr>
          <w:sz w:val="20"/>
          <w:szCs w:val="20"/>
          <w:color w:val="auto"/>
        </w:rPr>
      </w:pPr>
      <w:r>
        <w:rPr>
          <w:rFonts w:ascii="Arial" w:cs="Arial" w:eastAsia="Arial" w:hAnsi="Arial"/>
          <w:sz w:val="17"/>
          <w:szCs w:val="17"/>
          <w:color w:val="auto"/>
        </w:rPr>
        <w:t>Although ratification is not required by our Bylaws or otherwise, the Board of Directors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w:t>
      </w:r>
    </w:p>
    <w:p>
      <w:pPr>
        <w:spacing w:after="0" w:line="87" w:lineRule="exact"/>
        <w:rPr>
          <w:sz w:val="20"/>
          <w:szCs w:val="20"/>
          <w:color w:val="auto"/>
        </w:rPr>
      </w:pPr>
    </w:p>
    <w:p>
      <w:pPr>
        <w:ind w:left="7" w:right="480"/>
        <w:spacing w:after="0" w:line="262"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071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left="7" w:right="300"/>
        <w:spacing w:after="0" w:line="256"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2017 and 2016 and for fees billed for other services rendered by Deloitte during those periods.</w:t>
      </w:r>
    </w:p>
    <w:p>
      <w:pPr>
        <w:spacing w:after="0" w:line="41"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4940" w:type="dxa"/>
            <w:vAlign w:val="bottom"/>
            <w:tcBorders>
              <w:left w:val="single" w:sz="8" w:color="1F3C7B"/>
              <w:right w:val="single" w:sz="8" w:color="000E5B"/>
            </w:tcBorders>
            <w:shd w:val="clear" w:color="auto" w:fill="1F3C7B"/>
          </w:tcPr>
          <w:p>
            <w:pPr>
              <w:ind w:left="1800"/>
              <w:spacing w:after="0"/>
              <w:rPr>
                <w:sz w:val="20"/>
                <w:szCs w:val="20"/>
                <w:color w:val="auto"/>
              </w:rPr>
            </w:pPr>
            <w:r>
              <w:rPr>
                <w:rFonts w:ascii="Arial" w:cs="Arial" w:eastAsia="Arial" w:hAnsi="Arial"/>
                <w:sz w:val="18"/>
                <w:szCs w:val="18"/>
                <w:b w:val="1"/>
                <w:bCs w:val="1"/>
                <w:color w:val="FFFFFF"/>
              </w:rPr>
              <w:t>$, in thousands</w:t>
            </w:r>
          </w:p>
        </w:tc>
        <w:tc>
          <w:tcPr>
            <w:tcW w:w="2300" w:type="dxa"/>
            <w:vAlign w:val="bottom"/>
            <w:tcBorders>
              <w:right w:val="single" w:sz="8" w:color="000E5B"/>
            </w:tcBorders>
            <w:shd w:val="clear" w:color="auto" w:fill="1F3C7B"/>
          </w:tcPr>
          <w:p>
            <w:pPr>
              <w:jc w:val="right"/>
              <w:ind w:right="390"/>
              <w:spacing w:after="0"/>
              <w:rPr>
                <w:sz w:val="20"/>
                <w:szCs w:val="20"/>
                <w:color w:val="auto"/>
              </w:rPr>
            </w:pPr>
            <w:r>
              <w:rPr>
                <w:rFonts w:ascii="Arial" w:cs="Arial" w:eastAsia="Arial" w:hAnsi="Arial"/>
                <w:sz w:val="18"/>
                <w:szCs w:val="18"/>
                <w:b w:val="1"/>
                <w:bCs w:val="1"/>
                <w:color w:val="FFFFFF"/>
              </w:rPr>
              <w:t>Fiscal Year 2017</w:t>
            </w:r>
          </w:p>
        </w:tc>
        <w:tc>
          <w:tcPr>
            <w:tcW w:w="2320" w:type="dxa"/>
            <w:vAlign w:val="bottom"/>
            <w:tcBorders>
              <w:right w:val="single" w:sz="8" w:color="1F3C7B"/>
            </w:tcBorders>
            <w:shd w:val="clear" w:color="auto" w:fill="1F3C7B"/>
          </w:tcPr>
          <w:p>
            <w:pPr>
              <w:jc w:val="right"/>
              <w:ind w:right="390"/>
              <w:spacing w:after="0"/>
              <w:rPr>
                <w:sz w:val="20"/>
                <w:szCs w:val="20"/>
                <w:color w:val="auto"/>
              </w:rPr>
            </w:pPr>
            <w:r>
              <w:rPr>
                <w:rFonts w:ascii="Arial" w:cs="Arial" w:eastAsia="Arial" w:hAnsi="Arial"/>
                <w:sz w:val="18"/>
                <w:szCs w:val="18"/>
                <w:b w:val="1"/>
                <w:bCs w:val="1"/>
                <w:color w:val="FFFFFF"/>
              </w:rPr>
              <w:t>Fiscal Year 2016</w:t>
            </w:r>
          </w:p>
        </w:tc>
      </w:tr>
      <w:tr>
        <w:trPr>
          <w:trHeight w:val="230"/>
        </w:trPr>
        <w:tc>
          <w:tcPr>
            <w:tcW w:w="4940" w:type="dxa"/>
            <w:vAlign w:val="bottom"/>
            <w:tcBorders>
              <w:left w:val="single" w:sz="8" w:color="1F3C7B"/>
              <w:right w:val="single" w:sz="8" w:color="000E5B"/>
            </w:tcBorders>
            <w:shd w:val="clear" w:color="auto" w:fill="CCEEFF"/>
          </w:tcPr>
          <w:p>
            <w:pPr>
              <w:ind w:left="40"/>
              <w:spacing w:after="0" w:line="230"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3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c>
          <w:tcPr>
            <w:tcW w:w="232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r>
      <w:tr>
        <w:trPr>
          <w:trHeight w:val="230"/>
        </w:trPr>
        <w:tc>
          <w:tcPr>
            <w:tcW w:w="4940" w:type="dxa"/>
            <w:vAlign w:val="bottom"/>
            <w:tcBorders>
              <w:left w:val="single" w:sz="8" w:color="1F3C7B"/>
              <w:right w:val="single" w:sz="8" w:color="000E5B"/>
            </w:tcBorders>
            <w:shd w:val="clear" w:color="auto" w:fill="C6C8CA"/>
          </w:tcPr>
          <w:p>
            <w:pPr>
              <w:ind w:left="40"/>
              <w:spacing w:after="0" w:line="230"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3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397</w:t>
            </w:r>
          </w:p>
        </w:tc>
        <w:tc>
          <w:tcPr>
            <w:tcW w:w="232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293</w:t>
            </w:r>
          </w:p>
        </w:tc>
      </w:tr>
      <w:tr>
        <w:trPr>
          <w:trHeight w:val="230"/>
        </w:trPr>
        <w:tc>
          <w:tcPr>
            <w:tcW w:w="4940" w:type="dxa"/>
            <w:vAlign w:val="bottom"/>
            <w:tcBorders>
              <w:left w:val="single" w:sz="8" w:color="1F3C7B"/>
              <w:right w:val="single" w:sz="8" w:color="000E5B"/>
            </w:tcBorders>
            <w:shd w:val="clear" w:color="auto" w:fill="CCEEFF"/>
          </w:tcPr>
          <w:p>
            <w:pPr>
              <w:ind w:left="40"/>
              <w:spacing w:after="0" w:line="230"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3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32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30"/>
        </w:trPr>
        <w:tc>
          <w:tcPr>
            <w:tcW w:w="494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All other fees</w:t>
            </w:r>
          </w:p>
        </w:tc>
        <w:tc>
          <w:tcPr>
            <w:tcW w:w="23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Borders>
              <w:left w:val="single" w:sz="8" w:color="1F3C7B"/>
              <w:bottom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1F3C7B"/>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2,823</w:t>
            </w:r>
          </w:p>
        </w:tc>
        <w:tc>
          <w:tcPr>
            <w:tcW w:w="2320" w:type="dxa"/>
            <w:vAlign w:val="bottom"/>
            <w:tcBorders>
              <w:bottom w:val="single" w:sz="8" w:color="1F3C7B"/>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-736600</wp:posOffset>
            </wp:positionV>
            <wp:extent cx="60629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-445135</wp:posOffset>
            </wp:positionV>
            <wp:extent cx="606298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606298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1209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0" w:lineRule="exact"/>
        <w:rPr>
          <w:sz w:val="20"/>
          <w:szCs w:val="20"/>
          <w:color w:val="auto"/>
        </w:rPr>
      </w:pPr>
    </w:p>
    <w:p>
      <w:pPr>
        <w:ind w:left="347" w:right="100" w:hanging="347"/>
        <w:spacing w:after="0" w:line="231" w:lineRule="auto"/>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amounts for due diligence services.</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aggregate fees for professional services rendered for tax compliance, and tax consultation and planning.</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71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left="7"/>
        <w:spacing w:after="0" w:line="251"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Effective with the completion of our IPO,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07187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35" w:lineRule="exact"/>
        <w:rPr>
          <w:sz w:val="20"/>
          <w:szCs w:val="20"/>
          <w:color w:val="auto"/>
        </w:rPr>
      </w:pPr>
    </w:p>
    <w:p>
      <w:pPr>
        <w:ind w:left="587" w:right="160" w:hanging="424"/>
        <w:spacing w:after="0" w:line="271" w:lineRule="auto"/>
        <w:rPr>
          <w:sz w:val="20"/>
          <w:szCs w:val="20"/>
          <w:color w:val="auto"/>
        </w:rPr>
      </w:pPr>
      <w:r>
        <w:rPr>
          <w:rFonts w:ascii="Arial" w:cs="Arial" w:eastAsia="Arial" w:hAnsi="Arial"/>
          <w:sz w:val="18"/>
          <w:szCs w:val="18"/>
          <w:b w:val="1"/>
          <w:bCs w:val="1"/>
          <w:i w:val="1"/>
          <w:iCs w:val="1"/>
          <w:color w:val="1F3C7B"/>
        </w:rPr>
        <w:t>YOUR BOARD OF DIRECTORS RECOMMENDS THAT YOU VOTE “FOR” THE RATIFICATION OF DELOITTE &amp; TOUCHE LLP AS OUR INDEPENDENT REGISTERED PUBLIC ACCOUNTING FIRM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95250</wp:posOffset>
            </wp:positionV>
            <wp:extent cx="20574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auto"/>
        </w:rPr>
        <w:t>REPORT OF THE AUDIT COMMITTEE</w:t>
      </w:r>
    </w:p>
    <w:p>
      <w:pPr>
        <w:spacing w:after="0" w:line="11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December 30, 2017 filed with the SEC.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4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Audit Committee</w:t>
      </w:r>
    </w:p>
    <w:p>
      <w:pPr>
        <w:spacing w:after="0" w:line="2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David M. Tehle, Chair</w:t>
      </w:r>
    </w:p>
    <w:p>
      <w:pPr>
        <w:ind w:left="4780"/>
        <w:spacing w:after="0" w:line="234" w:lineRule="auto"/>
        <w:rPr>
          <w:sz w:val="20"/>
          <w:szCs w:val="20"/>
          <w:color w:val="auto"/>
        </w:rPr>
      </w:pPr>
      <w:r>
        <w:rPr>
          <w:rFonts w:ascii="Arial" w:cs="Arial" w:eastAsia="Arial" w:hAnsi="Arial"/>
          <w:sz w:val="18"/>
          <w:szCs w:val="18"/>
          <w:color w:val="auto"/>
        </w:rPr>
        <w:t>Felix Gernburd</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Virginia A. Hepner</w:t>
      </w:r>
    </w:p>
    <w:p>
      <w:pPr>
        <w:spacing w:after="0" w:line="142"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205740"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0"/>
          <w:szCs w:val="20"/>
          <w:color w:val="auto"/>
        </w:rPr>
      </w:pPr>
    </w:p>
    <w:p>
      <w:pPr>
        <w:ind w:right="860"/>
        <w:spacing w:after="0" w:line="237" w:lineRule="auto"/>
        <w:rPr>
          <w:sz w:val="20"/>
          <w:szCs w:val="20"/>
          <w:color w:val="auto"/>
        </w:rPr>
      </w:pPr>
      <w:r>
        <w:rPr>
          <w:rFonts w:ascii="Arial" w:cs="Arial" w:eastAsia="Arial" w:hAnsi="Arial"/>
          <w:sz w:val="32"/>
          <w:szCs w:val="32"/>
          <w:color w:val="auto"/>
        </w:rPr>
        <w:t>PROPOSAL NO. 3—NON-BINDING VOTE ON EXECUTIVE COMPENSATION</w:t>
      </w:r>
    </w:p>
    <w:p>
      <w:pPr>
        <w:spacing w:after="0" w:line="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resolution in respect of Proposal No. 3 is as follows:</w:t>
      </w:r>
    </w:p>
    <w:p>
      <w:pPr>
        <w:spacing w:after="0" w:line="8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82" w:lineRule="exact"/>
        <w:rPr>
          <w:sz w:val="20"/>
          <w:szCs w:val="20"/>
          <w:color w:val="auto"/>
        </w:rPr>
      </w:pPr>
    </w:p>
    <w:p>
      <w:pPr>
        <w:ind w:right="180"/>
        <w:spacing w:after="0" w:line="254" w:lineRule="auto"/>
        <w:rPr>
          <w:rFonts w:ascii="Arial" w:cs="Arial" w:eastAsia="Arial" w:hAnsi="Arial"/>
          <w:sz w:val="18"/>
          <w:szCs w:val="18"/>
          <w:color w:val="000000"/>
        </w:rPr>
      </w:pPr>
      <w:r>
        <w:rPr>
          <w:rFonts w:ascii="Arial" w:cs="Arial" w:eastAsia="Arial" w:hAnsi="Arial"/>
          <w:sz w:val="18"/>
          <w:szCs w:val="18"/>
          <w:color w:val="auto"/>
        </w:rPr>
        <w:t xml:space="preserve">In considering their vote, stockholders may wish to review with care the information on our compensation policies and decisions regarding the named executive officers presented in Compensation Discussion and Analysis on pages </w:t>
      </w:r>
      <w:hyperlink w:anchor="page24">
        <w:r>
          <w:rPr>
            <w:rFonts w:ascii="Arial" w:cs="Arial" w:eastAsia="Arial" w:hAnsi="Arial"/>
            <w:sz w:val="18"/>
            <w:szCs w:val="18"/>
            <w:u w:val="single" w:color="auto"/>
            <w:color w:val="0000EE"/>
          </w:rPr>
          <w:t>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w:t>
      </w:r>
      <w:hyperlink w:anchor="page24">
        <w:r>
          <w:rPr>
            <w:rFonts w:ascii="Arial" w:cs="Arial" w:eastAsia="Arial" w:hAnsi="Arial"/>
            <w:sz w:val="18"/>
            <w:szCs w:val="18"/>
            <w:u w:val="single" w:color="auto"/>
            <w:color w:val="0000EE"/>
          </w:rPr>
          <w:t>27,</w:t>
        </w:r>
        <w:r>
          <w:rPr>
            <w:rFonts w:ascii="Arial" w:cs="Arial" w:eastAsia="Arial" w:hAnsi="Arial"/>
            <w:sz w:val="18"/>
            <w:szCs w:val="18"/>
            <w:color w:val="0000EE"/>
          </w:rPr>
          <w:t xml:space="preserve"> </w:t>
        </w:r>
      </w:hyperlink>
      <w:r>
        <w:rPr>
          <w:rFonts w:ascii="Arial" w:cs="Arial" w:eastAsia="Arial" w:hAnsi="Arial"/>
          <w:sz w:val="18"/>
          <w:szCs w:val="18"/>
          <w:color w:val="000000"/>
        </w:rPr>
        <w:t>the</w:t>
      </w:r>
      <w:r>
        <w:rPr>
          <w:rFonts w:ascii="Arial" w:cs="Arial" w:eastAsia="Arial" w:hAnsi="Arial"/>
          <w:sz w:val="18"/>
          <w:szCs w:val="18"/>
          <w:color w:val="0000EE"/>
        </w:rPr>
        <w:t xml:space="preserve"> </w:t>
      </w:r>
      <w:r>
        <w:rPr>
          <w:rFonts w:ascii="Arial" w:cs="Arial" w:eastAsia="Arial" w:hAnsi="Arial"/>
          <w:sz w:val="18"/>
          <w:szCs w:val="18"/>
          <w:color w:val="000000"/>
        </w:rPr>
        <w:t>compensation tables and narrative discussion on pages</w:t>
      </w:r>
      <w:r>
        <w:rPr>
          <w:rFonts w:ascii="Arial" w:cs="Arial" w:eastAsia="Arial" w:hAnsi="Arial"/>
          <w:sz w:val="18"/>
          <w:szCs w:val="18"/>
          <w:color w:val="0000EE"/>
        </w:rPr>
        <w:t xml:space="preserve"> </w:t>
      </w:r>
      <w:hyperlink w:anchor="page24">
        <w:r>
          <w:rPr>
            <w:rFonts w:ascii="Arial" w:cs="Arial" w:eastAsia="Arial" w:hAnsi="Arial"/>
            <w:sz w:val="18"/>
            <w:szCs w:val="18"/>
            <w:u w:val="single" w:color="auto"/>
            <w:color w:val="0000EE"/>
          </w:rPr>
          <w:t xml:space="preserve">28 </w:t>
        </w:r>
      </w:hyperlink>
      <w:r>
        <w:rPr>
          <w:rFonts w:ascii="Arial" w:cs="Arial" w:eastAsia="Arial" w:hAnsi="Arial"/>
          <w:sz w:val="18"/>
          <w:szCs w:val="18"/>
          <w:color w:val="000000"/>
        </w:rPr>
        <w:t>to</w:t>
      </w:r>
      <w:r>
        <w:rPr>
          <w:rFonts w:ascii="Arial" w:cs="Arial" w:eastAsia="Arial" w:hAnsi="Arial"/>
          <w:sz w:val="18"/>
          <w:szCs w:val="18"/>
          <w:color w:val="0000EE"/>
        </w:rPr>
        <w:t xml:space="preserve"> </w:t>
      </w:r>
      <w:hyperlink w:anchor="page24">
        <w:r>
          <w:rPr>
            <w:rFonts w:ascii="Arial" w:cs="Arial" w:eastAsia="Arial" w:hAnsi="Arial"/>
            <w:sz w:val="18"/>
            <w:szCs w:val="18"/>
            <w:u w:val="single" w:color="auto"/>
            <w:color w:val="0000EE"/>
          </w:rPr>
          <w:t xml:space="preserve">37,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well as the discussion regarding the</w:t>
      </w:r>
      <w:r>
        <w:rPr>
          <w:rFonts w:ascii="Arial" w:cs="Arial" w:eastAsia="Arial" w:hAnsi="Arial"/>
          <w:sz w:val="18"/>
          <w:szCs w:val="18"/>
          <w:color w:val="0000EE"/>
        </w:rPr>
        <w:t xml:space="preserve"> </w:t>
      </w:r>
      <w:r>
        <w:rPr>
          <w:rFonts w:ascii="Arial" w:cs="Arial" w:eastAsia="Arial" w:hAnsi="Arial"/>
          <w:sz w:val="18"/>
          <w:szCs w:val="18"/>
          <w:color w:val="000000"/>
        </w:rPr>
        <w:t xml:space="preserve">compensation committee on page </w:t>
      </w:r>
      <w:hyperlink w:anchor="page17">
        <w:r>
          <w:rPr>
            <w:rFonts w:ascii="Arial" w:cs="Arial" w:eastAsia="Arial" w:hAnsi="Arial"/>
            <w:sz w:val="18"/>
            <w:szCs w:val="18"/>
            <w:u w:val="single" w:color="auto"/>
            <w:color w:val="0000EE"/>
          </w:rPr>
          <w:t>14</w:t>
        </w:r>
      </w:hyperlink>
      <w:r>
        <w:rPr>
          <w:rFonts w:ascii="Arial" w:cs="Arial" w:eastAsia="Arial" w:hAnsi="Arial"/>
          <w:sz w:val="18"/>
          <w:szCs w:val="18"/>
          <w:color w:val="000000"/>
        </w:rPr>
        <w: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27305</wp:posOffset>
            </wp:positionV>
            <wp:extent cx="607187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27" w:lineRule="exact"/>
        <w:rPr>
          <w:rFonts w:ascii="Arial" w:cs="Arial" w:eastAsia="Arial" w:hAnsi="Arial"/>
          <w:sz w:val="18"/>
          <w:szCs w:val="18"/>
          <w:color w:val="0000EE"/>
        </w:rPr>
      </w:pPr>
    </w:p>
    <w:p>
      <w:pPr>
        <w:ind w:left="640"/>
        <w:spacing w:after="0"/>
        <w:rPr>
          <w:sz w:val="20"/>
          <w:szCs w:val="20"/>
          <w:color w:val="auto"/>
        </w:rPr>
      </w:pPr>
      <w:r>
        <w:rPr>
          <w:rFonts w:ascii="Arial" w:cs="Arial" w:eastAsia="Arial" w:hAnsi="Arial"/>
          <w:sz w:val="18"/>
          <w:szCs w:val="18"/>
          <w:b w:val="1"/>
          <w:bCs w:val="1"/>
          <w:i w:val="1"/>
          <w:iCs w:val="1"/>
          <w:color w:val="1F3C7B"/>
        </w:rPr>
        <w:t>YOUR BOARD OF DIRECTORS RECOMMENDS THAT YOU VOTE “FOR” THE APPROVAL OF THE</w:t>
      </w:r>
    </w:p>
    <w:p>
      <w:pPr>
        <w:spacing w:after="0" w:line="18" w:lineRule="exact"/>
        <w:rPr>
          <w:rFonts w:ascii="Arial" w:cs="Arial" w:eastAsia="Arial" w:hAnsi="Arial"/>
          <w:sz w:val="18"/>
          <w:szCs w:val="18"/>
          <w:color w:val="0000EE"/>
        </w:rPr>
      </w:pPr>
    </w:p>
    <w:p>
      <w:pPr>
        <w:ind w:left="2140"/>
        <w:spacing w:after="0"/>
        <w:rPr>
          <w:sz w:val="20"/>
          <w:szCs w:val="20"/>
          <w:color w:val="auto"/>
        </w:rPr>
      </w:pPr>
      <w:r>
        <w:rPr>
          <w:rFonts w:ascii="Arial" w:cs="Arial" w:eastAsia="Arial" w:hAnsi="Arial"/>
          <w:sz w:val="18"/>
          <w:szCs w:val="18"/>
          <w:b w:val="1"/>
          <w:bCs w:val="1"/>
          <w:i w:val="1"/>
          <w:iCs w:val="1"/>
          <w:color w:val="1F3C7B"/>
        </w:rPr>
        <w:t>COMPENSATION PAID TO OUR NAMED EXECUTIVE OFFICERS.</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5548630</wp:posOffset>
            </wp:positionH>
            <wp:positionV relativeFrom="paragraph">
              <wp:posOffset>118110</wp:posOffset>
            </wp:positionV>
            <wp:extent cx="20574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38"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0"/>
          <w:szCs w:val="20"/>
          <w:color w:val="auto"/>
        </w:rPr>
      </w:pPr>
    </w:p>
    <w:p>
      <w:pPr>
        <w:ind w:right="40"/>
        <w:spacing w:after="0" w:line="237" w:lineRule="auto"/>
        <w:rPr>
          <w:sz w:val="20"/>
          <w:szCs w:val="20"/>
          <w:color w:val="auto"/>
        </w:rPr>
      </w:pPr>
      <w:r>
        <w:rPr>
          <w:rFonts w:ascii="Arial" w:cs="Arial" w:eastAsia="Arial" w:hAnsi="Arial"/>
          <w:sz w:val="32"/>
          <w:szCs w:val="32"/>
          <w:color w:val="auto"/>
        </w:rPr>
        <w:t>PROPOSAL NO. 4—NON-BINDING VOTE ON FREQUENCY OF STOCKHOLDER VOTES ON EXECUTIVE COMPENSATION</w:t>
      </w:r>
    </w:p>
    <w:p>
      <w:pPr>
        <w:spacing w:after="0" w:line="65" w:lineRule="exact"/>
        <w:rPr>
          <w:sz w:val="20"/>
          <w:szCs w:val="20"/>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stockholders are being asked to recommend, in a non-binding advisory vote, whether a non-binding stockholder vote to approve the compensation paid to our named executive officers (that is, votes similar to the non-binding vote in Proposal No. 3 on page </w:t>
      </w:r>
      <w:hyperlink w:anchor="page22">
        <w:r>
          <w:rPr>
            <w:rFonts w:ascii="Arial" w:cs="Arial" w:eastAsia="Arial" w:hAnsi="Arial"/>
            <w:sz w:val="18"/>
            <w:szCs w:val="18"/>
            <w:u w:val="single" w:color="auto"/>
            <w:color w:val="0000EE"/>
          </w:rPr>
          <w:t>19</w:t>
        </w:r>
      </w:hyperlink>
      <w:r>
        <w:rPr>
          <w:rFonts w:ascii="Arial" w:cs="Arial" w:eastAsia="Arial" w:hAnsi="Arial"/>
          <w:sz w:val="18"/>
          <w:szCs w:val="18"/>
          <w:color w:val="auto"/>
        </w:rPr>
        <w:t>) should occur every one, two or three years. While the results of the vote are non-binding and advisory in nature, the Board of Directors intends to carefully consider the results of the vote.</w:t>
      </w:r>
    </w:p>
    <w:p>
      <w:pPr>
        <w:spacing w:after="0" w:line="96" w:lineRule="exact"/>
        <w:rPr>
          <w:sz w:val="20"/>
          <w:szCs w:val="20"/>
          <w:color w:val="auto"/>
        </w:rPr>
      </w:pPr>
    </w:p>
    <w:p>
      <w:pPr>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In considering their vote, stockholders may wish to review with care the information presented in connection with Proposal No. 3 on page </w:t>
      </w:r>
      <w:hyperlink w:anchor="page22">
        <w:r>
          <w:rPr>
            <w:rFonts w:ascii="Arial" w:cs="Arial" w:eastAsia="Arial" w:hAnsi="Arial"/>
            <w:sz w:val="17"/>
            <w:szCs w:val="17"/>
            <w:u w:val="single" w:color="auto"/>
            <w:color w:val="0000EE"/>
          </w:rPr>
          <w:t>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information on our compensation policies and decisions regarding the named executive officers presented in Compensation Discussion and Analysis on pages </w:t>
      </w:r>
      <w:hyperlink w:anchor="page24">
        <w:r>
          <w:rPr>
            <w:rFonts w:ascii="Arial" w:cs="Arial" w:eastAsia="Arial" w:hAnsi="Arial"/>
            <w:sz w:val="17"/>
            <w:szCs w:val="17"/>
            <w:u w:val="single" w:color="auto"/>
            <w:color w:val="0000EE"/>
          </w:rPr>
          <w:t>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w:t>
      </w:r>
      <w:hyperlink w:anchor="page24">
        <w:r>
          <w:rPr>
            <w:rFonts w:ascii="Arial" w:cs="Arial" w:eastAsia="Arial" w:hAnsi="Arial"/>
            <w:sz w:val="17"/>
            <w:szCs w:val="17"/>
            <w:u w:val="single" w:color="auto"/>
            <w:color w:val="0000EE"/>
          </w:rPr>
          <w:t>27,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compensation tables and narrative discussion on pages </w:t>
      </w:r>
      <w:hyperlink w:anchor="page31">
        <w:r>
          <w:rPr>
            <w:rFonts w:ascii="Arial" w:cs="Arial" w:eastAsia="Arial" w:hAnsi="Arial"/>
            <w:sz w:val="17"/>
            <w:szCs w:val="17"/>
            <w:u w:val="single" w:color="auto"/>
            <w:color w:val="0000EE"/>
          </w:rPr>
          <w:t>28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w:t>
      </w:r>
      <w:hyperlink w:anchor="page31">
        <w:r>
          <w:rPr>
            <w:rFonts w:ascii="Arial" w:cs="Arial" w:eastAsia="Arial" w:hAnsi="Arial"/>
            <w:sz w:val="17"/>
            <w:szCs w:val="17"/>
            <w:u w:val="single" w:color="auto"/>
            <w:color w:val="0000EE"/>
          </w:rPr>
          <w:t>37,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as well as the discussion regarding the compensation committee on page </w:t>
      </w:r>
      <w:hyperlink w:anchor="page17">
        <w:r>
          <w:rPr>
            <w:rFonts w:ascii="Arial" w:cs="Arial" w:eastAsia="Arial" w:hAnsi="Arial"/>
            <w:sz w:val="17"/>
            <w:szCs w:val="17"/>
            <w:u w:val="single" w:color="auto"/>
            <w:color w:val="0000EE"/>
          </w:rPr>
          <w:t>14</w:t>
        </w:r>
      </w:hyperlink>
      <w:r>
        <w:rPr>
          <w:rFonts w:ascii="Arial" w:cs="Arial" w:eastAsia="Arial" w:hAnsi="Arial"/>
          <w:sz w:val="17"/>
          <w:szCs w:val="17"/>
          <w:color w:val="auto"/>
        </w:rPr>
        <w:t>.</w:t>
      </w:r>
    </w:p>
    <w:p>
      <w:pPr>
        <w:spacing w:after="0" w:line="80" w:lineRule="exact"/>
        <w:rPr>
          <w:rFonts w:ascii="Arial" w:cs="Arial" w:eastAsia="Arial" w:hAnsi="Arial"/>
          <w:sz w:val="17"/>
          <w:szCs w:val="17"/>
          <w:color w:val="auto"/>
        </w:rPr>
      </w:pPr>
    </w:p>
    <w:p>
      <w:pPr>
        <w:ind w:right="480"/>
        <w:spacing w:after="0" w:line="262" w:lineRule="auto"/>
        <w:rPr>
          <w:sz w:val="20"/>
          <w:szCs w:val="20"/>
          <w:color w:val="auto"/>
        </w:rPr>
      </w:pPr>
      <w:r>
        <w:rPr>
          <w:rFonts w:ascii="Arial" w:cs="Arial" w:eastAsia="Arial" w:hAnsi="Arial"/>
          <w:sz w:val="18"/>
          <w:szCs w:val="18"/>
          <w:color w:val="auto"/>
        </w:rPr>
        <w:t>We believe a one-year frequency is most consistent with the Company’s approach to compensation. Our reasons include:</w:t>
      </w:r>
    </w:p>
    <w:p>
      <w:pPr>
        <w:spacing w:after="0" w:line="88" w:lineRule="exact"/>
        <w:rPr>
          <w:rFonts w:ascii="Arial" w:cs="Arial" w:eastAsia="Arial" w:hAnsi="Arial"/>
          <w:sz w:val="17"/>
          <w:szCs w:val="17"/>
          <w:color w:val="auto"/>
        </w:rPr>
      </w:pPr>
    </w:p>
    <w:p>
      <w:pPr>
        <w:ind w:left="1060" w:right="20" w:hanging="35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believe that an annual advisory vote on executive compensation will allow our stockholders to provide us with direct input on our compensation philosophy, policies and practices as disclosed in the proxy statement each year.</w:t>
      </w:r>
    </w:p>
    <w:p>
      <w:pPr>
        <w:spacing w:after="0" w:line="94" w:lineRule="exact"/>
        <w:rPr>
          <w:rFonts w:ascii="Arial" w:cs="Arial" w:eastAsia="Arial" w:hAnsi="Arial"/>
          <w:sz w:val="18"/>
          <w:szCs w:val="18"/>
          <w:color w:val="auto"/>
        </w:rPr>
      </w:pPr>
    </w:p>
    <w:p>
      <w:pPr>
        <w:ind w:left="1060" w:right="240" w:hanging="35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believe that an annual advisory vote on executive compensation is consistent with our policy of seeking input from our stockholders on corporate governance matters and our executive compensation philosophy, policies and practices even though it is not required by law.</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071870" cy="420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20370"/>
                    </a:xfrm>
                    <a:prstGeom prst="rect">
                      <a:avLst/>
                    </a:prstGeom>
                    <a:noFill/>
                  </pic:spPr>
                </pic:pic>
              </a:graphicData>
            </a:graphic>
          </wp:anchor>
        </w:drawing>
      </w:r>
    </w:p>
    <w:p>
      <w:pPr>
        <w:spacing w:after="0" w:line="26" w:lineRule="exact"/>
        <w:rPr>
          <w:rFonts w:ascii="Arial" w:cs="Arial" w:eastAsia="Arial" w:hAnsi="Arial"/>
          <w:sz w:val="17"/>
          <w:szCs w:val="17"/>
          <w:color w:val="auto"/>
        </w:rPr>
      </w:pPr>
    </w:p>
    <w:p>
      <w:pPr>
        <w:jc w:val="center"/>
        <w:ind w:left="1320" w:right="200"/>
        <w:spacing w:after="0" w:line="253" w:lineRule="auto"/>
        <w:rPr>
          <w:sz w:val="20"/>
          <w:szCs w:val="20"/>
          <w:color w:val="auto"/>
        </w:rPr>
      </w:pPr>
      <w:r>
        <w:rPr>
          <w:rFonts w:ascii="Arial" w:cs="Arial" w:eastAsia="Arial" w:hAnsi="Arial"/>
          <w:sz w:val="18"/>
          <w:szCs w:val="18"/>
          <w:b w:val="1"/>
          <w:bCs w:val="1"/>
          <w:i w:val="1"/>
          <w:iCs w:val="1"/>
          <w:color w:val="1F3C7B"/>
        </w:rPr>
        <w:t>YOUR BOARD OF DIRECTORS RECOMMENDS THAT YOU VOTE “ONE YEAR” WITH RESPECT TO HOW FREQUENTLY A STOCKHOLDER VOTE TO APPROVE, IN A NON-BINDING VOTE, THE COMPENSATION PAID TO OUR NAMED EXECUTIVE OFFICERS SHOULD OCCUR.</w:t>
      </w:r>
    </w:p>
    <w:p>
      <w:pPr>
        <w:spacing w:after="0" w:line="135" w:lineRule="exact"/>
        <w:rPr>
          <w:rFonts w:ascii="Arial" w:cs="Arial" w:eastAsia="Arial" w:hAnsi="Arial"/>
          <w:sz w:val="17"/>
          <w:szCs w:val="17"/>
          <w:color w:val="auto"/>
        </w:rPr>
      </w:pPr>
    </w:p>
    <w:p>
      <w:pPr>
        <w:spacing w:after="0"/>
        <w:tabs>
          <w:tab w:leader="none" w:pos="452" w:val="left"/>
        </w:tabs>
        <w:rPr>
          <w:sz w:val="20"/>
          <w:szCs w:val="20"/>
          <w:color w:val="auto"/>
        </w:rPr>
      </w:pPr>
      <w:r>
        <w:rPr>
          <w:rFonts w:ascii="Arial" w:cs="Arial" w:eastAsia="Arial" w:hAnsi="Arial"/>
          <w:sz w:val="14"/>
          <w:szCs w:val="14"/>
          <w:color w:val="auto"/>
        </w:rPr>
        <w:t>20</w:t>
      </w:r>
      <w:r>
        <w:rPr>
          <w:sz w:val="20"/>
          <w:szCs w:val="20"/>
          <w:color w:val="auto"/>
        </w:rPr>
        <w:tab/>
      </w:r>
      <w:r>
        <w:rPr>
          <w:sz w:val="1"/>
          <w:szCs w:val="1"/>
          <w:color w:val="auto"/>
        </w:rPr>
        <w:drawing>
          <wp:inline distT="0" distB="0" distL="0" distR="0">
            <wp:extent cx="205740" cy="16319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3" w:name="page24"/>
    <w:bookmarkEnd w:id="2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071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Section Overview</w:t>
      </w:r>
    </w:p>
    <w:p>
      <w:pPr>
        <w:spacing w:after="0" w:line="126" w:lineRule="exact"/>
        <w:rPr>
          <w:sz w:val="20"/>
          <w:szCs w:val="20"/>
          <w:color w:val="auto"/>
        </w:rPr>
      </w:pPr>
    </w:p>
    <w:p>
      <w:pPr>
        <w:ind w:left="7"/>
        <w:spacing w:after="0" w:line="256" w:lineRule="auto"/>
        <w:rPr>
          <w:sz w:val="20"/>
          <w:szCs w:val="20"/>
          <w:color w:val="auto"/>
        </w:rPr>
      </w:pPr>
      <w:r>
        <w:rPr>
          <w:rFonts w:ascii="Arial" w:cs="Arial" w:eastAsia="Arial" w:hAnsi="Arial"/>
          <w:sz w:val="18"/>
          <w:szCs w:val="18"/>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94" w:lineRule="exact"/>
        <w:rPr>
          <w:sz w:val="20"/>
          <w:szCs w:val="20"/>
          <w:color w:val="auto"/>
        </w:rPr>
      </w:pPr>
    </w:p>
    <w:p>
      <w:pPr>
        <w:ind w:left="7" w:right="260"/>
        <w:spacing w:after="0" w:line="253"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30, 2017. In addition, our former President, who retired from such position as of September 1, 2017, also qualifies as an NEO for 2017. Our NEOs for 2017 were:</w:t>
      </w:r>
    </w:p>
    <w:p>
      <w:pPr>
        <w:spacing w:after="0" w:line="44"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3680" w:type="dxa"/>
            <w:vAlign w:val="bottom"/>
            <w:tcBorders>
              <w:left w:val="single" w:sz="8" w:color="1F3C7B"/>
              <w:right w:val="single" w:sz="8" w:color="000E5B"/>
            </w:tcBorders>
            <w:shd w:val="clear" w:color="auto" w:fill="1F3C7B"/>
          </w:tcPr>
          <w:p>
            <w:pPr>
              <w:ind w:left="1380"/>
              <w:spacing w:after="0"/>
              <w:rPr>
                <w:sz w:val="20"/>
                <w:szCs w:val="20"/>
                <w:color w:val="auto"/>
              </w:rPr>
            </w:pPr>
            <w:r>
              <w:rPr>
                <w:rFonts w:ascii="Arial" w:cs="Arial" w:eastAsia="Arial" w:hAnsi="Arial"/>
                <w:sz w:val="18"/>
                <w:szCs w:val="18"/>
                <w:b w:val="1"/>
                <w:bCs w:val="1"/>
                <w:color w:val="FFFFFF"/>
              </w:rPr>
              <w:t>Name</w:t>
            </w:r>
          </w:p>
        </w:tc>
        <w:tc>
          <w:tcPr>
            <w:tcW w:w="5880" w:type="dxa"/>
            <w:vAlign w:val="bottom"/>
            <w:tcBorders>
              <w:right w:val="single" w:sz="8" w:color="1F3C7B"/>
            </w:tcBorders>
            <w:shd w:val="clear" w:color="auto" w:fill="1F3C7B"/>
          </w:tcPr>
          <w:p>
            <w:pPr>
              <w:ind w:left="2780"/>
              <w:spacing w:after="0"/>
              <w:rPr>
                <w:sz w:val="20"/>
                <w:szCs w:val="20"/>
                <w:color w:val="auto"/>
              </w:rPr>
            </w:pPr>
            <w:r>
              <w:rPr>
                <w:rFonts w:ascii="Arial" w:cs="Arial" w:eastAsia="Arial" w:hAnsi="Arial"/>
                <w:sz w:val="18"/>
                <w:szCs w:val="18"/>
                <w:b w:val="1"/>
                <w:bCs w:val="1"/>
                <w:color w:val="FFFFFF"/>
              </w:rPr>
              <w:t>Position</w:t>
            </w:r>
          </w:p>
        </w:tc>
      </w:tr>
      <w:tr>
        <w:trPr>
          <w:trHeight w:val="230"/>
        </w:trPr>
        <w:tc>
          <w:tcPr>
            <w:tcW w:w="368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L. Reade Fahs</w:t>
            </w:r>
          </w:p>
        </w:tc>
        <w:tc>
          <w:tcPr>
            <w:tcW w:w="5880" w:type="dxa"/>
            <w:vAlign w:val="bottom"/>
            <w:tcBorders>
              <w:right w:val="single" w:sz="8" w:color="1F3C7B"/>
            </w:tcBorders>
          </w:tcPr>
          <w:p>
            <w:pPr>
              <w:ind w:left="4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68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Patrick R. Moore</w:t>
            </w:r>
          </w:p>
        </w:tc>
        <w:tc>
          <w:tcPr>
            <w:tcW w:w="5880" w:type="dxa"/>
            <w:vAlign w:val="bottom"/>
            <w:tcBorders>
              <w:right w:val="single" w:sz="8" w:color="1F3C7B"/>
            </w:tcBorders>
            <w:shd w:val="clear" w:color="auto" w:fill="C6C8CA"/>
          </w:tcPr>
          <w:p>
            <w:pPr>
              <w:ind w:left="44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368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Jeff McAllister*</w:t>
            </w:r>
          </w:p>
        </w:tc>
        <w:tc>
          <w:tcPr>
            <w:tcW w:w="5880" w:type="dxa"/>
            <w:vAlign w:val="bottom"/>
            <w:tcBorders>
              <w:right w:val="single" w:sz="8" w:color="1F3C7B"/>
            </w:tcBorders>
          </w:tcPr>
          <w:p>
            <w:pPr>
              <w:ind w:left="440"/>
              <w:spacing w:after="0"/>
              <w:rPr>
                <w:sz w:val="20"/>
                <w:szCs w:val="20"/>
                <w:color w:val="auto"/>
              </w:rPr>
            </w:pPr>
            <w:r>
              <w:rPr>
                <w:rFonts w:ascii="Arial" w:cs="Arial" w:eastAsia="Arial" w:hAnsi="Arial"/>
                <w:sz w:val="18"/>
                <w:szCs w:val="18"/>
                <w:color w:val="auto"/>
              </w:rPr>
              <w:t>Chief Operating Officer</w:t>
            </w:r>
          </w:p>
        </w:tc>
      </w:tr>
      <w:tr>
        <w:trPr>
          <w:trHeight w:val="230"/>
        </w:trPr>
        <w:tc>
          <w:tcPr>
            <w:tcW w:w="368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Mitchell Goodman</w:t>
            </w:r>
          </w:p>
        </w:tc>
        <w:tc>
          <w:tcPr>
            <w:tcW w:w="5880" w:type="dxa"/>
            <w:vAlign w:val="bottom"/>
            <w:tcBorders>
              <w:right w:val="single" w:sz="8" w:color="1F3C7B"/>
            </w:tcBorders>
            <w:shd w:val="clear" w:color="auto" w:fill="C6C8CA"/>
          </w:tcPr>
          <w:p>
            <w:pPr>
              <w:ind w:left="440"/>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368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John Vaught</w:t>
            </w:r>
          </w:p>
        </w:tc>
        <w:tc>
          <w:tcPr>
            <w:tcW w:w="5880" w:type="dxa"/>
            <w:vAlign w:val="bottom"/>
            <w:tcBorders>
              <w:right w:val="single" w:sz="8" w:color="1F3C7B"/>
            </w:tcBorders>
          </w:tcPr>
          <w:p>
            <w:pPr>
              <w:ind w:left="440"/>
              <w:spacing w:after="0"/>
              <w:rPr>
                <w:sz w:val="20"/>
                <w:szCs w:val="20"/>
                <w:color w:val="auto"/>
              </w:rPr>
            </w:pPr>
            <w:r>
              <w:rPr>
                <w:rFonts w:ascii="Arial" w:cs="Arial" w:eastAsia="Arial" w:hAnsi="Arial"/>
                <w:sz w:val="18"/>
                <w:szCs w:val="18"/>
                <w:color w:val="auto"/>
              </w:rPr>
              <w:t>Senior Vice President, Chief Information Officer</w:t>
            </w:r>
          </w:p>
        </w:tc>
      </w:tr>
      <w:tr>
        <w:trPr>
          <w:trHeight w:val="230"/>
        </w:trPr>
        <w:tc>
          <w:tcPr>
            <w:tcW w:w="3680" w:type="dxa"/>
            <w:vAlign w:val="bottom"/>
            <w:tcBorders>
              <w:left w:val="single" w:sz="8" w:color="1F3C7B"/>
              <w:bottom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J. Bruce Steffey*</w:t>
            </w:r>
          </w:p>
        </w:tc>
        <w:tc>
          <w:tcPr>
            <w:tcW w:w="5880" w:type="dxa"/>
            <w:vAlign w:val="bottom"/>
            <w:tcBorders>
              <w:bottom w:val="single" w:sz="8" w:color="1F3C7B"/>
              <w:right w:val="single" w:sz="8" w:color="1F3C7B"/>
            </w:tcBorders>
            <w:shd w:val="clear" w:color="auto" w:fill="C6C8CA"/>
          </w:tcPr>
          <w:p>
            <w:pPr>
              <w:ind w:left="440"/>
              <w:spacing w:after="0"/>
              <w:rPr>
                <w:sz w:val="20"/>
                <w:szCs w:val="20"/>
                <w:color w:val="auto"/>
              </w:rPr>
            </w:pPr>
            <w:r>
              <w:rPr>
                <w:rFonts w:ascii="Arial" w:cs="Arial" w:eastAsia="Arial" w:hAnsi="Arial"/>
                <w:sz w:val="18"/>
                <w:szCs w:val="18"/>
                <w:color w:val="auto"/>
              </w:rPr>
              <w:t>Former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1209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0"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2"/>
          <w:szCs w:val="12"/>
          <w:color w:val="auto"/>
        </w:rPr>
      </w:pPr>
      <w:r>
        <w:rPr>
          <w:rFonts w:ascii="Arial" w:cs="Arial" w:eastAsia="Arial" w:hAnsi="Arial"/>
          <w:sz w:val="12"/>
          <w:szCs w:val="12"/>
          <w:color w:val="auto"/>
        </w:rPr>
        <w:t>Mr. McAllister joined NVI in August 2017. Mr Steffey retired from his President position in September 2017 and remains employed in a part-time capacity.</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Executive Summary</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26" w:lineRule="exact"/>
        <w:rPr>
          <w:sz w:val="20"/>
          <w:szCs w:val="20"/>
          <w:color w:val="auto"/>
        </w:rPr>
      </w:pPr>
    </w:p>
    <w:p>
      <w:pPr>
        <w:jc w:val="both"/>
        <w:ind w:left="7" w:right="120"/>
        <w:spacing w:after="0" w:line="256" w:lineRule="auto"/>
        <w:rPr>
          <w:sz w:val="20"/>
          <w:szCs w:val="20"/>
          <w:color w:val="auto"/>
        </w:rPr>
      </w:pPr>
      <w:r>
        <w:rPr>
          <w:rFonts w:ascii="Arial" w:cs="Arial" w:eastAsia="Arial" w:hAnsi="Arial"/>
          <w:sz w:val="18"/>
          <w:szCs w:val="18"/>
          <w:color w:val="auto"/>
        </w:rPr>
        <w:t>We expect our executive team to possess and demonstrate strong leadership and management capabilities. To reward and retain our leaders, including our NEOs, we have designed a total compensation approach that rewards both short-term and long-term success.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104" w:lineRule="exact"/>
        <w:rPr>
          <w:sz w:val="20"/>
          <w:szCs w:val="20"/>
          <w:color w:val="auto"/>
        </w:rPr>
      </w:pPr>
    </w:p>
    <w:p>
      <w:pPr>
        <w:ind w:left="1067" w:hanging="351"/>
        <w:spacing w:after="0"/>
        <w:tabs>
          <w:tab w:leader="none" w:pos="10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 executive compensation with achievement of our overall business goals;</w:t>
      </w:r>
    </w:p>
    <w:p>
      <w:pPr>
        <w:spacing w:after="0" w:line="103" w:lineRule="exact"/>
        <w:rPr>
          <w:rFonts w:ascii="Arial" w:cs="Arial" w:eastAsia="Arial" w:hAnsi="Arial"/>
          <w:sz w:val="18"/>
          <w:szCs w:val="18"/>
          <w:color w:val="auto"/>
        </w:rPr>
      </w:pPr>
    </w:p>
    <w:p>
      <w:pPr>
        <w:ind w:left="1067" w:right="200" w:hanging="351"/>
        <w:spacing w:after="0" w:line="246" w:lineRule="auto"/>
        <w:tabs>
          <w:tab w:leader="none" w:pos="10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overall levels of compensation that are competitive to attract, retain and motivate highly-qualified executives to continue to enhance long-term equity value; and</w:t>
      </w:r>
    </w:p>
    <w:p>
      <w:pPr>
        <w:spacing w:after="0" w:line="88" w:lineRule="exact"/>
        <w:rPr>
          <w:rFonts w:ascii="Arial" w:cs="Arial" w:eastAsia="Arial" w:hAnsi="Arial"/>
          <w:sz w:val="18"/>
          <w:szCs w:val="18"/>
          <w:color w:val="auto"/>
        </w:rPr>
      </w:pPr>
    </w:p>
    <w:p>
      <w:pPr>
        <w:ind w:left="1067" w:right="100" w:hanging="351"/>
        <w:spacing w:after="0" w:line="246" w:lineRule="auto"/>
        <w:tabs>
          <w:tab w:leader="none" w:pos="10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foster a strong relationship between stockholder value and executive compensation by having a portion of compensation composed of equity-based incentive awards.</w:t>
      </w:r>
    </w:p>
    <w:p>
      <w:pPr>
        <w:spacing w:after="0" w:line="71" w:lineRule="exact"/>
        <w:rPr>
          <w:sz w:val="20"/>
          <w:szCs w:val="20"/>
          <w:color w:val="auto"/>
        </w:rPr>
      </w:pPr>
    </w:p>
    <w:p>
      <w:pPr>
        <w:ind w:left="7" w:right="260"/>
        <w:spacing w:after="0" w:line="266"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and (3) long-term incentive awards. Each component is designed to be consistent with the Company’s compensation philosophy.</w:t>
      </w:r>
    </w:p>
    <w:p>
      <w:pPr>
        <w:spacing w:after="0" w:line="86" w:lineRule="exact"/>
        <w:rPr>
          <w:sz w:val="20"/>
          <w:szCs w:val="20"/>
          <w:color w:val="auto"/>
        </w:rPr>
      </w:pPr>
    </w:p>
    <w:p>
      <w:pPr>
        <w:ind w:left="7" w:right="160"/>
        <w:spacing w:after="0" w:line="252" w:lineRule="auto"/>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98425</wp:posOffset>
            </wp:positionV>
            <wp:extent cx="20574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8"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we have recently transitioned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of Directors and the NVI Board</w:t>
      </w:r>
    </w:p>
    <w:p>
      <w:pPr>
        <w:spacing w:after="0" w:line="12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Prior to our IPO, our executive compensation and related issues were administered by our full Board of Directors and the board of NVI (the “NVI Board”). Our Board of Directors was responsible for determining and approving equity compensation grants while the NVI Board determined other aspects of compensation, including base salaries, and administered our Management Incentive Plan (“MIP”). Our Board of Directors and the NVI Board were responsible for determining the compensation of our CEO and for reviewing and approving the compensation of other executive officers, as recommended by our CEO and Senior Vice President, Chief Human Resources Officer, (the “Chief Human Resources Officer”). At the beginning of each performance cycle, our Board of Directors or the NVI Board, as applicable, approved financial goals designed to align executive pay with company performance and stockholder interests, provide competitive pay opportunities dependent on performance, retain talent, create optimal stockholder value and mitigate material risk.</w:t>
      </w:r>
    </w:p>
    <w:p>
      <w:pPr>
        <w:spacing w:after="0" w:line="10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connection with our IPO, our Board of Directors established a compensation committee that, going forward, has responsibility for overseeing the executive compensation program, including (but not limited to) executive salaries, goals and payouts under the MIP, the size and structure of equity awards and any executive perquisites or other benefits.</w:t>
      </w:r>
    </w:p>
    <w:p>
      <w:pPr>
        <w:spacing w:after="0" w:line="7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Except where the context requires otherwise, the term “Board of Directors” as used in this “Compensation Discussion and Analysis” section refers to the Board of Directors of National Vision Holdings,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setting executive compensation for 2017, our CEO and our Chief Human Resources Officer worked 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our IPO, the compensation committee of our Board of Directors assumed the responsibility that the NVI Board had in approving compensation decisions with respect to our NEOs.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early 2016, our Board of Directors retained Meridian Compensation Partners, LLC (“Meridian”), an independent compensation consulting firm, to assist our Board of Directors regarding various executive compensation matters. Since 2016, Meridian has assisted with the development of our compensation peer group, conducted compensation benchmarking studies for our senior executives using both the peer group and survey data, consulted on various matters related to the annual and long-term incentive programs and consulted on various matters related to compensation of our independent directors.</w:t>
      </w:r>
    </w:p>
    <w:p>
      <w:pPr>
        <w:spacing w:after="0" w:line="10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early 2018, the compensation committee engaged Meridian to serve as its independent compensation consulting firm. In connection with this appointment, the compensation committee assessed Meridian’s</w:t>
      </w:r>
    </w:p>
    <w:p>
      <w:pPr>
        <w:spacing w:after="0" w:line="115"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205740" cy="1543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aim to compensate our executive officers competitively in the market for executive talent. To gain a general understanding of current market compensation practices, our Board of Directors has reviewed the findings as presented in a market study conducted by Meridian. The external market data reviewed included proxy data from the peer group companies described below, and a broad cross-section of general industry survey data.</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current peer group was approved by the Board of Directors in October 2016. The criteria used to select the peer group focused on industry, business model, scope of operations (as measured by annual revenue and market capitalization), and performance results (as indicated by various earnings metrics). We believe it is appropriate for the peer group to reflect the health care aspects of our business yet retain a “retail” component. The peer group consists of the following 15 companies: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3220" w:type="dxa"/>
            <w:vAlign w:val="bottom"/>
          </w:tcPr>
          <w:p>
            <w:pPr>
              <w:jc w:val="center"/>
              <w:ind w:right="1090"/>
              <w:spacing w:after="0"/>
              <w:rPr>
                <w:sz w:val="20"/>
                <w:szCs w:val="20"/>
                <w:color w:val="auto"/>
              </w:rPr>
            </w:pPr>
            <w:r>
              <w:rPr>
                <w:rFonts w:ascii="Arial" w:cs="Arial" w:eastAsia="Arial" w:hAnsi="Arial"/>
                <w:sz w:val="18"/>
                <w:szCs w:val="18"/>
                <w:color w:val="auto"/>
                <w:w w:val="98"/>
              </w:rPr>
              <w:t>Alere, Inc.</w:t>
            </w:r>
          </w:p>
        </w:tc>
        <w:tc>
          <w:tcPr>
            <w:tcW w:w="4200" w:type="dxa"/>
            <w:vAlign w:val="bottom"/>
          </w:tcPr>
          <w:p>
            <w:pPr>
              <w:jc w:val="center"/>
              <w:ind w:left="1110"/>
              <w:spacing w:after="0"/>
              <w:rPr>
                <w:sz w:val="20"/>
                <w:szCs w:val="20"/>
                <w:color w:val="auto"/>
              </w:rPr>
            </w:pPr>
            <w:r>
              <w:rPr>
                <w:rFonts w:ascii="Arial" w:cs="Arial" w:eastAsia="Arial" w:hAnsi="Arial"/>
                <w:sz w:val="18"/>
                <w:szCs w:val="18"/>
                <w:color w:val="auto"/>
                <w:w w:val="99"/>
              </w:rPr>
              <w:t>Kate Spade &amp; Co.</w:t>
            </w:r>
          </w:p>
        </w:tc>
      </w:tr>
      <w:tr>
        <w:trPr>
          <w:trHeight w:val="230"/>
        </w:trPr>
        <w:tc>
          <w:tcPr>
            <w:tcW w:w="3220" w:type="dxa"/>
            <w:vAlign w:val="bottom"/>
          </w:tcPr>
          <w:p>
            <w:pPr>
              <w:jc w:val="center"/>
              <w:ind w:right="1070"/>
              <w:spacing w:after="0"/>
              <w:rPr>
                <w:sz w:val="20"/>
                <w:szCs w:val="20"/>
                <w:color w:val="auto"/>
              </w:rPr>
            </w:pPr>
            <w:r>
              <w:rPr>
                <w:rFonts w:ascii="Arial" w:cs="Arial" w:eastAsia="Arial" w:hAnsi="Arial"/>
                <w:sz w:val="18"/>
                <w:szCs w:val="18"/>
                <w:color w:val="auto"/>
                <w:w w:val="98"/>
              </w:rPr>
              <w:t>Align Technology Inc.</w:t>
            </w:r>
          </w:p>
        </w:tc>
        <w:tc>
          <w:tcPr>
            <w:tcW w:w="4200" w:type="dxa"/>
            <w:vAlign w:val="bottom"/>
          </w:tcPr>
          <w:p>
            <w:pPr>
              <w:jc w:val="center"/>
              <w:ind w:left="1090"/>
              <w:spacing w:after="0"/>
              <w:rPr>
                <w:sz w:val="20"/>
                <w:szCs w:val="20"/>
                <w:color w:val="auto"/>
              </w:rPr>
            </w:pPr>
            <w:r>
              <w:rPr>
                <w:rFonts w:ascii="Arial" w:cs="Arial" w:eastAsia="Arial" w:hAnsi="Arial"/>
                <w:sz w:val="18"/>
                <w:szCs w:val="18"/>
                <w:color w:val="auto"/>
                <w:w w:val="99"/>
              </w:rPr>
              <w:t>Surgery Partners Inc.</w:t>
            </w:r>
          </w:p>
        </w:tc>
      </w:tr>
      <w:tr>
        <w:trPr>
          <w:trHeight w:val="230"/>
        </w:trPr>
        <w:tc>
          <w:tcPr>
            <w:tcW w:w="3220" w:type="dxa"/>
            <w:vAlign w:val="bottom"/>
          </w:tcPr>
          <w:p>
            <w:pPr>
              <w:jc w:val="center"/>
              <w:ind w:right="1090"/>
              <w:spacing w:after="0"/>
              <w:rPr>
                <w:sz w:val="20"/>
                <w:szCs w:val="20"/>
                <w:color w:val="auto"/>
              </w:rPr>
            </w:pPr>
            <w:r>
              <w:rPr>
                <w:rFonts w:ascii="Arial" w:cs="Arial" w:eastAsia="Arial" w:hAnsi="Arial"/>
                <w:sz w:val="18"/>
                <w:szCs w:val="18"/>
                <w:color w:val="auto"/>
              </w:rPr>
              <w:t>Amsurg Corp.</w:t>
            </w:r>
          </w:p>
        </w:tc>
        <w:tc>
          <w:tcPr>
            <w:tcW w:w="4200" w:type="dxa"/>
            <w:vAlign w:val="bottom"/>
          </w:tcPr>
          <w:p>
            <w:pPr>
              <w:jc w:val="center"/>
              <w:ind w:left="1110"/>
              <w:spacing w:after="0"/>
              <w:rPr>
                <w:sz w:val="20"/>
                <w:szCs w:val="20"/>
                <w:color w:val="auto"/>
              </w:rPr>
            </w:pPr>
            <w:r>
              <w:rPr>
                <w:rFonts w:ascii="Arial" w:cs="Arial" w:eastAsia="Arial" w:hAnsi="Arial"/>
                <w:sz w:val="18"/>
                <w:szCs w:val="18"/>
                <w:color w:val="auto"/>
                <w:w w:val="99"/>
              </w:rPr>
              <w:t>Surgical Care Affiliates Inc.</w:t>
            </w:r>
          </w:p>
        </w:tc>
      </w:tr>
      <w:tr>
        <w:trPr>
          <w:trHeight w:val="230"/>
        </w:trPr>
        <w:tc>
          <w:tcPr>
            <w:tcW w:w="3220" w:type="dxa"/>
            <w:vAlign w:val="bottom"/>
          </w:tcPr>
          <w:p>
            <w:pPr>
              <w:jc w:val="center"/>
              <w:ind w:right="1090"/>
              <w:spacing w:after="0"/>
              <w:rPr>
                <w:sz w:val="20"/>
                <w:szCs w:val="20"/>
                <w:color w:val="auto"/>
              </w:rPr>
            </w:pPr>
            <w:r>
              <w:rPr>
                <w:rFonts w:ascii="Arial" w:cs="Arial" w:eastAsia="Arial" w:hAnsi="Arial"/>
                <w:sz w:val="18"/>
                <w:szCs w:val="18"/>
                <w:color w:val="auto"/>
                <w:w w:val="99"/>
              </w:rPr>
              <w:t>Columbia Sportswear Co.</w:t>
            </w:r>
          </w:p>
        </w:tc>
        <w:tc>
          <w:tcPr>
            <w:tcW w:w="4200" w:type="dxa"/>
            <w:vAlign w:val="bottom"/>
          </w:tcPr>
          <w:p>
            <w:pPr>
              <w:jc w:val="center"/>
              <w:ind w:left="1090"/>
              <w:spacing w:after="0"/>
              <w:rPr>
                <w:sz w:val="20"/>
                <w:szCs w:val="20"/>
                <w:color w:val="auto"/>
              </w:rPr>
            </w:pPr>
            <w:r>
              <w:rPr>
                <w:rFonts w:ascii="Arial" w:cs="Arial" w:eastAsia="Arial" w:hAnsi="Arial"/>
                <w:sz w:val="18"/>
                <w:szCs w:val="18"/>
                <w:color w:val="auto"/>
                <w:w w:val="99"/>
              </w:rPr>
              <w:t>Ulta Salon Cosmetics and Fragrances</w:t>
            </w:r>
          </w:p>
        </w:tc>
      </w:tr>
      <w:tr>
        <w:trPr>
          <w:trHeight w:val="230"/>
        </w:trPr>
        <w:tc>
          <w:tcPr>
            <w:tcW w:w="3220" w:type="dxa"/>
            <w:vAlign w:val="bottom"/>
          </w:tcPr>
          <w:p>
            <w:pPr>
              <w:jc w:val="center"/>
              <w:ind w:right="1090"/>
              <w:spacing w:after="0"/>
              <w:rPr>
                <w:sz w:val="20"/>
                <w:szCs w:val="20"/>
                <w:color w:val="auto"/>
              </w:rPr>
            </w:pPr>
            <w:r>
              <w:rPr>
                <w:rFonts w:ascii="Arial" w:cs="Arial" w:eastAsia="Arial" w:hAnsi="Arial"/>
                <w:sz w:val="18"/>
                <w:szCs w:val="18"/>
                <w:color w:val="auto"/>
                <w:w w:val="99"/>
              </w:rPr>
              <w:t>Cooper Companies Inc.</w:t>
            </w:r>
          </w:p>
        </w:tc>
        <w:tc>
          <w:tcPr>
            <w:tcW w:w="4200" w:type="dxa"/>
            <w:vAlign w:val="bottom"/>
          </w:tcPr>
          <w:p>
            <w:pPr>
              <w:jc w:val="center"/>
              <w:ind w:left="1110"/>
              <w:spacing w:after="0"/>
              <w:rPr>
                <w:sz w:val="20"/>
                <w:szCs w:val="20"/>
                <w:color w:val="auto"/>
              </w:rPr>
            </w:pPr>
            <w:r>
              <w:rPr>
                <w:rFonts w:ascii="Arial" w:cs="Arial" w:eastAsia="Arial" w:hAnsi="Arial"/>
                <w:sz w:val="18"/>
                <w:szCs w:val="18"/>
                <w:color w:val="auto"/>
                <w:w w:val="99"/>
              </w:rPr>
              <w:t>U.S. Physical Therapy Inc.</w:t>
            </w:r>
          </w:p>
        </w:tc>
      </w:tr>
      <w:tr>
        <w:trPr>
          <w:trHeight w:val="230"/>
        </w:trPr>
        <w:tc>
          <w:tcPr>
            <w:tcW w:w="3220" w:type="dxa"/>
            <w:vAlign w:val="bottom"/>
          </w:tcPr>
          <w:p>
            <w:pPr>
              <w:jc w:val="center"/>
              <w:ind w:right="1090"/>
              <w:spacing w:after="0"/>
              <w:rPr>
                <w:sz w:val="20"/>
                <w:szCs w:val="20"/>
                <w:color w:val="auto"/>
              </w:rPr>
            </w:pPr>
            <w:r>
              <w:rPr>
                <w:rFonts w:ascii="Arial" w:cs="Arial" w:eastAsia="Arial" w:hAnsi="Arial"/>
                <w:sz w:val="18"/>
                <w:szCs w:val="18"/>
                <w:color w:val="auto"/>
                <w:w w:val="99"/>
              </w:rPr>
              <w:t>Container Store Group</w:t>
            </w:r>
          </w:p>
        </w:tc>
        <w:tc>
          <w:tcPr>
            <w:tcW w:w="4200" w:type="dxa"/>
            <w:vAlign w:val="bottom"/>
          </w:tcPr>
          <w:p>
            <w:pPr>
              <w:jc w:val="center"/>
              <w:ind w:left="1090"/>
              <w:spacing w:after="0"/>
              <w:rPr>
                <w:sz w:val="20"/>
                <w:szCs w:val="20"/>
                <w:color w:val="auto"/>
              </w:rPr>
            </w:pPr>
            <w:r>
              <w:rPr>
                <w:rFonts w:ascii="Arial" w:cs="Arial" w:eastAsia="Arial" w:hAnsi="Arial"/>
                <w:sz w:val="18"/>
                <w:szCs w:val="18"/>
                <w:color w:val="auto"/>
                <w:w w:val="98"/>
              </w:rPr>
              <w:t>VCA Inc.</w:t>
            </w:r>
          </w:p>
        </w:tc>
      </w:tr>
      <w:tr>
        <w:trPr>
          <w:trHeight w:val="230"/>
        </w:trPr>
        <w:tc>
          <w:tcPr>
            <w:tcW w:w="3220" w:type="dxa"/>
            <w:vAlign w:val="bottom"/>
          </w:tcPr>
          <w:p>
            <w:pPr>
              <w:jc w:val="center"/>
              <w:ind w:right="1090"/>
              <w:spacing w:after="0"/>
              <w:rPr>
                <w:sz w:val="20"/>
                <w:szCs w:val="20"/>
                <w:color w:val="auto"/>
              </w:rPr>
            </w:pPr>
            <w:r>
              <w:rPr>
                <w:rFonts w:ascii="Arial" w:cs="Arial" w:eastAsia="Arial" w:hAnsi="Arial"/>
                <w:sz w:val="18"/>
                <w:szCs w:val="18"/>
                <w:color w:val="auto"/>
                <w:w w:val="99"/>
              </w:rPr>
              <w:t>Dentsply Sirona Inc.</w:t>
            </w:r>
          </w:p>
        </w:tc>
        <w:tc>
          <w:tcPr>
            <w:tcW w:w="4200" w:type="dxa"/>
            <w:vAlign w:val="bottom"/>
          </w:tcPr>
          <w:p>
            <w:pPr>
              <w:jc w:val="center"/>
              <w:ind w:left="1090"/>
              <w:spacing w:after="0"/>
              <w:rPr>
                <w:sz w:val="20"/>
                <w:szCs w:val="20"/>
                <w:color w:val="auto"/>
              </w:rPr>
            </w:pPr>
            <w:r>
              <w:rPr>
                <w:rFonts w:ascii="Arial" w:cs="Arial" w:eastAsia="Arial" w:hAnsi="Arial"/>
                <w:sz w:val="18"/>
                <w:szCs w:val="18"/>
                <w:color w:val="auto"/>
                <w:w w:val="99"/>
              </w:rPr>
              <w:t>West Pharmaceutical Services Inc.</w:t>
            </w:r>
          </w:p>
        </w:tc>
      </w:tr>
      <w:tr>
        <w:trPr>
          <w:trHeight w:val="230"/>
        </w:trPr>
        <w:tc>
          <w:tcPr>
            <w:tcW w:w="3220" w:type="dxa"/>
            <w:vAlign w:val="bottom"/>
          </w:tcPr>
          <w:p>
            <w:pPr>
              <w:jc w:val="center"/>
              <w:ind w:right="1070"/>
              <w:spacing w:after="0"/>
              <w:rPr>
                <w:sz w:val="20"/>
                <w:szCs w:val="20"/>
                <w:color w:val="auto"/>
              </w:rPr>
            </w:pPr>
            <w:r>
              <w:rPr>
                <w:rFonts w:ascii="Arial" w:cs="Arial" w:eastAsia="Arial" w:hAnsi="Arial"/>
                <w:sz w:val="18"/>
                <w:szCs w:val="18"/>
                <w:color w:val="auto"/>
                <w:w w:val="99"/>
              </w:rPr>
              <w:t>Five Below Inc.</w:t>
            </w:r>
          </w:p>
        </w:tc>
        <w:tc>
          <w:tcPr>
            <w:tcW w:w="4200" w:type="dxa"/>
            <w:vAlign w:val="bottom"/>
          </w:tcPr>
          <w:p>
            <w:pPr>
              <w:spacing w:after="0"/>
              <w:rPr>
                <w:sz w:val="19"/>
                <w:szCs w:val="19"/>
                <w:color w:val="auto"/>
              </w:rPr>
            </w:pPr>
          </w:p>
        </w:tc>
      </w:tr>
    </w:tbl>
    <w:p>
      <w:pPr>
        <w:spacing w:after="0" w:line="2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more fully described below under “-Compensation Elements,” the NVI Board reviewed the compensation data provided by Meridian and set total compensation for our NEOs accordingly. The NVI Board did not target a specific percentile with respect to the peer group in determining our NEOs’ total compensation, nor did it establish a prescribed mix of pay for our executives.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Consistent with this approach, in April 2017, we adjusted the base salaries of Mr. Goodman from $330,000 to $350,000, Mr. Vaught from $280,000 to $288,000 and Mr. Steffey from $566,500 to $610,000; and in September 2017, we adjusted the base salary of Mr. Fahs from $610,000 to $900,000. Following Mr. Steffey’s retirement from the position of President in September 2017, his base salary was adjusted to $ 305,000. There were no changes made to the bases salaries of Messrs. Moore ($400,000) and McAllister ($562,000)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12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executives participate in the MIP, which is an annual cash incentive program. The primary purpose of the MIP is to focus management on key measures that drive financial performance and to provide competitive bonus opportunities tied to the achievement of our annual financial and strategic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94615</wp:posOffset>
            </wp:positionV>
            <wp:extent cx="20574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6" w:name="page27"/>
    <w:bookmarkEnd w:id="2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ind w:left="7" w:right="100"/>
        <w:spacing w:after="0" w:line="252" w:lineRule="auto"/>
        <w:rPr>
          <w:sz w:val="20"/>
          <w:szCs w:val="20"/>
          <w:color w:val="auto"/>
        </w:rPr>
      </w:pPr>
      <w:r>
        <w:rPr>
          <w:rFonts w:ascii="Arial" w:cs="Arial" w:eastAsia="Arial" w:hAnsi="Arial"/>
          <w:sz w:val="18"/>
          <w:szCs w:val="18"/>
          <w:color w:val="auto"/>
        </w:rPr>
        <w:t>We believe that tying the NEOs’ bonuses to company-wide performance goals encourages collaboration across the executive leadership team. For fiscal 2017, MIP awards were based on achievement of a MIP EBITDA goal (with EBITDA for purposes of the MIP defined as Adjusted EBITDA (as defined in Part II. Item 7. “ Management’s Discussion and Analysis” of the Form 10-K), plus MIP expense, change in the margin on unearned revenue, change in deferred revenue, interest income and parent company items, less new store pre-opening expenses and non-cash rent). The compensation committee has reserved the ability to adjust the actual EBITDA results to exclude the effects of unplanned or unusual items (whether favorable or unfavorable).</w:t>
      </w:r>
    </w:p>
    <w:p>
      <w:pPr>
        <w:spacing w:after="0" w:line="99" w:lineRule="exact"/>
        <w:rPr>
          <w:sz w:val="20"/>
          <w:szCs w:val="20"/>
          <w:color w:val="auto"/>
        </w:rPr>
      </w:pPr>
    </w:p>
    <w:p>
      <w:pPr>
        <w:ind w:left="7" w:right="100"/>
        <w:spacing w:after="0" w:line="252" w:lineRule="auto"/>
        <w:rPr>
          <w:sz w:val="20"/>
          <w:szCs w:val="20"/>
          <w:color w:val="auto"/>
        </w:rPr>
      </w:pPr>
      <w:r>
        <w:rPr>
          <w:rFonts w:ascii="Arial" w:cs="Arial" w:eastAsia="Arial" w:hAnsi="Arial"/>
          <w:sz w:val="18"/>
          <w:szCs w:val="18"/>
          <w:color w:val="auto"/>
        </w:rPr>
        <w:t>Each NEO’s target annual bonus under the MIP is expressed as a percentage of base salary with the targets ranging from 32.5% to 100% for 2017. Actual MIP awards were calculated by multiplying each NEO’s base salary by his payout percentage. MIP awards are earned at 100% of target if the Company achieved 2017 MIP EBITDA of $169.1 million. For fiscal 2017, there was a threshold level and five additional levels of MIP EBITDA achievement under the MIP, with Tier I being the target achievement level and Tier V the maximum achievement level. Awards could be earned at more or less than target based on the pre-established scale set forth in the following table:</w:t>
      </w:r>
    </w:p>
    <w:p>
      <w:pPr>
        <w:spacing w:after="0" w:line="47" w:lineRule="exact"/>
        <w:rPr>
          <w:sz w:val="20"/>
          <w:szCs w:val="20"/>
          <w:color w:val="auto"/>
        </w:rPr>
      </w:pPr>
    </w:p>
    <w:tbl>
      <w:tblPr>
        <w:tblLayout w:type="fixed"/>
        <w:tblInd w:w="17" w:type="dxa"/>
        <w:tblCellMar>
          <w:top w:w="0" w:type="dxa"/>
          <w:left w:w="0" w:type="dxa"/>
          <w:bottom w:w="0" w:type="dxa"/>
          <w:right w:w="0" w:type="dxa"/>
        </w:tblCellMar>
      </w:tblPr>
      <w:tr>
        <w:trPr>
          <w:trHeight w:val="176"/>
        </w:trPr>
        <w:tc>
          <w:tcPr>
            <w:tcW w:w="1860" w:type="dxa"/>
            <w:vAlign w:val="bottom"/>
            <w:tcBorders>
              <w:left w:val="single" w:sz="8" w:color="1F3C7B"/>
              <w:right w:val="single" w:sz="8" w:color="000E5B"/>
            </w:tcBorders>
            <w:shd w:val="clear" w:color="auto" w:fill="1F3C7B"/>
          </w:tcPr>
          <w:p>
            <w:pPr>
              <w:spacing w:after="0"/>
              <w:rPr>
                <w:sz w:val="15"/>
                <w:szCs w:val="15"/>
                <w:color w:val="auto"/>
              </w:rPr>
            </w:pPr>
          </w:p>
        </w:tc>
        <w:tc>
          <w:tcPr>
            <w:tcW w:w="40" w:type="dxa"/>
            <w:vAlign w:val="bottom"/>
            <w:shd w:val="clear" w:color="auto" w:fill="1F3C7B"/>
          </w:tcPr>
          <w:p>
            <w:pPr>
              <w:spacing w:after="0"/>
              <w:rPr>
                <w:sz w:val="15"/>
                <w:szCs w:val="15"/>
                <w:color w:val="auto"/>
              </w:rPr>
            </w:pPr>
          </w:p>
        </w:tc>
        <w:tc>
          <w:tcPr>
            <w:tcW w:w="1700" w:type="dxa"/>
            <w:vAlign w:val="bottom"/>
            <w:tcBorders>
              <w:right w:val="single" w:sz="8" w:color="000E5B"/>
            </w:tcBorders>
            <w:shd w:val="clear" w:color="auto" w:fill="1F3C7B"/>
          </w:tcPr>
          <w:p>
            <w:pPr>
              <w:spacing w:after="0"/>
              <w:rPr>
                <w:sz w:val="15"/>
                <w:szCs w:val="15"/>
                <w:color w:val="auto"/>
              </w:rPr>
            </w:pPr>
          </w:p>
        </w:tc>
        <w:tc>
          <w:tcPr>
            <w:tcW w:w="980" w:type="dxa"/>
            <w:vAlign w:val="bottom"/>
            <w:tcBorders>
              <w:right w:val="single" w:sz="8" w:color="000E5B"/>
            </w:tcBorders>
            <w:shd w:val="clear" w:color="auto" w:fill="1F3C7B"/>
          </w:tcPr>
          <w:p>
            <w:pPr>
              <w:spacing w:after="0"/>
              <w:rPr>
                <w:sz w:val="15"/>
                <w:szCs w:val="15"/>
                <w:color w:val="auto"/>
              </w:rPr>
            </w:pPr>
          </w:p>
        </w:tc>
        <w:tc>
          <w:tcPr>
            <w:tcW w:w="1000" w:type="dxa"/>
            <w:vAlign w:val="bottom"/>
            <w:tcBorders>
              <w:right w:val="single" w:sz="8" w:color="000E5B"/>
            </w:tcBorders>
            <w:shd w:val="clear" w:color="auto" w:fill="1F3C7B"/>
          </w:tcPr>
          <w:p>
            <w:pPr>
              <w:jc w:val="right"/>
              <w:ind w:right="275"/>
              <w:spacing w:after="0"/>
              <w:rPr>
                <w:sz w:val="20"/>
                <w:szCs w:val="20"/>
                <w:color w:val="auto"/>
              </w:rPr>
            </w:pPr>
            <w:r>
              <w:rPr>
                <w:rFonts w:ascii="Arial" w:cs="Arial" w:eastAsia="Arial" w:hAnsi="Arial"/>
                <w:sz w:val="14"/>
                <w:szCs w:val="14"/>
                <w:b w:val="1"/>
                <w:bCs w:val="1"/>
                <w:color w:val="FFFFFF"/>
              </w:rPr>
              <w:t>Tier I</w:t>
            </w:r>
          </w:p>
        </w:tc>
        <w:tc>
          <w:tcPr>
            <w:tcW w:w="1000" w:type="dxa"/>
            <w:vAlign w:val="bottom"/>
            <w:tcBorders>
              <w:right w:val="single" w:sz="8" w:color="000E5B"/>
            </w:tcBorders>
            <w:shd w:val="clear" w:color="auto" w:fill="1F3C7B"/>
          </w:tcPr>
          <w:p>
            <w:pPr>
              <w:spacing w:after="0"/>
              <w:rPr>
                <w:sz w:val="15"/>
                <w:szCs w:val="15"/>
                <w:color w:val="auto"/>
              </w:rPr>
            </w:pPr>
          </w:p>
        </w:tc>
        <w:tc>
          <w:tcPr>
            <w:tcW w:w="1000" w:type="dxa"/>
            <w:vAlign w:val="bottom"/>
            <w:tcBorders>
              <w:right w:val="single" w:sz="8" w:color="000E5B"/>
            </w:tcBorders>
            <w:shd w:val="clear" w:color="auto" w:fill="1F3C7B"/>
          </w:tcPr>
          <w:p>
            <w:pPr>
              <w:spacing w:after="0"/>
              <w:rPr>
                <w:sz w:val="15"/>
                <w:szCs w:val="15"/>
                <w:color w:val="auto"/>
              </w:rPr>
            </w:pPr>
          </w:p>
        </w:tc>
        <w:tc>
          <w:tcPr>
            <w:tcW w:w="220" w:type="dxa"/>
            <w:vAlign w:val="bottom"/>
            <w:shd w:val="clear" w:color="auto" w:fill="1F3C7B"/>
          </w:tcPr>
          <w:p>
            <w:pPr>
              <w:spacing w:after="0"/>
              <w:rPr>
                <w:sz w:val="15"/>
                <w:szCs w:val="15"/>
                <w:color w:val="auto"/>
              </w:rPr>
            </w:pPr>
          </w:p>
        </w:tc>
        <w:tc>
          <w:tcPr>
            <w:tcW w:w="780" w:type="dxa"/>
            <w:vAlign w:val="bottom"/>
            <w:tcBorders>
              <w:right w:val="single" w:sz="8" w:color="000E5B"/>
            </w:tcBorders>
            <w:shd w:val="clear" w:color="auto" w:fill="1F3C7B"/>
          </w:tcPr>
          <w:p>
            <w:pPr>
              <w:spacing w:after="0"/>
              <w:rPr>
                <w:sz w:val="15"/>
                <w:szCs w:val="15"/>
                <w:color w:val="auto"/>
              </w:rPr>
            </w:pPr>
          </w:p>
        </w:tc>
        <w:tc>
          <w:tcPr>
            <w:tcW w:w="980" w:type="dxa"/>
            <w:vAlign w:val="bottom"/>
            <w:tcBorders>
              <w:right w:val="single" w:sz="8" w:color="1F3C7B"/>
            </w:tcBorders>
            <w:shd w:val="clear" w:color="auto" w:fill="1F3C7B"/>
          </w:tcPr>
          <w:p>
            <w:pPr>
              <w:jc w:val="right"/>
              <w:ind w:right="234"/>
              <w:spacing w:after="0"/>
              <w:rPr>
                <w:sz w:val="20"/>
                <w:szCs w:val="20"/>
                <w:color w:val="auto"/>
              </w:rPr>
            </w:pPr>
            <w:r>
              <w:rPr>
                <w:rFonts w:ascii="Arial" w:cs="Arial" w:eastAsia="Arial" w:hAnsi="Arial"/>
                <w:sz w:val="14"/>
                <w:szCs w:val="14"/>
                <w:b w:val="1"/>
                <w:bCs w:val="1"/>
                <w:color w:val="FFFFFF"/>
              </w:rPr>
              <w:t>Tier V</w:t>
            </w:r>
          </w:p>
        </w:tc>
      </w:tr>
      <w:tr>
        <w:trPr>
          <w:trHeight w:val="189"/>
        </w:trPr>
        <w:tc>
          <w:tcPr>
            <w:tcW w:w="1860" w:type="dxa"/>
            <w:vAlign w:val="bottom"/>
            <w:tcBorders>
              <w:left w:val="single" w:sz="8" w:color="1F3C7B"/>
              <w:right w:val="single" w:sz="8" w:color="000E5B"/>
            </w:tcBorders>
            <w:shd w:val="clear" w:color="auto" w:fill="1F3C7B"/>
          </w:tcPr>
          <w:p>
            <w:pPr>
              <w:spacing w:after="0"/>
              <w:rPr>
                <w:sz w:val="16"/>
                <w:szCs w:val="16"/>
                <w:color w:val="auto"/>
              </w:rPr>
            </w:pPr>
          </w:p>
        </w:tc>
        <w:tc>
          <w:tcPr>
            <w:tcW w:w="40" w:type="dxa"/>
            <w:vAlign w:val="bottom"/>
            <w:shd w:val="clear" w:color="auto" w:fill="1F3C7B"/>
          </w:tcPr>
          <w:p>
            <w:pPr>
              <w:spacing w:after="0"/>
              <w:rPr>
                <w:sz w:val="16"/>
                <w:szCs w:val="16"/>
                <w:color w:val="auto"/>
              </w:rPr>
            </w:pPr>
          </w:p>
        </w:tc>
        <w:tc>
          <w:tcPr>
            <w:tcW w:w="1700" w:type="dxa"/>
            <w:vAlign w:val="bottom"/>
            <w:tcBorders>
              <w:right w:val="single" w:sz="8" w:color="000E5B"/>
            </w:tcBorders>
            <w:shd w:val="clear" w:color="auto" w:fill="1F3C7B"/>
          </w:tcPr>
          <w:p>
            <w:pPr>
              <w:spacing w:after="0"/>
              <w:rPr>
                <w:sz w:val="16"/>
                <w:szCs w:val="16"/>
                <w:color w:val="auto"/>
              </w:rPr>
            </w:pPr>
          </w:p>
        </w:tc>
        <w:tc>
          <w:tcPr>
            <w:tcW w:w="980" w:type="dxa"/>
            <w:vAlign w:val="bottom"/>
            <w:tcBorders>
              <w:right w:val="single" w:sz="8" w:color="000E5B"/>
            </w:tcBorders>
            <w:shd w:val="clear" w:color="auto" w:fill="1F3C7B"/>
          </w:tcPr>
          <w:p>
            <w:pPr>
              <w:jc w:val="right"/>
              <w:ind w:right="92"/>
              <w:spacing w:after="0"/>
              <w:rPr>
                <w:sz w:val="20"/>
                <w:szCs w:val="20"/>
                <w:color w:val="auto"/>
              </w:rPr>
            </w:pPr>
            <w:r>
              <w:rPr>
                <w:rFonts w:ascii="Arial" w:cs="Arial" w:eastAsia="Arial" w:hAnsi="Arial"/>
                <w:sz w:val="14"/>
                <w:szCs w:val="14"/>
                <w:b w:val="1"/>
                <w:bCs w:val="1"/>
                <w:color w:val="FFFFFF"/>
              </w:rPr>
              <w:t>Threshold</w:t>
            </w:r>
          </w:p>
        </w:tc>
        <w:tc>
          <w:tcPr>
            <w:tcW w:w="1000" w:type="dxa"/>
            <w:vAlign w:val="bottom"/>
            <w:tcBorders>
              <w:right w:val="single" w:sz="8" w:color="000E5B"/>
            </w:tcBorders>
            <w:shd w:val="clear" w:color="auto" w:fill="1F3C7B"/>
          </w:tcPr>
          <w:p>
            <w:pPr>
              <w:jc w:val="right"/>
              <w:ind w:right="175"/>
              <w:spacing w:after="0"/>
              <w:rPr>
                <w:sz w:val="20"/>
                <w:szCs w:val="20"/>
                <w:color w:val="auto"/>
              </w:rPr>
            </w:pPr>
            <w:r>
              <w:rPr>
                <w:rFonts w:ascii="Arial" w:cs="Arial" w:eastAsia="Arial" w:hAnsi="Arial"/>
                <w:sz w:val="14"/>
                <w:szCs w:val="14"/>
                <w:b w:val="1"/>
                <w:bCs w:val="1"/>
                <w:color w:val="FFFFFF"/>
              </w:rPr>
              <w:t>(Target)</w:t>
            </w:r>
          </w:p>
        </w:tc>
        <w:tc>
          <w:tcPr>
            <w:tcW w:w="1000" w:type="dxa"/>
            <w:vAlign w:val="bottom"/>
            <w:tcBorders>
              <w:right w:val="single" w:sz="8" w:color="000E5B"/>
            </w:tcBorders>
            <w:shd w:val="clear" w:color="auto" w:fill="1F3C7B"/>
          </w:tcPr>
          <w:p>
            <w:pPr>
              <w:jc w:val="right"/>
              <w:ind w:right="252"/>
              <w:spacing w:after="0"/>
              <w:rPr>
                <w:sz w:val="20"/>
                <w:szCs w:val="20"/>
                <w:color w:val="auto"/>
              </w:rPr>
            </w:pPr>
            <w:r>
              <w:rPr>
                <w:rFonts w:ascii="Arial" w:cs="Arial" w:eastAsia="Arial" w:hAnsi="Arial"/>
                <w:sz w:val="14"/>
                <w:szCs w:val="14"/>
                <w:b w:val="1"/>
                <w:bCs w:val="1"/>
                <w:color w:val="FFFFFF"/>
              </w:rPr>
              <w:t>Tier II</w:t>
            </w:r>
          </w:p>
        </w:tc>
        <w:tc>
          <w:tcPr>
            <w:tcW w:w="1000" w:type="dxa"/>
            <w:vAlign w:val="bottom"/>
            <w:tcBorders>
              <w:right w:val="single" w:sz="8" w:color="000E5B"/>
            </w:tcBorders>
            <w:shd w:val="clear" w:color="auto" w:fill="1F3C7B"/>
          </w:tcPr>
          <w:p>
            <w:pPr>
              <w:jc w:val="right"/>
              <w:ind w:right="232"/>
              <w:spacing w:after="0"/>
              <w:rPr>
                <w:sz w:val="20"/>
                <w:szCs w:val="20"/>
                <w:color w:val="auto"/>
              </w:rPr>
            </w:pPr>
            <w:r>
              <w:rPr>
                <w:rFonts w:ascii="Arial" w:cs="Arial" w:eastAsia="Arial" w:hAnsi="Arial"/>
                <w:sz w:val="14"/>
                <w:szCs w:val="14"/>
                <w:b w:val="1"/>
                <w:bCs w:val="1"/>
                <w:color w:val="FFFFFF"/>
              </w:rPr>
              <w:t>Tier III</w:t>
            </w:r>
          </w:p>
        </w:tc>
        <w:tc>
          <w:tcPr>
            <w:tcW w:w="220" w:type="dxa"/>
            <w:vAlign w:val="bottom"/>
            <w:shd w:val="clear" w:color="auto" w:fill="1F3C7B"/>
          </w:tcPr>
          <w:p>
            <w:pPr>
              <w:spacing w:after="0"/>
              <w:rPr>
                <w:sz w:val="16"/>
                <w:szCs w:val="16"/>
                <w:color w:val="auto"/>
              </w:rPr>
            </w:pPr>
          </w:p>
        </w:tc>
        <w:tc>
          <w:tcPr>
            <w:tcW w:w="780" w:type="dxa"/>
            <w:vAlign w:val="bottom"/>
            <w:tcBorders>
              <w:right w:val="single" w:sz="8" w:color="000E5B"/>
            </w:tcBorders>
            <w:shd w:val="clear" w:color="auto" w:fill="1F3C7B"/>
          </w:tcPr>
          <w:p>
            <w:pPr>
              <w:jc w:val="right"/>
              <w:ind w:right="232"/>
              <w:spacing w:after="0"/>
              <w:rPr>
                <w:sz w:val="20"/>
                <w:szCs w:val="20"/>
                <w:color w:val="auto"/>
              </w:rPr>
            </w:pPr>
            <w:r>
              <w:rPr>
                <w:rFonts w:ascii="Arial" w:cs="Arial" w:eastAsia="Arial" w:hAnsi="Arial"/>
                <w:sz w:val="14"/>
                <w:szCs w:val="14"/>
                <w:b w:val="1"/>
                <w:bCs w:val="1"/>
                <w:color w:val="FFFFFF"/>
              </w:rPr>
              <w:t>Tier IV</w:t>
            </w:r>
          </w:p>
        </w:tc>
        <w:tc>
          <w:tcPr>
            <w:tcW w:w="980" w:type="dxa"/>
            <w:vAlign w:val="bottom"/>
            <w:tcBorders>
              <w:right w:val="single" w:sz="8" w:color="1F3C7B"/>
            </w:tcBorders>
            <w:shd w:val="clear" w:color="auto" w:fill="1F3C7B"/>
          </w:tcPr>
          <w:p>
            <w:pPr>
              <w:jc w:val="right"/>
              <w:ind w:right="234"/>
              <w:spacing w:after="0"/>
              <w:rPr>
                <w:sz w:val="20"/>
                <w:szCs w:val="20"/>
                <w:color w:val="auto"/>
              </w:rPr>
            </w:pPr>
            <w:r>
              <w:rPr>
                <w:rFonts w:ascii="Arial" w:cs="Arial" w:eastAsia="Arial" w:hAnsi="Arial"/>
                <w:sz w:val="14"/>
                <w:szCs w:val="14"/>
                <w:b w:val="1"/>
                <w:bCs w:val="1"/>
                <w:color w:val="FFFFFF"/>
              </w:rPr>
              <w:t>(Max)</w:t>
            </w:r>
          </w:p>
        </w:tc>
      </w:tr>
      <w:tr>
        <w:trPr>
          <w:trHeight w:val="189"/>
        </w:trPr>
        <w:tc>
          <w:tcPr>
            <w:tcW w:w="1860" w:type="dxa"/>
            <w:vAlign w:val="bottom"/>
            <w:tcBorders>
              <w:left w:val="single" w:sz="8" w:color="1F3C7B"/>
              <w:right w:val="single" w:sz="8" w:color="000E5B"/>
            </w:tcBorders>
            <w:shd w:val="clear" w:color="auto" w:fill="1F3C7B"/>
          </w:tcPr>
          <w:p>
            <w:pPr>
              <w:spacing w:after="0"/>
              <w:rPr>
                <w:sz w:val="16"/>
                <w:szCs w:val="16"/>
                <w:color w:val="auto"/>
              </w:rPr>
            </w:pPr>
          </w:p>
        </w:tc>
        <w:tc>
          <w:tcPr>
            <w:tcW w:w="40" w:type="dxa"/>
            <w:vAlign w:val="bottom"/>
            <w:shd w:val="clear" w:color="auto" w:fill="1F3C7B"/>
          </w:tcPr>
          <w:p>
            <w:pPr>
              <w:spacing w:after="0"/>
              <w:rPr>
                <w:sz w:val="16"/>
                <w:szCs w:val="16"/>
                <w:color w:val="auto"/>
              </w:rPr>
            </w:pPr>
          </w:p>
        </w:tc>
        <w:tc>
          <w:tcPr>
            <w:tcW w:w="1700" w:type="dxa"/>
            <w:vAlign w:val="bottom"/>
            <w:tcBorders>
              <w:right w:val="single" w:sz="8" w:color="000E5B"/>
            </w:tcBorders>
            <w:shd w:val="clear" w:color="auto" w:fill="1F3C7B"/>
          </w:tcPr>
          <w:p>
            <w:pPr>
              <w:spacing w:after="0"/>
              <w:rPr>
                <w:sz w:val="16"/>
                <w:szCs w:val="16"/>
                <w:color w:val="auto"/>
              </w:rPr>
            </w:pPr>
          </w:p>
        </w:tc>
        <w:tc>
          <w:tcPr>
            <w:tcW w:w="980" w:type="dxa"/>
            <w:vAlign w:val="bottom"/>
            <w:tcBorders>
              <w:right w:val="single" w:sz="8" w:color="1F3C7B"/>
            </w:tcBorders>
            <w:shd w:val="clear" w:color="auto" w:fill="1F3C7B"/>
          </w:tcPr>
          <w:p>
            <w:pPr>
              <w:spacing w:after="0"/>
              <w:rPr>
                <w:sz w:val="16"/>
                <w:szCs w:val="16"/>
                <w:color w:val="auto"/>
              </w:rPr>
            </w:pPr>
          </w:p>
        </w:tc>
        <w:tc>
          <w:tcPr>
            <w:tcW w:w="3220" w:type="dxa"/>
            <w:vAlign w:val="bottom"/>
            <w:gridSpan w:val="4"/>
            <w:shd w:val="clear" w:color="auto" w:fill="1F3C7B"/>
          </w:tcPr>
          <w:p>
            <w:pPr>
              <w:jc w:val="center"/>
              <w:ind w:left="635"/>
              <w:spacing w:after="0"/>
              <w:rPr>
                <w:sz w:val="20"/>
                <w:szCs w:val="20"/>
                <w:color w:val="auto"/>
              </w:rPr>
            </w:pPr>
            <w:r>
              <w:rPr>
                <w:rFonts w:ascii="Arial" w:cs="Arial" w:eastAsia="Arial" w:hAnsi="Arial"/>
                <w:sz w:val="14"/>
                <w:szCs w:val="14"/>
                <w:b w:val="1"/>
                <w:bCs w:val="1"/>
                <w:color w:val="FFFFFF"/>
              </w:rPr>
              <w:t>% Attainment of MIP EBITDA Target</w:t>
            </w:r>
          </w:p>
        </w:tc>
        <w:tc>
          <w:tcPr>
            <w:tcW w:w="780" w:type="dxa"/>
            <w:vAlign w:val="bottom"/>
            <w:tcBorders>
              <w:right w:val="single" w:sz="8" w:color="1F3C7B"/>
            </w:tcBorders>
            <w:shd w:val="clear" w:color="auto" w:fill="1F3C7B"/>
          </w:tcPr>
          <w:p>
            <w:pPr>
              <w:spacing w:after="0"/>
              <w:rPr>
                <w:sz w:val="16"/>
                <w:szCs w:val="16"/>
                <w:color w:val="auto"/>
              </w:rPr>
            </w:pPr>
          </w:p>
        </w:tc>
        <w:tc>
          <w:tcPr>
            <w:tcW w:w="980" w:type="dxa"/>
            <w:vAlign w:val="bottom"/>
            <w:tcBorders>
              <w:right w:val="single" w:sz="8" w:color="000E5B"/>
            </w:tcBorders>
            <w:shd w:val="clear" w:color="auto" w:fill="1F3C7B"/>
          </w:tcPr>
          <w:p>
            <w:pPr>
              <w:spacing w:after="0"/>
              <w:rPr>
                <w:sz w:val="16"/>
                <w:szCs w:val="16"/>
                <w:color w:val="auto"/>
              </w:rPr>
            </w:pPr>
          </w:p>
        </w:tc>
      </w:tr>
      <w:tr>
        <w:trPr>
          <w:trHeight w:val="230"/>
        </w:trPr>
        <w:tc>
          <w:tcPr>
            <w:tcW w:w="1860" w:type="dxa"/>
            <w:vAlign w:val="bottom"/>
            <w:tcBorders>
              <w:left w:val="single" w:sz="8" w:color="1F3C7B"/>
              <w:bottom w:val="single" w:sz="8" w:color="1F3C7B"/>
              <w:right w:val="single" w:sz="8" w:color="000E5B"/>
            </w:tcBorders>
            <w:shd w:val="clear" w:color="auto" w:fill="CCEEFF"/>
          </w:tcPr>
          <w:p>
            <w:pPr>
              <w:spacing w:after="0"/>
              <w:rPr>
                <w:sz w:val="19"/>
                <w:szCs w:val="19"/>
                <w:color w:val="auto"/>
              </w:rPr>
            </w:pPr>
          </w:p>
        </w:tc>
        <w:tc>
          <w:tcPr>
            <w:tcW w:w="40" w:type="dxa"/>
            <w:vAlign w:val="bottom"/>
            <w:tcBorders>
              <w:bottom w:val="single" w:sz="8" w:color="1F3C7B"/>
            </w:tcBorders>
            <w:shd w:val="clear" w:color="auto" w:fill="CCEEFF"/>
          </w:tcPr>
          <w:p>
            <w:pPr>
              <w:spacing w:after="0"/>
              <w:rPr>
                <w:sz w:val="19"/>
                <w:szCs w:val="19"/>
                <w:color w:val="auto"/>
              </w:rPr>
            </w:pPr>
          </w:p>
        </w:tc>
        <w:tc>
          <w:tcPr>
            <w:tcW w:w="1700" w:type="dxa"/>
            <w:vAlign w:val="bottom"/>
            <w:tcBorders>
              <w:bottom w:val="single" w:sz="8" w:color="1F3C7B"/>
              <w:right w:val="single" w:sz="8" w:color="000E5B"/>
            </w:tcBorders>
            <w:shd w:val="clear" w:color="auto" w:fill="CCEEFF"/>
          </w:tcPr>
          <w:p>
            <w:pPr>
              <w:spacing w:after="0"/>
              <w:rPr>
                <w:sz w:val="19"/>
                <w:szCs w:val="19"/>
                <w:color w:val="auto"/>
              </w:rPr>
            </w:pPr>
          </w:p>
        </w:tc>
        <w:tc>
          <w:tcPr>
            <w:tcW w:w="98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1F3C7B"/>
            </w:tcBorders>
            <w:shd w:val="clear" w:color="auto" w:fill="CCEEFF"/>
          </w:tcPr>
          <w:p>
            <w:pPr>
              <w:spacing w:after="0"/>
              <w:rPr>
                <w:sz w:val="19"/>
                <w:szCs w:val="19"/>
                <w:color w:val="auto"/>
              </w:rPr>
            </w:pPr>
          </w:p>
        </w:tc>
        <w:tc>
          <w:tcPr>
            <w:tcW w:w="78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980" w:type="dxa"/>
            <w:vAlign w:val="bottom"/>
            <w:tcBorders>
              <w:bottom w:val="single" w:sz="8" w:color="1F3C7B"/>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48"/>
        </w:trPr>
        <w:tc>
          <w:tcPr>
            <w:tcW w:w="1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07"/>
        </w:trPr>
        <w:tc>
          <w:tcPr>
            <w:tcW w:w="1860" w:type="dxa"/>
            <w:vAlign w:val="bottom"/>
            <w:tcBorders>
              <w:left w:val="single" w:sz="8" w:color="1F3C7B"/>
              <w:right w:val="single" w:sz="8" w:color="000E5B"/>
            </w:tcBorders>
            <w:shd w:val="clear" w:color="auto" w:fill="1F3C7B"/>
          </w:tcPr>
          <w:p>
            <w:pPr>
              <w:ind w:left="620"/>
              <w:spacing w:after="0"/>
              <w:rPr>
                <w:sz w:val="20"/>
                <w:szCs w:val="20"/>
                <w:color w:val="auto"/>
              </w:rPr>
            </w:pPr>
            <w:r>
              <w:rPr>
                <w:rFonts w:ascii="Arial" w:cs="Arial" w:eastAsia="Arial" w:hAnsi="Arial"/>
                <w:sz w:val="18"/>
                <w:szCs w:val="18"/>
                <w:b w:val="1"/>
                <w:bCs w:val="1"/>
                <w:color w:val="FFFFFF"/>
              </w:rPr>
              <w:t>Named</w:t>
            </w:r>
          </w:p>
        </w:tc>
        <w:tc>
          <w:tcPr>
            <w:tcW w:w="40" w:type="dxa"/>
            <w:vAlign w:val="bottom"/>
            <w:shd w:val="clear" w:color="auto" w:fill="1F3C7B"/>
          </w:tcPr>
          <w:p>
            <w:pPr>
              <w:spacing w:after="0"/>
              <w:rPr>
                <w:sz w:val="17"/>
                <w:szCs w:val="17"/>
                <w:color w:val="auto"/>
              </w:rPr>
            </w:pPr>
          </w:p>
        </w:tc>
        <w:tc>
          <w:tcPr>
            <w:tcW w:w="1700" w:type="dxa"/>
            <w:vAlign w:val="bottom"/>
            <w:tcBorders>
              <w:right w:val="single" w:sz="8" w:color="000E5B"/>
            </w:tcBorders>
            <w:shd w:val="clear" w:color="auto" w:fill="1F3C7B"/>
          </w:tcPr>
          <w:p>
            <w:pPr>
              <w:spacing w:after="0"/>
              <w:rPr>
                <w:sz w:val="17"/>
                <w:szCs w:val="17"/>
                <w:color w:val="auto"/>
              </w:rPr>
            </w:pPr>
          </w:p>
        </w:tc>
        <w:tc>
          <w:tcPr>
            <w:tcW w:w="980" w:type="dxa"/>
            <w:vAlign w:val="bottom"/>
            <w:tcBorders>
              <w:right w:val="single" w:sz="8" w:color="1F3C7B"/>
            </w:tcBorders>
            <w:shd w:val="clear" w:color="auto" w:fill="1F3C7B"/>
          </w:tcPr>
          <w:p>
            <w:pPr>
              <w:spacing w:after="0"/>
              <w:rPr>
                <w:sz w:val="17"/>
                <w:szCs w:val="17"/>
                <w:color w:val="auto"/>
              </w:rPr>
            </w:pPr>
          </w:p>
        </w:tc>
        <w:tc>
          <w:tcPr>
            <w:tcW w:w="1000" w:type="dxa"/>
            <w:vAlign w:val="bottom"/>
            <w:tcBorders>
              <w:right w:val="single" w:sz="8" w:color="1F3C7B"/>
            </w:tcBorders>
            <w:shd w:val="clear" w:color="auto" w:fill="1F3C7B"/>
          </w:tcPr>
          <w:p>
            <w:pPr>
              <w:spacing w:after="0"/>
              <w:rPr>
                <w:sz w:val="17"/>
                <w:szCs w:val="17"/>
                <w:color w:val="auto"/>
              </w:rPr>
            </w:pPr>
          </w:p>
        </w:tc>
        <w:tc>
          <w:tcPr>
            <w:tcW w:w="1000" w:type="dxa"/>
            <w:vAlign w:val="bottom"/>
            <w:tcBorders>
              <w:right w:val="single" w:sz="8" w:color="1F3C7B"/>
            </w:tcBorders>
            <w:shd w:val="clear" w:color="auto" w:fill="1F3C7B"/>
          </w:tcPr>
          <w:p>
            <w:pPr>
              <w:spacing w:after="0"/>
              <w:rPr>
                <w:sz w:val="17"/>
                <w:szCs w:val="17"/>
                <w:color w:val="auto"/>
              </w:rPr>
            </w:pPr>
          </w:p>
        </w:tc>
        <w:tc>
          <w:tcPr>
            <w:tcW w:w="1000" w:type="dxa"/>
            <w:vAlign w:val="bottom"/>
            <w:tcBorders>
              <w:right w:val="single" w:sz="8" w:color="1F3C7B"/>
            </w:tcBorders>
            <w:shd w:val="clear" w:color="auto" w:fill="1F3C7B"/>
          </w:tcPr>
          <w:p>
            <w:pPr>
              <w:spacing w:after="0"/>
              <w:rPr>
                <w:sz w:val="17"/>
                <w:szCs w:val="17"/>
                <w:color w:val="auto"/>
              </w:rPr>
            </w:pPr>
          </w:p>
        </w:tc>
        <w:tc>
          <w:tcPr>
            <w:tcW w:w="220" w:type="dxa"/>
            <w:vAlign w:val="bottom"/>
            <w:shd w:val="clear" w:color="auto" w:fill="1F3C7B"/>
          </w:tcPr>
          <w:p>
            <w:pPr>
              <w:spacing w:after="0"/>
              <w:rPr>
                <w:sz w:val="17"/>
                <w:szCs w:val="17"/>
                <w:color w:val="auto"/>
              </w:rPr>
            </w:pPr>
          </w:p>
        </w:tc>
        <w:tc>
          <w:tcPr>
            <w:tcW w:w="780" w:type="dxa"/>
            <w:vAlign w:val="bottom"/>
            <w:tcBorders>
              <w:right w:val="single" w:sz="8" w:color="1F3C7B"/>
            </w:tcBorders>
            <w:shd w:val="clear" w:color="auto" w:fill="1F3C7B"/>
          </w:tcPr>
          <w:p>
            <w:pPr>
              <w:spacing w:after="0"/>
              <w:rPr>
                <w:sz w:val="17"/>
                <w:szCs w:val="17"/>
                <w:color w:val="auto"/>
              </w:rPr>
            </w:pPr>
          </w:p>
        </w:tc>
        <w:tc>
          <w:tcPr>
            <w:tcW w:w="980" w:type="dxa"/>
            <w:vAlign w:val="bottom"/>
            <w:tcBorders>
              <w:right w:val="single" w:sz="8" w:color="000E5B"/>
            </w:tcBorders>
            <w:shd w:val="clear" w:color="auto" w:fill="1F3C7B"/>
          </w:tcPr>
          <w:p>
            <w:pPr>
              <w:spacing w:after="0"/>
              <w:rPr>
                <w:sz w:val="17"/>
                <w:szCs w:val="17"/>
                <w:color w:val="auto"/>
              </w:rPr>
            </w:pPr>
          </w:p>
        </w:tc>
      </w:tr>
      <w:tr>
        <w:trPr>
          <w:trHeight w:val="239"/>
        </w:trPr>
        <w:tc>
          <w:tcPr>
            <w:tcW w:w="1860" w:type="dxa"/>
            <w:vAlign w:val="bottom"/>
            <w:tcBorders>
              <w:left w:val="single" w:sz="8" w:color="1F3C7B"/>
              <w:right w:val="single" w:sz="8" w:color="000E5B"/>
            </w:tcBorders>
            <w:shd w:val="clear" w:color="auto" w:fill="1F3C7B"/>
          </w:tcPr>
          <w:p>
            <w:pPr>
              <w:ind w:left="180"/>
              <w:spacing w:after="0"/>
              <w:rPr>
                <w:sz w:val="20"/>
                <w:szCs w:val="20"/>
                <w:color w:val="auto"/>
              </w:rPr>
            </w:pPr>
            <w:r>
              <w:rPr>
                <w:rFonts w:ascii="Arial" w:cs="Arial" w:eastAsia="Arial" w:hAnsi="Arial"/>
                <w:sz w:val="18"/>
                <w:szCs w:val="18"/>
                <w:b w:val="1"/>
                <w:bCs w:val="1"/>
                <w:color w:val="FFFFFF"/>
              </w:rPr>
              <w:t>Executive Officer</w:t>
            </w:r>
          </w:p>
        </w:tc>
        <w:tc>
          <w:tcPr>
            <w:tcW w:w="40" w:type="dxa"/>
            <w:vAlign w:val="bottom"/>
            <w:shd w:val="clear" w:color="auto" w:fill="1F3C7B"/>
          </w:tcPr>
          <w:p>
            <w:pPr>
              <w:spacing w:after="0"/>
              <w:rPr>
                <w:sz w:val="20"/>
                <w:szCs w:val="20"/>
                <w:color w:val="auto"/>
              </w:rPr>
            </w:pPr>
          </w:p>
        </w:tc>
        <w:tc>
          <w:tcPr>
            <w:tcW w:w="1700" w:type="dxa"/>
            <w:vAlign w:val="bottom"/>
            <w:tcBorders>
              <w:right w:val="single" w:sz="8" w:color="000E5B"/>
            </w:tcBorders>
            <w:shd w:val="clear" w:color="auto" w:fill="1F3C7B"/>
          </w:tcPr>
          <w:p>
            <w:pPr>
              <w:spacing w:after="0"/>
              <w:rPr>
                <w:sz w:val="20"/>
                <w:szCs w:val="20"/>
                <w:color w:val="auto"/>
              </w:rPr>
            </w:pPr>
          </w:p>
        </w:tc>
        <w:tc>
          <w:tcPr>
            <w:tcW w:w="980" w:type="dxa"/>
            <w:vAlign w:val="bottom"/>
            <w:tcBorders>
              <w:right w:val="single" w:sz="8" w:color="1F3C7B"/>
            </w:tcBorders>
            <w:shd w:val="clear" w:color="auto" w:fill="1F3C7B"/>
          </w:tcPr>
          <w:p>
            <w:pPr>
              <w:spacing w:after="0"/>
              <w:rPr>
                <w:sz w:val="20"/>
                <w:szCs w:val="20"/>
                <w:color w:val="auto"/>
              </w:rPr>
            </w:pPr>
          </w:p>
        </w:tc>
        <w:tc>
          <w:tcPr>
            <w:tcW w:w="1000" w:type="dxa"/>
            <w:vAlign w:val="bottom"/>
            <w:tcBorders>
              <w:right w:val="single" w:sz="8" w:color="1F3C7B"/>
            </w:tcBorders>
            <w:shd w:val="clear" w:color="auto" w:fill="1F3C7B"/>
          </w:tcPr>
          <w:p>
            <w:pPr>
              <w:spacing w:after="0"/>
              <w:rPr>
                <w:sz w:val="20"/>
                <w:szCs w:val="20"/>
                <w:color w:val="auto"/>
              </w:rPr>
            </w:pPr>
          </w:p>
        </w:tc>
        <w:tc>
          <w:tcPr>
            <w:tcW w:w="2220" w:type="dxa"/>
            <w:vAlign w:val="bottom"/>
            <w:gridSpan w:val="3"/>
            <w:shd w:val="clear" w:color="auto" w:fill="1F3C7B"/>
          </w:tcPr>
          <w:p>
            <w:pPr>
              <w:jc w:val="center"/>
              <w:ind w:right="260"/>
              <w:spacing w:after="0"/>
              <w:rPr>
                <w:sz w:val="20"/>
                <w:szCs w:val="20"/>
                <w:color w:val="auto"/>
              </w:rPr>
            </w:pPr>
            <w:r>
              <w:rPr>
                <w:rFonts w:ascii="Arial" w:cs="Arial" w:eastAsia="Arial" w:hAnsi="Arial"/>
                <w:sz w:val="18"/>
                <w:szCs w:val="18"/>
                <w:b w:val="1"/>
                <w:bCs w:val="1"/>
                <w:color w:val="FFFFFF"/>
                <w:w w:val="99"/>
              </w:rPr>
              <w:t>Payout Percentages</w:t>
            </w:r>
          </w:p>
        </w:tc>
        <w:tc>
          <w:tcPr>
            <w:tcW w:w="780" w:type="dxa"/>
            <w:vAlign w:val="bottom"/>
            <w:tcBorders>
              <w:right w:val="single" w:sz="8" w:color="1F3C7B"/>
            </w:tcBorders>
            <w:shd w:val="clear" w:color="auto" w:fill="1F3C7B"/>
          </w:tcPr>
          <w:p>
            <w:pPr>
              <w:spacing w:after="0"/>
              <w:rPr>
                <w:sz w:val="20"/>
                <w:szCs w:val="20"/>
                <w:color w:val="auto"/>
              </w:rPr>
            </w:pPr>
          </w:p>
        </w:tc>
        <w:tc>
          <w:tcPr>
            <w:tcW w:w="980" w:type="dxa"/>
            <w:vAlign w:val="bottom"/>
            <w:tcBorders>
              <w:right w:val="single" w:sz="8" w:color="000E5B"/>
            </w:tcBorders>
            <w:shd w:val="clear" w:color="auto" w:fill="1F3C7B"/>
          </w:tcPr>
          <w:p>
            <w:pPr>
              <w:spacing w:after="0"/>
              <w:rPr>
                <w:sz w:val="20"/>
                <w:szCs w:val="20"/>
                <w:color w:val="auto"/>
              </w:rPr>
            </w:pPr>
          </w:p>
        </w:tc>
      </w:tr>
      <w:tr>
        <w:trPr>
          <w:trHeight w:val="230"/>
        </w:trPr>
        <w:tc>
          <w:tcPr>
            <w:tcW w:w="1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740" w:type="dxa"/>
            <w:vAlign w:val="bottom"/>
            <w:tcBorders>
              <w:right w:val="single" w:sz="8" w:color="000E5B"/>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1/1/17-8/31/17</w:t>
            </w:r>
          </w:p>
        </w:tc>
        <w:tc>
          <w:tcPr>
            <w:tcW w:w="9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9"/>
                <w:szCs w:val="19"/>
                <w:color w:val="auto"/>
              </w:rPr>
            </w:pPr>
          </w:p>
        </w:tc>
        <w:tc>
          <w:tcPr>
            <w:tcW w:w="7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80" w:type="dxa"/>
            <w:vAlign w:val="bottom"/>
            <w:tcBorders>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860" w:type="dxa"/>
            <w:vAlign w:val="bottom"/>
            <w:tcBorders>
              <w:left w:val="single" w:sz="8" w:color="1F3C7B"/>
              <w:right w:val="single" w:sz="8" w:color="000E5B"/>
            </w:tcBorders>
            <w:shd w:val="clear" w:color="auto" w:fill="C6C8CA"/>
          </w:tcPr>
          <w:p>
            <w:pPr>
              <w:spacing w:after="0"/>
              <w:rPr>
                <w:sz w:val="19"/>
                <w:szCs w:val="19"/>
                <w:color w:val="auto"/>
              </w:rPr>
            </w:pPr>
          </w:p>
        </w:tc>
        <w:tc>
          <w:tcPr>
            <w:tcW w:w="1740" w:type="dxa"/>
            <w:vAlign w:val="bottom"/>
            <w:tcBorders>
              <w:right w:val="single" w:sz="8" w:color="000E5B"/>
            </w:tcBorders>
            <w:gridSpan w:val="2"/>
            <w:shd w:val="clear" w:color="auto" w:fill="C6C8CA"/>
          </w:tcPr>
          <w:p>
            <w:pPr>
              <w:jc w:val="center"/>
              <w:ind w:right="40"/>
              <w:spacing w:after="0"/>
              <w:rPr>
                <w:sz w:val="20"/>
                <w:szCs w:val="20"/>
                <w:color w:val="auto"/>
              </w:rPr>
            </w:pPr>
            <w:r>
              <w:rPr>
                <w:rFonts w:ascii="Arial" w:cs="Arial" w:eastAsia="Arial" w:hAnsi="Arial"/>
                <w:sz w:val="18"/>
                <w:szCs w:val="18"/>
                <w:color w:val="auto"/>
                <w:w w:val="99"/>
              </w:rPr>
              <w:t>9/1/17-12/30/17</w:t>
            </w:r>
          </w:p>
        </w:tc>
        <w:tc>
          <w:tcPr>
            <w:tcW w:w="9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110%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6C8CA"/>
          </w:tcPr>
          <w:p>
            <w:pPr>
              <w:spacing w:after="0"/>
              <w:rPr>
                <w:sz w:val="19"/>
                <w:szCs w:val="19"/>
                <w:color w:val="auto"/>
              </w:rPr>
            </w:pPr>
          </w:p>
        </w:tc>
        <w:tc>
          <w:tcPr>
            <w:tcW w:w="7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150%</w:t>
            </w:r>
          </w:p>
        </w:tc>
        <w:tc>
          <w:tcPr>
            <w:tcW w:w="980" w:type="dxa"/>
            <w:vAlign w:val="bottom"/>
            <w:tcBorders>
              <w:right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1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Patrick R. Moore</w:t>
            </w:r>
          </w:p>
        </w:tc>
        <w:tc>
          <w:tcPr>
            <w:tcW w:w="1740" w:type="dxa"/>
            <w:vAlign w:val="bottom"/>
            <w:tcBorders>
              <w:right w:val="single" w:sz="8" w:color="000E5B"/>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1/1/17-12/30/17</w:t>
            </w:r>
          </w:p>
        </w:tc>
        <w:tc>
          <w:tcPr>
            <w:tcW w:w="9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220" w:type="dxa"/>
            <w:vAlign w:val="bottom"/>
            <w:shd w:val="clear" w:color="auto" w:fill="CCEEFF"/>
          </w:tcPr>
          <w:p>
            <w:pPr>
              <w:spacing w:after="0"/>
              <w:rPr>
                <w:sz w:val="19"/>
                <w:szCs w:val="19"/>
                <w:color w:val="auto"/>
              </w:rPr>
            </w:pPr>
          </w:p>
        </w:tc>
        <w:tc>
          <w:tcPr>
            <w:tcW w:w="7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980" w:type="dxa"/>
            <w:vAlign w:val="bottom"/>
            <w:tcBorders>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111.25%</w:t>
            </w:r>
          </w:p>
        </w:tc>
      </w:tr>
      <w:tr>
        <w:trPr>
          <w:trHeight w:val="230"/>
        </w:trPr>
        <w:tc>
          <w:tcPr>
            <w:tcW w:w="18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Jeff McAllister</w:t>
            </w:r>
          </w:p>
        </w:tc>
        <w:tc>
          <w:tcPr>
            <w:tcW w:w="1740" w:type="dxa"/>
            <w:vAlign w:val="bottom"/>
            <w:tcBorders>
              <w:right w:val="single" w:sz="8" w:color="000E5B"/>
            </w:tcBorders>
            <w:gridSpan w:val="2"/>
            <w:shd w:val="clear" w:color="auto" w:fill="C6C8CA"/>
          </w:tcPr>
          <w:p>
            <w:pPr>
              <w:jc w:val="center"/>
              <w:ind w:right="40"/>
              <w:spacing w:after="0"/>
              <w:rPr>
                <w:sz w:val="20"/>
                <w:szCs w:val="20"/>
                <w:color w:val="auto"/>
              </w:rPr>
            </w:pPr>
            <w:r>
              <w:rPr>
                <w:rFonts w:ascii="Arial" w:cs="Arial" w:eastAsia="Arial" w:hAnsi="Arial"/>
                <w:sz w:val="18"/>
                <w:szCs w:val="18"/>
                <w:color w:val="auto"/>
                <w:w w:val="99"/>
              </w:rPr>
              <w:t>1/1/17-12/30/17</w:t>
            </w:r>
          </w:p>
        </w:tc>
        <w:tc>
          <w:tcPr>
            <w:tcW w:w="9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6C8CA"/>
          </w:tcPr>
          <w:p>
            <w:pPr>
              <w:spacing w:after="0"/>
              <w:rPr>
                <w:sz w:val="19"/>
                <w:szCs w:val="19"/>
                <w:color w:val="auto"/>
              </w:rPr>
            </w:pPr>
          </w:p>
        </w:tc>
        <w:tc>
          <w:tcPr>
            <w:tcW w:w="7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110%</w:t>
            </w:r>
          </w:p>
        </w:tc>
        <w:tc>
          <w:tcPr>
            <w:tcW w:w="980" w:type="dxa"/>
            <w:vAlign w:val="bottom"/>
            <w:tcBorders>
              <w:right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18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Mitchell Goodman</w:t>
            </w:r>
          </w:p>
        </w:tc>
        <w:tc>
          <w:tcPr>
            <w:tcW w:w="1740" w:type="dxa"/>
            <w:vAlign w:val="bottom"/>
            <w:tcBorders>
              <w:right w:val="single" w:sz="8" w:color="000E5B"/>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1/1/17-12/30/17</w:t>
            </w:r>
          </w:p>
        </w:tc>
        <w:tc>
          <w:tcPr>
            <w:tcW w:w="9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00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220" w:type="dxa"/>
            <w:vAlign w:val="bottom"/>
            <w:shd w:val="clear" w:color="auto" w:fill="CCEEFF"/>
          </w:tcPr>
          <w:p>
            <w:pPr>
              <w:spacing w:after="0"/>
              <w:rPr>
                <w:sz w:val="19"/>
                <w:szCs w:val="19"/>
                <w:color w:val="auto"/>
              </w:rPr>
            </w:pPr>
          </w:p>
        </w:tc>
        <w:tc>
          <w:tcPr>
            <w:tcW w:w="7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980" w:type="dxa"/>
            <w:vAlign w:val="bottom"/>
            <w:tcBorders>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111.25%</w:t>
            </w:r>
          </w:p>
        </w:tc>
      </w:tr>
      <w:tr>
        <w:trPr>
          <w:trHeight w:val="230"/>
        </w:trPr>
        <w:tc>
          <w:tcPr>
            <w:tcW w:w="18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John Vaught</w:t>
            </w:r>
          </w:p>
        </w:tc>
        <w:tc>
          <w:tcPr>
            <w:tcW w:w="1740" w:type="dxa"/>
            <w:vAlign w:val="bottom"/>
            <w:tcBorders>
              <w:right w:val="single" w:sz="8" w:color="000E5B"/>
            </w:tcBorders>
            <w:gridSpan w:val="2"/>
            <w:shd w:val="clear" w:color="auto" w:fill="C6C8CA"/>
          </w:tcPr>
          <w:p>
            <w:pPr>
              <w:jc w:val="center"/>
              <w:ind w:right="40"/>
              <w:spacing w:after="0"/>
              <w:rPr>
                <w:sz w:val="20"/>
                <w:szCs w:val="20"/>
                <w:color w:val="auto"/>
              </w:rPr>
            </w:pPr>
            <w:r>
              <w:rPr>
                <w:rFonts w:ascii="Arial" w:cs="Arial" w:eastAsia="Arial" w:hAnsi="Arial"/>
                <w:sz w:val="18"/>
                <w:szCs w:val="18"/>
                <w:color w:val="auto"/>
                <w:w w:val="99"/>
              </w:rPr>
              <w:t>1/1/17-12/30/17</w:t>
            </w:r>
          </w:p>
        </w:tc>
        <w:tc>
          <w:tcPr>
            <w:tcW w:w="9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16.25%</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32.5%</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6C8CA"/>
          </w:tcPr>
          <w:p>
            <w:pPr>
              <w:spacing w:after="0"/>
              <w:rPr>
                <w:sz w:val="19"/>
                <w:szCs w:val="19"/>
                <w:color w:val="auto"/>
              </w:rPr>
            </w:pPr>
          </w:p>
        </w:tc>
        <w:tc>
          <w:tcPr>
            <w:tcW w:w="7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70%</w:t>
            </w:r>
          </w:p>
        </w:tc>
        <w:tc>
          <w:tcPr>
            <w:tcW w:w="980" w:type="dxa"/>
            <w:vAlign w:val="bottom"/>
            <w:tcBorders>
              <w:right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860" w:type="dxa"/>
            <w:vAlign w:val="bottom"/>
            <w:tcBorders>
              <w:left w:val="single" w:sz="8" w:color="1F3C7B"/>
              <w:bottom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J. Bruce Steffey</w:t>
            </w:r>
          </w:p>
        </w:tc>
        <w:tc>
          <w:tcPr>
            <w:tcW w:w="1740" w:type="dxa"/>
            <w:vAlign w:val="bottom"/>
            <w:tcBorders>
              <w:bottom w:val="single" w:sz="8" w:color="1F3C7B"/>
              <w:right w:val="single" w:sz="8" w:color="000E5B"/>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1/1/17-12/30/17</w:t>
            </w:r>
          </w:p>
        </w:tc>
        <w:tc>
          <w:tcPr>
            <w:tcW w:w="98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1F3C7B"/>
            </w:tcBorders>
            <w:shd w:val="clear" w:color="auto" w:fill="CCEEFF"/>
          </w:tcPr>
          <w:p>
            <w:pPr>
              <w:spacing w:after="0"/>
              <w:rPr>
                <w:sz w:val="19"/>
                <w:szCs w:val="19"/>
                <w:color w:val="auto"/>
              </w:rPr>
            </w:pPr>
          </w:p>
        </w:tc>
        <w:tc>
          <w:tcPr>
            <w:tcW w:w="780" w:type="dxa"/>
            <w:vAlign w:val="bottom"/>
            <w:tcBorders>
              <w:bottom w:val="single" w:sz="8" w:color="1F3C7B"/>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80" w:type="dxa"/>
            <w:vAlign w:val="bottom"/>
            <w:tcBorders>
              <w:bottom w:val="single" w:sz="8" w:color="1F3C7B"/>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169"/>
        </w:trPr>
        <w:tc>
          <w:tcPr>
            <w:tcW w:w="1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-1619885</wp:posOffset>
            </wp:positionV>
            <wp:extent cx="606298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-1148715</wp:posOffset>
            </wp:positionV>
            <wp:extent cx="606298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-857250</wp:posOffset>
            </wp:positionV>
            <wp:extent cx="606298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-565150</wp:posOffset>
            </wp:positionV>
            <wp:extent cx="606298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-273685</wp:posOffset>
            </wp:positionV>
            <wp:extent cx="606298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87" w:lineRule="exact"/>
        <w:rPr>
          <w:sz w:val="20"/>
          <w:szCs w:val="20"/>
          <w:color w:val="auto"/>
        </w:rPr>
      </w:pPr>
    </w:p>
    <w:p>
      <w:pPr>
        <w:ind w:left="347" w:right="60" w:hanging="347"/>
        <w:spacing w:after="0" w:line="228"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 September 1, 2017, the Board of Directors approved updated target levels for Mr. Fahs for the remainder of fiscal 2017. In determining Mr. Fahs’ increased annual target bonus, the Board of Directors generally reviewed (without targeting a specific percentile) the target cash bonus opportunities of CEOs at the Company’s peer group.</w:t>
      </w:r>
    </w:p>
    <w:p>
      <w:pPr>
        <w:spacing w:after="0" w:line="95" w:lineRule="exact"/>
        <w:rPr>
          <w:sz w:val="20"/>
          <w:szCs w:val="20"/>
          <w:color w:val="auto"/>
        </w:rPr>
      </w:pPr>
    </w:p>
    <w:p>
      <w:pPr>
        <w:ind w:left="7" w:right="220"/>
        <w:spacing w:after="0" w:line="262" w:lineRule="auto"/>
        <w:rPr>
          <w:sz w:val="20"/>
          <w:szCs w:val="20"/>
          <w:color w:val="auto"/>
        </w:rPr>
      </w:pPr>
      <w:r>
        <w:rPr>
          <w:rFonts w:ascii="Arial" w:cs="Arial" w:eastAsia="Arial" w:hAnsi="Arial"/>
          <w:sz w:val="18"/>
          <w:szCs w:val="18"/>
          <w:color w:val="auto"/>
        </w:rPr>
        <w:t>For performance percentages between the specified threshold, target, and other tier levels, payouts were interpolated on a straight-line basis.</w:t>
      </w:r>
    </w:p>
    <w:p>
      <w:pPr>
        <w:spacing w:after="0" w:line="88" w:lineRule="exact"/>
        <w:rPr>
          <w:sz w:val="20"/>
          <w:szCs w:val="20"/>
          <w:color w:val="auto"/>
        </w:rPr>
      </w:pPr>
    </w:p>
    <w:p>
      <w:pPr>
        <w:ind w:left="7" w:right="100"/>
        <w:spacing w:after="0" w:line="254" w:lineRule="auto"/>
        <w:rPr>
          <w:sz w:val="20"/>
          <w:szCs w:val="20"/>
          <w:color w:val="auto"/>
        </w:rPr>
      </w:pPr>
      <w:r>
        <w:rPr>
          <w:rFonts w:ascii="Arial" w:cs="Arial" w:eastAsia="Arial" w:hAnsi="Arial"/>
          <w:sz w:val="18"/>
          <w:szCs w:val="18"/>
          <w:color w:val="auto"/>
        </w:rPr>
        <w:t>Notwithstanding the establishment of the MIP EBITDA goal and the scale for determining the resulting MIP awards earned, as described above, the compensation committee had the ability to exercise positive or negative discretion and award a greater or lesser amount to our NEOs than the amount determined by the scale above if it determined that circumstances so warranted. The compensation committee did not exercise such discretion in fiscal 2017.</w:t>
      </w:r>
    </w:p>
    <w:p>
      <w:pPr>
        <w:spacing w:after="0" w:line="96" w:lineRule="exact"/>
        <w:rPr>
          <w:sz w:val="20"/>
          <w:szCs w:val="20"/>
          <w:color w:val="auto"/>
        </w:rPr>
      </w:pPr>
    </w:p>
    <w:p>
      <w:pPr>
        <w:ind w:left="7" w:right="160"/>
        <w:spacing w:after="0" w:line="252" w:lineRule="auto"/>
        <w:rPr>
          <w:sz w:val="20"/>
          <w:szCs w:val="20"/>
          <w:color w:val="auto"/>
        </w:rPr>
      </w:pPr>
      <w:r>
        <w:rPr>
          <w:rFonts w:ascii="Arial" w:cs="Arial" w:eastAsia="Arial" w:hAnsi="Arial"/>
          <w:sz w:val="18"/>
          <w:szCs w:val="18"/>
          <w:color w:val="auto"/>
        </w:rPr>
        <w:t>For fiscal 2017, the Company’s MIP EBITDA achieved was $171.8 million, resulting in a payout percentage of 66.12% of base salary for Mr. Fahs from January 1, 2017 to August 31, 2017 and 106.12% from September 1, 2017 and December 30, 2017, 55.35% of base salary for each of Messrs. Moore and Goodman, 66.12% of base salary for each of Messrs. McAllister and Steffey, and 37.09% of base salary for Mr. Vaught. Each of the NEOs earned MIP awards for fiscal 2017 as follows, which are included in the “Non-Equity Incentive Plan Compensation” column of the “Summary Compensation Table” below.</w:t>
      </w:r>
    </w:p>
    <w:p>
      <w:pPr>
        <w:spacing w:after="0" w:line="126"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205740" cy="1631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80" w:type="dxa"/>
            <w:vAlign w:val="bottom"/>
            <w:tcBorders>
              <w:left w:val="single" w:sz="8" w:color="1F3C7B"/>
              <w:right w:val="single" w:sz="8" w:color="000E5B"/>
            </w:tcBorders>
            <w:shd w:val="clear" w:color="auto" w:fill="1F3C7B"/>
          </w:tcPr>
          <w:p>
            <w:pPr>
              <w:spacing w:after="0"/>
              <w:rPr>
                <w:sz w:val="17"/>
                <w:szCs w:val="17"/>
                <w:color w:val="auto"/>
              </w:rPr>
            </w:pPr>
          </w:p>
        </w:tc>
        <w:tc>
          <w:tcPr>
            <w:tcW w:w="1600" w:type="dxa"/>
            <w:vAlign w:val="bottom"/>
            <w:tcBorders>
              <w:right w:val="single" w:sz="8" w:color="000E5B"/>
            </w:tcBorders>
            <w:shd w:val="clear" w:color="auto" w:fill="1F3C7B"/>
          </w:tcPr>
          <w:p>
            <w:pPr>
              <w:spacing w:after="0"/>
              <w:rPr>
                <w:sz w:val="17"/>
                <w:szCs w:val="17"/>
                <w:color w:val="auto"/>
              </w:rPr>
            </w:pPr>
          </w:p>
        </w:tc>
        <w:tc>
          <w:tcPr>
            <w:tcW w:w="180" w:type="dxa"/>
            <w:vAlign w:val="bottom"/>
            <w:shd w:val="clear" w:color="auto" w:fill="1F3C7B"/>
          </w:tcPr>
          <w:p>
            <w:pPr>
              <w:spacing w:after="0"/>
              <w:rPr>
                <w:sz w:val="17"/>
                <w:szCs w:val="17"/>
                <w:color w:val="auto"/>
              </w:rPr>
            </w:pPr>
          </w:p>
        </w:tc>
        <w:tc>
          <w:tcPr>
            <w:tcW w:w="860" w:type="dxa"/>
            <w:vAlign w:val="bottom"/>
            <w:tcBorders>
              <w:right w:val="single" w:sz="8" w:color="000E5B"/>
            </w:tcBorders>
            <w:shd w:val="clear" w:color="auto" w:fill="1F3C7B"/>
          </w:tcPr>
          <w:p>
            <w:pPr>
              <w:spacing w:after="0"/>
              <w:rPr>
                <w:sz w:val="17"/>
                <w:szCs w:val="17"/>
                <w:color w:val="auto"/>
              </w:rPr>
            </w:pPr>
          </w:p>
        </w:tc>
        <w:tc>
          <w:tcPr>
            <w:tcW w:w="1380" w:type="dxa"/>
            <w:vAlign w:val="bottom"/>
            <w:tcBorders>
              <w:right w:val="single" w:sz="8" w:color="000E5B"/>
            </w:tcBorders>
            <w:shd w:val="clear" w:color="auto" w:fill="1F3C7B"/>
          </w:tcPr>
          <w:p>
            <w:pPr>
              <w:spacing w:after="0"/>
              <w:rPr>
                <w:sz w:val="17"/>
                <w:szCs w:val="17"/>
                <w:color w:val="auto"/>
              </w:rPr>
            </w:pPr>
          </w:p>
        </w:tc>
        <w:tc>
          <w:tcPr>
            <w:tcW w:w="200" w:type="dxa"/>
            <w:vAlign w:val="bottom"/>
            <w:shd w:val="clear" w:color="auto" w:fill="1F3C7B"/>
          </w:tcPr>
          <w:p>
            <w:pPr>
              <w:spacing w:after="0"/>
              <w:rPr>
                <w:sz w:val="17"/>
                <w:szCs w:val="17"/>
                <w:color w:val="auto"/>
              </w:rPr>
            </w:pPr>
          </w:p>
        </w:tc>
        <w:tc>
          <w:tcPr>
            <w:tcW w:w="840" w:type="dxa"/>
            <w:vAlign w:val="bottom"/>
            <w:tcBorders>
              <w:right w:val="single" w:sz="8" w:color="000E5B"/>
            </w:tcBorders>
            <w:shd w:val="clear" w:color="auto" w:fill="1F3C7B"/>
          </w:tcPr>
          <w:p>
            <w:pPr>
              <w:spacing w:after="0"/>
              <w:rPr>
                <w:sz w:val="17"/>
                <w:szCs w:val="17"/>
                <w:color w:val="auto"/>
              </w:rPr>
            </w:pPr>
          </w:p>
        </w:tc>
        <w:tc>
          <w:tcPr>
            <w:tcW w:w="148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80" w:type="dxa"/>
            <w:vAlign w:val="bottom"/>
            <w:shd w:val="clear" w:color="auto" w:fill="1F3C7B"/>
          </w:tcPr>
          <w:p>
            <w:pPr>
              <w:spacing w:after="0"/>
              <w:rPr>
                <w:sz w:val="17"/>
                <w:szCs w:val="17"/>
                <w:color w:val="auto"/>
              </w:rPr>
            </w:pPr>
          </w:p>
        </w:tc>
        <w:tc>
          <w:tcPr>
            <w:tcW w:w="100" w:type="dxa"/>
            <w:vAlign w:val="bottom"/>
            <w:shd w:val="clear" w:color="auto" w:fill="1F3C7B"/>
          </w:tcPr>
          <w:p>
            <w:pPr>
              <w:spacing w:after="0"/>
              <w:rPr>
                <w:sz w:val="17"/>
                <w:szCs w:val="17"/>
                <w:color w:val="auto"/>
              </w:rPr>
            </w:pPr>
          </w:p>
        </w:tc>
        <w:tc>
          <w:tcPr>
            <w:tcW w:w="20" w:type="dxa"/>
            <w:vAlign w:val="bottom"/>
            <w:shd w:val="clear" w:color="auto" w:fill="1F3C7B"/>
          </w:tcPr>
          <w:p>
            <w:pPr>
              <w:spacing w:after="0"/>
              <w:rPr>
                <w:sz w:val="17"/>
                <w:szCs w:val="17"/>
                <w:color w:val="auto"/>
              </w:rPr>
            </w:pPr>
          </w:p>
        </w:tc>
        <w:tc>
          <w:tcPr>
            <w:tcW w:w="80" w:type="dxa"/>
            <w:vAlign w:val="bottom"/>
            <w:shd w:val="clear" w:color="auto" w:fill="1F3C7B"/>
          </w:tcPr>
          <w:p>
            <w:pPr>
              <w:spacing w:after="0"/>
              <w:rPr>
                <w:sz w:val="17"/>
                <w:szCs w:val="17"/>
                <w:color w:val="auto"/>
              </w:rPr>
            </w:pPr>
          </w:p>
        </w:tc>
        <w:tc>
          <w:tcPr>
            <w:tcW w:w="640" w:type="dxa"/>
            <w:vAlign w:val="bottom"/>
            <w:shd w:val="clear" w:color="auto" w:fill="1F3C7B"/>
          </w:tcPr>
          <w:p>
            <w:pPr>
              <w:spacing w:after="0"/>
              <w:rPr>
                <w:sz w:val="17"/>
                <w:szCs w:val="17"/>
                <w:color w:val="auto"/>
              </w:rPr>
            </w:pPr>
          </w:p>
        </w:tc>
        <w:tc>
          <w:tcPr>
            <w:tcW w:w="120" w:type="dxa"/>
            <w:vAlign w:val="bottom"/>
            <w:tcBorders>
              <w:right w:val="single" w:sz="8" w:color="1F3C7B"/>
            </w:tcBorders>
            <w:shd w:val="clear" w:color="auto" w:fill="1F3C7B"/>
          </w:tcPr>
          <w:p>
            <w:pPr>
              <w:spacing w:after="0"/>
              <w:rPr>
                <w:sz w:val="17"/>
                <w:szCs w:val="17"/>
                <w:color w:val="auto"/>
              </w:rPr>
            </w:pPr>
          </w:p>
        </w:tc>
      </w:tr>
      <w:tr>
        <w:trPr>
          <w:trHeight w:val="203"/>
        </w:trPr>
        <w:tc>
          <w:tcPr>
            <w:tcW w:w="1980" w:type="dxa"/>
            <w:vAlign w:val="bottom"/>
            <w:tcBorders>
              <w:left w:val="single" w:sz="8" w:color="1F3C7B"/>
              <w:right w:val="single" w:sz="8" w:color="000E5B"/>
            </w:tcBorders>
            <w:shd w:val="clear" w:color="auto" w:fill="1F3C7B"/>
          </w:tcPr>
          <w:p>
            <w:pPr>
              <w:spacing w:after="0"/>
              <w:rPr>
                <w:sz w:val="17"/>
                <w:szCs w:val="17"/>
                <w:color w:val="auto"/>
              </w:rPr>
            </w:pPr>
          </w:p>
        </w:tc>
        <w:tc>
          <w:tcPr>
            <w:tcW w:w="1600" w:type="dxa"/>
            <w:vAlign w:val="bottom"/>
            <w:tcBorders>
              <w:right w:val="single" w:sz="8" w:color="000E5B"/>
            </w:tcBorders>
            <w:shd w:val="clear" w:color="auto" w:fill="1F3C7B"/>
          </w:tcPr>
          <w:p>
            <w:pPr>
              <w:spacing w:after="0"/>
              <w:rPr>
                <w:sz w:val="17"/>
                <w:szCs w:val="17"/>
                <w:color w:val="auto"/>
              </w:rPr>
            </w:pPr>
          </w:p>
        </w:tc>
        <w:tc>
          <w:tcPr>
            <w:tcW w:w="180" w:type="dxa"/>
            <w:vAlign w:val="bottom"/>
            <w:shd w:val="clear" w:color="auto" w:fill="1F3C7B"/>
          </w:tcPr>
          <w:p>
            <w:pPr>
              <w:spacing w:after="0"/>
              <w:rPr>
                <w:sz w:val="17"/>
                <w:szCs w:val="17"/>
                <w:color w:val="auto"/>
              </w:rPr>
            </w:pPr>
          </w:p>
        </w:tc>
        <w:tc>
          <w:tcPr>
            <w:tcW w:w="860" w:type="dxa"/>
            <w:vAlign w:val="bottom"/>
            <w:tcBorders>
              <w:right w:val="single" w:sz="8" w:color="000E5B"/>
            </w:tcBorders>
            <w:shd w:val="clear" w:color="auto" w:fill="1F3C7B"/>
          </w:tcPr>
          <w:p>
            <w:pPr>
              <w:spacing w:after="0"/>
              <w:rPr>
                <w:sz w:val="17"/>
                <w:szCs w:val="17"/>
                <w:color w:val="auto"/>
              </w:rPr>
            </w:pPr>
          </w:p>
        </w:tc>
        <w:tc>
          <w:tcPr>
            <w:tcW w:w="1380" w:type="dxa"/>
            <w:vAlign w:val="bottom"/>
            <w:tcBorders>
              <w:right w:val="single" w:sz="8" w:color="000E5B"/>
            </w:tcBorders>
            <w:shd w:val="clear" w:color="auto" w:fill="1F3C7B"/>
          </w:tcPr>
          <w:p>
            <w:pPr>
              <w:spacing w:after="0"/>
              <w:rPr>
                <w:sz w:val="17"/>
                <w:szCs w:val="17"/>
                <w:color w:val="auto"/>
              </w:rPr>
            </w:pPr>
          </w:p>
        </w:tc>
        <w:tc>
          <w:tcPr>
            <w:tcW w:w="200" w:type="dxa"/>
            <w:vAlign w:val="bottom"/>
            <w:shd w:val="clear" w:color="auto" w:fill="1F3C7B"/>
          </w:tcPr>
          <w:p>
            <w:pPr>
              <w:spacing w:after="0"/>
              <w:rPr>
                <w:sz w:val="17"/>
                <w:szCs w:val="17"/>
                <w:color w:val="auto"/>
              </w:rPr>
            </w:pPr>
          </w:p>
        </w:tc>
        <w:tc>
          <w:tcPr>
            <w:tcW w:w="840" w:type="dxa"/>
            <w:vAlign w:val="bottom"/>
            <w:tcBorders>
              <w:right w:val="single" w:sz="8" w:color="000E5B"/>
            </w:tcBorders>
            <w:shd w:val="clear" w:color="auto" w:fill="1F3C7B"/>
          </w:tcPr>
          <w:p>
            <w:pPr>
              <w:spacing w:after="0"/>
              <w:rPr>
                <w:sz w:val="17"/>
                <w:szCs w:val="17"/>
                <w:color w:val="auto"/>
              </w:rPr>
            </w:pPr>
          </w:p>
        </w:tc>
        <w:tc>
          <w:tcPr>
            <w:tcW w:w="148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Factor as a</w:t>
            </w:r>
          </w:p>
        </w:tc>
        <w:tc>
          <w:tcPr>
            <w:tcW w:w="80" w:type="dxa"/>
            <w:vAlign w:val="bottom"/>
            <w:shd w:val="clear" w:color="auto" w:fill="1F3C7B"/>
          </w:tcPr>
          <w:p>
            <w:pPr>
              <w:spacing w:after="0"/>
              <w:rPr>
                <w:sz w:val="17"/>
                <w:szCs w:val="17"/>
                <w:color w:val="auto"/>
              </w:rPr>
            </w:pPr>
          </w:p>
        </w:tc>
        <w:tc>
          <w:tcPr>
            <w:tcW w:w="100" w:type="dxa"/>
            <w:vAlign w:val="bottom"/>
            <w:shd w:val="clear" w:color="auto" w:fill="1F3C7B"/>
          </w:tcPr>
          <w:p>
            <w:pPr>
              <w:spacing w:after="0"/>
              <w:rPr>
                <w:sz w:val="17"/>
                <w:szCs w:val="17"/>
                <w:color w:val="auto"/>
              </w:rPr>
            </w:pPr>
          </w:p>
        </w:tc>
        <w:tc>
          <w:tcPr>
            <w:tcW w:w="20" w:type="dxa"/>
            <w:vAlign w:val="bottom"/>
            <w:shd w:val="clear" w:color="auto" w:fill="1F3C7B"/>
          </w:tcPr>
          <w:p>
            <w:pPr>
              <w:spacing w:after="0"/>
              <w:rPr>
                <w:sz w:val="17"/>
                <w:szCs w:val="17"/>
                <w:color w:val="auto"/>
              </w:rPr>
            </w:pPr>
          </w:p>
        </w:tc>
        <w:tc>
          <w:tcPr>
            <w:tcW w:w="80" w:type="dxa"/>
            <w:vAlign w:val="bottom"/>
            <w:shd w:val="clear" w:color="auto" w:fill="1F3C7B"/>
          </w:tcPr>
          <w:p>
            <w:pPr>
              <w:spacing w:after="0"/>
              <w:rPr>
                <w:sz w:val="17"/>
                <w:szCs w:val="17"/>
                <w:color w:val="auto"/>
              </w:rPr>
            </w:pPr>
          </w:p>
        </w:tc>
        <w:tc>
          <w:tcPr>
            <w:tcW w:w="640" w:type="dxa"/>
            <w:vAlign w:val="bottom"/>
            <w:shd w:val="clear" w:color="auto" w:fill="1F3C7B"/>
          </w:tcPr>
          <w:p>
            <w:pPr>
              <w:spacing w:after="0"/>
              <w:rPr>
                <w:sz w:val="17"/>
                <w:szCs w:val="17"/>
                <w:color w:val="auto"/>
              </w:rPr>
            </w:pPr>
          </w:p>
        </w:tc>
        <w:tc>
          <w:tcPr>
            <w:tcW w:w="120" w:type="dxa"/>
            <w:vAlign w:val="bottom"/>
            <w:tcBorders>
              <w:right w:val="single" w:sz="8" w:color="1F3C7B"/>
            </w:tcBorders>
            <w:shd w:val="clear" w:color="auto" w:fill="1F3C7B"/>
          </w:tcPr>
          <w:p>
            <w:pPr>
              <w:spacing w:after="0"/>
              <w:rPr>
                <w:sz w:val="17"/>
                <w:szCs w:val="17"/>
                <w:color w:val="auto"/>
              </w:rPr>
            </w:pPr>
          </w:p>
        </w:tc>
      </w:tr>
      <w:tr>
        <w:trPr>
          <w:trHeight w:val="203"/>
        </w:trPr>
        <w:tc>
          <w:tcPr>
            <w:tcW w:w="1980" w:type="dxa"/>
            <w:vAlign w:val="bottom"/>
            <w:tcBorders>
              <w:left w:val="single" w:sz="8" w:color="1F3C7B"/>
              <w:right w:val="single" w:sz="8" w:color="000E5B"/>
            </w:tcBorders>
            <w:shd w:val="clear" w:color="auto" w:fill="1F3C7B"/>
          </w:tcPr>
          <w:p>
            <w:pPr>
              <w:spacing w:after="0"/>
              <w:rPr>
                <w:sz w:val="17"/>
                <w:szCs w:val="17"/>
                <w:color w:val="auto"/>
              </w:rPr>
            </w:pPr>
          </w:p>
        </w:tc>
        <w:tc>
          <w:tcPr>
            <w:tcW w:w="1600" w:type="dxa"/>
            <w:vAlign w:val="bottom"/>
            <w:tcBorders>
              <w:right w:val="single" w:sz="8" w:color="000E5B"/>
            </w:tcBorders>
            <w:shd w:val="clear" w:color="auto" w:fill="1F3C7B"/>
          </w:tcPr>
          <w:p>
            <w:pPr>
              <w:spacing w:after="0"/>
              <w:rPr>
                <w:sz w:val="17"/>
                <w:szCs w:val="17"/>
                <w:color w:val="auto"/>
              </w:rPr>
            </w:pPr>
          </w:p>
        </w:tc>
        <w:tc>
          <w:tcPr>
            <w:tcW w:w="180" w:type="dxa"/>
            <w:vAlign w:val="bottom"/>
            <w:shd w:val="clear" w:color="auto" w:fill="1F3C7B"/>
          </w:tcPr>
          <w:p>
            <w:pPr>
              <w:spacing w:after="0"/>
              <w:rPr>
                <w:sz w:val="17"/>
                <w:szCs w:val="17"/>
                <w:color w:val="auto"/>
              </w:rPr>
            </w:pPr>
          </w:p>
        </w:tc>
        <w:tc>
          <w:tcPr>
            <w:tcW w:w="860" w:type="dxa"/>
            <w:vAlign w:val="bottom"/>
            <w:tcBorders>
              <w:right w:val="single" w:sz="8" w:color="000E5B"/>
            </w:tcBorders>
            <w:shd w:val="clear" w:color="auto" w:fill="1F3C7B"/>
          </w:tcPr>
          <w:p>
            <w:pPr>
              <w:ind w:left="120"/>
              <w:spacing w:after="0" w:line="202" w:lineRule="exact"/>
              <w:rPr>
                <w:sz w:val="20"/>
                <w:szCs w:val="20"/>
                <w:color w:val="auto"/>
              </w:rPr>
            </w:pPr>
            <w:r>
              <w:rPr>
                <w:rFonts w:ascii="Arial" w:cs="Arial" w:eastAsia="Arial" w:hAnsi="Arial"/>
                <w:sz w:val="18"/>
                <w:szCs w:val="18"/>
                <w:b w:val="1"/>
                <w:bCs w:val="1"/>
                <w:color w:val="FFFFFF"/>
              </w:rPr>
              <w:t>2017</w:t>
            </w:r>
          </w:p>
        </w:tc>
        <w:tc>
          <w:tcPr>
            <w:tcW w:w="1380" w:type="dxa"/>
            <w:vAlign w:val="bottom"/>
            <w:tcBorders>
              <w:right w:val="single" w:sz="8" w:color="000E5B"/>
            </w:tcBorders>
            <w:shd w:val="clear" w:color="auto" w:fill="1F3C7B"/>
          </w:tcPr>
          <w:p>
            <w:pPr>
              <w:spacing w:after="0"/>
              <w:rPr>
                <w:sz w:val="17"/>
                <w:szCs w:val="17"/>
                <w:color w:val="auto"/>
              </w:rPr>
            </w:pPr>
          </w:p>
        </w:tc>
        <w:tc>
          <w:tcPr>
            <w:tcW w:w="200" w:type="dxa"/>
            <w:vAlign w:val="bottom"/>
            <w:shd w:val="clear" w:color="auto" w:fill="1F3C7B"/>
          </w:tcPr>
          <w:p>
            <w:pPr>
              <w:spacing w:after="0"/>
              <w:rPr>
                <w:sz w:val="17"/>
                <w:szCs w:val="17"/>
                <w:color w:val="auto"/>
              </w:rPr>
            </w:pPr>
          </w:p>
        </w:tc>
        <w:tc>
          <w:tcPr>
            <w:tcW w:w="840" w:type="dxa"/>
            <w:vAlign w:val="bottom"/>
            <w:tcBorders>
              <w:right w:val="single" w:sz="8" w:color="000E5B"/>
            </w:tcBorders>
            <w:shd w:val="clear" w:color="auto" w:fill="1F3C7B"/>
          </w:tcPr>
          <w:p>
            <w:pPr>
              <w:spacing w:after="0"/>
              <w:rPr>
                <w:sz w:val="17"/>
                <w:szCs w:val="17"/>
                <w:color w:val="auto"/>
              </w:rPr>
            </w:pPr>
          </w:p>
        </w:tc>
        <w:tc>
          <w:tcPr>
            <w:tcW w:w="148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Percentage</w:t>
            </w:r>
          </w:p>
        </w:tc>
        <w:tc>
          <w:tcPr>
            <w:tcW w:w="80" w:type="dxa"/>
            <w:vAlign w:val="bottom"/>
            <w:shd w:val="clear" w:color="auto" w:fill="1F3C7B"/>
          </w:tcPr>
          <w:p>
            <w:pPr>
              <w:spacing w:after="0"/>
              <w:rPr>
                <w:sz w:val="17"/>
                <w:szCs w:val="17"/>
                <w:color w:val="auto"/>
              </w:rPr>
            </w:pPr>
          </w:p>
        </w:tc>
        <w:tc>
          <w:tcPr>
            <w:tcW w:w="100" w:type="dxa"/>
            <w:vAlign w:val="bottom"/>
            <w:shd w:val="clear" w:color="auto" w:fill="1F3C7B"/>
          </w:tcPr>
          <w:p>
            <w:pPr>
              <w:spacing w:after="0"/>
              <w:rPr>
                <w:sz w:val="17"/>
                <w:szCs w:val="17"/>
                <w:color w:val="auto"/>
              </w:rPr>
            </w:pPr>
          </w:p>
        </w:tc>
        <w:tc>
          <w:tcPr>
            <w:tcW w:w="20" w:type="dxa"/>
            <w:vAlign w:val="bottom"/>
            <w:shd w:val="clear" w:color="auto" w:fill="1F3C7B"/>
          </w:tcPr>
          <w:p>
            <w:pPr>
              <w:spacing w:after="0"/>
              <w:rPr>
                <w:sz w:val="17"/>
                <w:szCs w:val="17"/>
                <w:color w:val="auto"/>
              </w:rPr>
            </w:pPr>
          </w:p>
        </w:tc>
        <w:tc>
          <w:tcPr>
            <w:tcW w:w="840" w:type="dxa"/>
            <w:vAlign w:val="bottom"/>
            <w:tcBorders>
              <w:right w:val="single" w:sz="8" w:color="1F3C7B"/>
            </w:tcBorders>
            <w:gridSpan w:val="3"/>
            <w:shd w:val="clear" w:color="auto" w:fill="1F3C7B"/>
          </w:tcPr>
          <w:p>
            <w:pPr>
              <w:jc w:val="center"/>
              <w:ind w:right="200"/>
              <w:spacing w:after="0" w:line="202" w:lineRule="exact"/>
              <w:rPr>
                <w:sz w:val="20"/>
                <w:szCs w:val="20"/>
                <w:color w:val="auto"/>
              </w:rPr>
            </w:pPr>
            <w:r>
              <w:rPr>
                <w:rFonts w:ascii="Arial" w:cs="Arial" w:eastAsia="Arial" w:hAnsi="Arial"/>
                <w:sz w:val="18"/>
                <w:szCs w:val="18"/>
                <w:b w:val="1"/>
                <w:bCs w:val="1"/>
                <w:color w:val="FFFFFF"/>
              </w:rPr>
              <w:t>Actual</w:t>
            </w:r>
          </w:p>
        </w:tc>
      </w:tr>
      <w:tr>
        <w:trPr>
          <w:trHeight w:val="203"/>
        </w:trPr>
        <w:tc>
          <w:tcPr>
            <w:tcW w:w="1980" w:type="dxa"/>
            <w:vAlign w:val="bottom"/>
            <w:tcBorders>
              <w:left w:val="single" w:sz="8" w:color="1F3C7B"/>
              <w:right w:val="single" w:sz="8" w:color="000E5B"/>
            </w:tcBorders>
            <w:shd w:val="clear" w:color="auto" w:fill="1F3C7B"/>
          </w:tcPr>
          <w:p>
            <w:pPr>
              <w:ind w:left="660"/>
              <w:spacing w:after="0" w:line="202" w:lineRule="exact"/>
              <w:rPr>
                <w:sz w:val="20"/>
                <w:szCs w:val="20"/>
                <w:color w:val="auto"/>
              </w:rPr>
            </w:pPr>
            <w:r>
              <w:rPr>
                <w:rFonts w:ascii="Arial" w:cs="Arial" w:eastAsia="Arial" w:hAnsi="Arial"/>
                <w:sz w:val="18"/>
                <w:szCs w:val="18"/>
                <w:b w:val="1"/>
                <w:bCs w:val="1"/>
                <w:color w:val="FFFFFF"/>
              </w:rPr>
              <w:t>Named</w:t>
            </w:r>
          </w:p>
        </w:tc>
        <w:tc>
          <w:tcPr>
            <w:tcW w:w="1600" w:type="dxa"/>
            <w:vAlign w:val="bottom"/>
            <w:tcBorders>
              <w:right w:val="single" w:sz="8" w:color="000E5B"/>
            </w:tcBorders>
            <w:shd w:val="clear" w:color="auto" w:fill="1F3C7B"/>
          </w:tcPr>
          <w:p>
            <w:pPr>
              <w:spacing w:after="0"/>
              <w:rPr>
                <w:sz w:val="17"/>
                <w:szCs w:val="17"/>
                <w:color w:val="auto"/>
              </w:rPr>
            </w:pPr>
          </w:p>
        </w:tc>
        <w:tc>
          <w:tcPr>
            <w:tcW w:w="180" w:type="dxa"/>
            <w:vAlign w:val="bottom"/>
            <w:shd w:val="clear" w:color="auto" w:fill="1F3C7B"/>
          </w:tcPr>
          <w:p>
            <w:pPr>
              <w:spacing w:after="0"/>
              <w:rPr>
                <w:sz w:val="17"/>
                <w:szCs w:val="17"/>
                <w:color w:val="auto"/>
              </w:rPr>
            </w:pPr>
          </w:p>
        </w:tc>
        <w:tc>
          <w:tcPr>
            <w:tcW w:w="860" w:type="dxa"/>
            <w:vAlign w:val="bottom"/>
            <w:tcBorders>
              <w:right w:val="single" w:sz="8" w:color="000E5B"/>
            </w:tcBorders>
            <w:shd w:val="clear" w:color="auto" w:fill="1F3C7B"/>
          </w:tcPr>
          <w:p>
            <w:pPr>
              <w:ind w:left="100"/>
              <w:spacing w:after="0" w:line="202" w:lineRule="exact"/>
              <w:rPr>
                <w:sz w:val="20"/>
                <w:szCs w:val="20"/>
                <w:color w:val="auto"/>
              </w:rPr>
            </w:pPr>
            <w:r>
              <w:rPr>
                <w:rFonts w:ascii="Arial" w:cs="Arial" w:eastAsia="Arial" w:hAnsi="Arial"/>
                <w:sz w:val="18"/>
                <w:szCs w:val="18"/>
                <w:b w:val="1"/>
                <w:bCs w:val="1"/>
                <w:color w:val="FFFFFF"/>
              </w:rPr>
              <w:t>Base</w:t>
            </w:r>
          </w:p>
        </w:tc>
        <w:tc>
          <w:tcPr>
            <w:tcW w:w="1380" w:type="dxa"/>
            <w:vAlign w:val="bottom"/>
            <w:tcBorders>
              <w:right w:val="single" w:sz="8" w:color="000E5B"/>
            </w:tcBorders>
            <w:shd w:val="clear" w:color="auto" w:fill="1F3C7B"/>
          </w:tcPr>
          <w:p>
            <w:pPr>
              <w:jc w:val="right"/>
              <w:ind w:right="350"/>
              <w:spacing w:after="0" w:line="202" w:lineRule="exact"/>
              <w:rPr>
                <w:sz w:val="20"/>
                <w:szCs w:val="20"/>
                <w:color w:val="auto"/>
              </w:rPr>
            </w:pPr>
            <w:r>
              <w:rPr>
                <w:rFonts w:ascii="Arial" w:cs="Arial" w:eastAsia="Arial" w:hAnsi="Arial"/>
                <w:sz w:val="18"/>
                <w:szCs w:val="18"/>
                <w:b w:val="1"/>
                <w:bCs w:val="1"/>
                <w:color w:val="FFFFFF"/>
              </w:rPr>
              <w:t>Target</w:t>
            </w:r>
          </w:p>
        </w:tc>
        <w:tc>
          <w:tcPr>
            <w:tcW w:w="200" w:type="dxa"/>
            <w:vAlign w:val="bottom"/>
            <w:shd w:val="clear" w:color="auto" w:fill="1F3C7B"/>
          </w:tcPr>
          <w:p>
            <w:pPr>
              <w:spacing w:after="0"/>
              <w:rPr>
                <w:sz w:val="17"/>
                <w:szCs w:val="17"/>
                <w:color w:val="auto"/>
              </w:rPr>
            </w:pPr>
          </w:p>
        </w:tc>
        <w:tc>
          <w:tcPr>
            <w:tcW w:w="840" w:type="dxa"/>
            <w:vAlign w:val="bottom"/>
            <w:tcBorders>
              <w:right w:val="single" w:sz="8" w:color="000E5B"/>
            </w:tcBorders>
            <w:shd w:val="clear" w:color="auto" w:fill="1F3C7B"/>
          </w:tcPr>
          <w:p>
            <w:pPr>
              <w:jc w:val="right"/>
              <w:ind w:right="170"/>
              <w:spacing w:after="0" w:line="202" w:lineRule="exact"/>
              <w:rPr>
                <w:sz w:val="20"/>
                <w:szCs w:val="20"/>
                <w:color w:val="auto"/>
              </w:rPr>
            </w:pPr>
            <w:r>
              <w:rPr>
                <w:rFonts w:ascii="Arial" w:cs="Arial" w:eastAsia="Arial" w:hAnsi="Arial"/>
                <w:sz w:val="18"/>
                <w:szCs w:val="18"/>
                <w:b w:val="1"/>
                <w:bCs w:val="1"/>
                <w:color w:val="FFFFFF"/>
              </w:rPr>
              <w:t>Target</w:t>
            </w:r>
          </w:p>
        </w:tc>
        <w:tc>
          <w:tcPr>
            <w:tcW w:w="148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of Target</w:t>
            </w:r>
          </w:p>
        </w:tc>
        <w:tc>
          <w:tcPr>
            <w:tcW w:w="80" w:type="dxa"/>
            <w:vAlign w:val="bottom"/>
            <w:shd w:val="clear" w:color="auto" w:fill="1F3C7B"/>
          </w:tcPr>
          <w:p>
            <w:pPr>
              <w:spacing w:after="0"/>
              <w:rPr>
                <w:sz w:val="17"/>
                <w:szCs w:val="17"/>
                <w:color w:val="auto"/>
              </w:rPr>
            </w:pPr>
          </w:p>
        </w:tc>
        <w:tc>
          <w:tcPr>
            <w:tcW w:w="100" w:type="dxa"/>
            <w:vAlign w:val="bottom"/>
            <w:shd w:val="clear" w:color="auto" w:fill="1F3C7B"/>
          </w:tcPr>
          <w:p>
            <w:pPr>
              <w:spacing w:after="0"/>
              <w:rPr>
                <w:sz w:val="17"/>
                <w:szCs w:val="17"/>
                <w:color w:val="auto"/>
              </w:rPr>
            </w:pPr>
          </w:p>
        </w:tc>
        <w:tc>
          <w:tcPr>
            <w:tcW w:w="20" w:type="dxa"/>
            <w:vAlign w:val="bottom"/>
            <w:shd w:val="clear" w:color="auto" w:fill="1F3C7B"/>
          </w:tcPr>
          <w:p>
            <w:pPr>
              <w:spacing w:after="0"/>
              <w:rPr>
                <w:sz w:val="17"/>
                <w:szCs w:val="17"/>
                <w:color w:val="auto"/>
              </w:rPr>
            </w:pPr>
          </w:p>
        </w:tc>
        <w:tc>
          <w:tcPr>
            <w:tcW w:w="80" w:type="dxa"/>
            <w:vAlign w:val="bottom"/>
            <w:shd w:val="clear" w:color="auto" w:fill="1F3C7B"/>
          </w:tcPr>
          <w:p>
            <w:pPr>
              <w:spacing w:after="0"/>
              <w:rPr>
                <w:sz w:val="17"/>
                <w:szCs w:val="17"/>
                <w:color w:val="auto"/>
              </w:rPr>
            </w:pPr>
          </w:p>
        </w:tc>
        <w:tc>
          <w:tcPr>
            <w:tcW w:w="760" w:type="dxa"/>
            <w:vAlign w:val="bottom"/>
            <w:tcBorders>
              <w:right w:val="single" w:sz="8" w:color="1F3C7B"/>
            </w:tcBorders>
            <w:gridSpan w:val="2"/>
            <w:shd w:val="clear" w:color="auto" w:fill="1F3C7B"/>
          </w:tcPr>
          <w:p>
            <w:pPr>
              <w:jc w:val="center"/>
              <w:ind w:right="280"/>
              <w:spacing w:after="0" w:line="202" w:lineRule="exact"/>
              <w:rPr>
                <w:sz w:val="20"/>
                <w:szCs w:val="20"/>
                <w:color w:val="auto"/>
              </w:rPr>
            </w:pPr>
            <w:r>
              <w:rPr>
                <w:rFonts w:ascii="Arial" w:cs="Arial" w:eastAsia="Arial" w:hAnsi="Arial"/>
                <w:sz w:val="18"/>
                <w:szCs w:val="18"/>
                <w:b w:val="1"/>
                <w:bCs w:val="1"/>
                <w:color w:val="FFFFFF"/>
                <w:w w:val="99"/>
              </w:rPr>
              <w:t>MIP</w:t>
            </w:r>
          </w:p>
        </w:tc>
      </w:tr>
      <w:tr>
        <w:trPr>
          <w:trHeight w:val="239"/>
        </w:trPr>
        <w:tc>
          <w:tcPr>
            <w:tcW w:w="1980" w:type="dxa"/>
            <w:vAlign w:val="bottom"/>
            <w:tcBorders>
              <w:left w:val="single" w:sz="8" w:color="1F3C7B"/>
              <w:right w:val="single" w:sz="8" w:color="000E5B"/>
            </w:tcBorders>
            <w:shd w:val="clear" w:color="auto" w:fill="1F3C7B"/>
          </w:tcPr>
          <w:p>
            <w:pPr>
              <w:ind w:left="240"/>
              <w:spacing w:after="0"/>
              <w:rPr>
                <w:sz w:val="20"/>
                <w:szCs w:val="20"/>
                <w:color w:val="auto"/>
              </w:rPr>
            </w:pPr>
            <w:r>
              <w:rPr>
                <w:rFonts w:ascii="Arial" w:cs="Arial" w:eastAsia="Arial" w:hAnsi="Arial"/>
                <w:sz w:val="18"/>
                <w:szCs w:val="18"/>
                <w:b w:val="1"/>
                <w:bCs w:val="1"/>
                <w:color w:val="FFFFFF"/>
              </w:rPr>
              <w:t>Executive Officer</w:t>
            </w:r>
          </w:p>
        </w:tc>
        <w:tc>
          <w:tcPr>
            <w:tcW w:w="1600" w:type="dxa"/>
            <w:vAlign w:val="bottom"/>
            <w:tcBorders>
              <w:right w:val="single" w:sz="8" w:color="000E5B"/>
            </w:tcBorders>
            <w:shd w:val="clear" w:color="auto" w:fill="1F3C7B"/>
          </w:tcPr>
          <w:p>
            <w:pPr>
              <w:spacing w:after="0"/>
              <w:rPr>
                <w:sz w:val="20"/>
                <w:szCs w:val="20"/>
                <w:color w:val="auto"/>
              </w:rPr>
            </w:pPr>
          </w:p>
        </w:tc>
        <w:tc>
          <w:tcPr>
            <w:tcW w:w="180" w:type="dxa"/>
            <w:vAlign w:val="bottom"/>
            <w:shd w:val="clear" w:color="auto" w:fill="1F3C7B"/>
          </w:tcPr>
          <w:p>
            <w:pPr>
              <w:spacing w:after="0"/>
              <w:rPr>
                <w:sz w:val="20"/>
                <w:szCs w:val="20"/>
                <w:color w:val="auto"/>
              </w:rPr>
            </w:pPr>
          </w:p>
        </w:tc>
        <w:tc>
          <w:tcPr>
            <w:tcW w:w="860" w:type="dxa"/>
            <w:vAlign w:val="bottom"/>
            <w:tcBorders>
              <w:right w:val="single" w:sz="8" w:color="000E5B"/>
            </w:tcBorders>
            <w:shd w:val="clear" w:color="auto" w:fill="1F3C7B"/>
          </w:tcPr>
          <w:p>
            <w:pPr>
              <w:ind w:left="40"/>
              <w:spacing w:after="0"/>
              <w:rPr>
                <w:sz w:val="20"/>
                <w:szCs w:val="20"/>
                <w:color w:val="auto"/>
              </w:rPr>
            </w:pPr>
            <w:r>
              <w:rPr>
                <w:rFonts w:ascii="Arial" w:cs="Arial" w:eastAsia="Arial" w:hAnsi="Arial"/>
                <w:sz w:val="18"/>
                <w:szCs w:val="18"/>
                <w:b w:val="1"/>
                <w:bCs w:val="1"/>
                <w:color w:val="FFFFFF"/>
              </w:rPr>
              <w:t>Salary</w:t>
            </w:r>
          </w:p>
        </w:tc>
        <w:tc>
          <w:tcPr>
            <w:tcW w:w="1380" w:type="dxa"/>
            <w:vAlign w:val="bottom"/>
            <w:tcBorders>
              <w:right w:val="single" w:sz="8" w:color="000E5B"/>
            </w:tcBorders>
            <w:shd w:val="clear" w:color="auto" w:fill="1F3C7B"/>
          </w:tcPr>
          <w:p>
            <w:pPr>
              <w:jc w:val="right"/>
              <w:ind w:right="130"/>
              <w:spacing w:after="0"/>
              <w:rPr>
                <w:sz w:val="20"/>
                <w:szCs w:val="20"/>
                <w:color w:val="auto"/>
              </w:rPr>
            </w:pPr>
            <w:r>
              <w:rPr>
                <w:rFonts w:ascii="Arial" w:cs="Arial" w:eastAsia="Arial" w:hAnsi="Arial"/>
                <w:sz w:val="18"/>
                <w:szCs w:val="18"/>
                <w:b w:val="1"/>
                <w:bCs w:val="1"/>
                <w:color w:val="FFFFFF"/>
              </w:rPr>
              <w:t>Percentage</w:t>
            </w:r>
          </w:p>
        </w:tc>
        <w:tc>
          <w:tcPr>
            <w:tcW w:w="1040" w:type="dxa"/>
            <w:vAlign w:val="bottom"/>
            <w:tcBorders>
              <w:right w:val="single" w:sz="8" w:color="000E5B"/>
            </w:tcBorders>
            <w:gridSpan w:val="2"/>
            <w:shd w:val="clear" w:color="auto" w:fill="1F3C7B"/>
          </w:tcPr>
          <w:p>
            <w:pPr>
              <w:jc w:val="right"/>
              <w:ind w:right="110"/>
              <w:spacing w:after="0"/>
              <w:rPr>
                <w:sz w:val="20"/>
                <w:szCs w:val="20"/>
                <w:color w:val="auto"/>
              </w:rPr>
            </w:pPr>
            <w:r>
              <w:rPr>
                <w:rFonts w:ascii="Arial" w:cs="Arial" w:eastAsia="Arial" w:hAnsi="Arial"/>
                <w:sz w:val="18"/>
                <w:szCs w:val="18"/>
                <w:b w:val="1"/>
                <w:bCs w:val="1"/>
                <w:color w:val="FFFFFF"/>
              </w:rPr>
              <w:t>Amount</w:t>
            </w:r>
          </w:p>
        </w:tc>
        <w:tc>
          <w:tcPr>
            <w:tcW w:w="148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Amount</w:t>
            </w:r>
          </w:p>
        </w:tc>
        <w:tc>
          <w:tcPr>
            <w:tcW w:w="80" w:type="dxa"/>
            <w:vAlign w:val="bottom"/>
            <w:shd w:val="clear" w:color="auto" w:fill="1F3C7B"/>
          </w:tcPr>
          <w:p>
            <w:pPr>
              <w:spacing w:after="0"/>
              <w:rPr>
                <w:sz w:val="20"/>
                <w:szCs w:val="20"/>
                <w:color w:val="auto"/>
              </w:rPr>
            </w:pPr>
          </w:p>
        </w:tc>
        <w:tc>
          <w:tcPr>
            <w:tcW w:w="100" w:type="dxa"/>
            <w:vAlign w:val="bottom"/>
            <w:shd w:val="clear" w:color="auto" w:fill="1F3C7B"/>
          </w:tcPr>
          <w:p>
            <w:pPr>
              <w:spacing w:after="0"/>
              <w:rPr>
                <w:sz w:val="20"/>
                <w:szCs w:val="20"/>
                <w:color w:val="auto"/>
              </w:rPr>
            </w:pPr>
          </w:p>
        </w:tc>
        <w:tc>
          <w:tcPr>
            <w:tcW w:w="20" w:type="dxa"/>
            <w:vAlign w:val="bottom"/>
            <w:shd w:val="clear" w:color="auto" w:fill="1F3C7B"/>
          </w:tcPr>
          <w:p>
            <w:pPr>
              <w:spacing w:after="0"/>
              <w:rPr>
                <w:sz w:val="20"/>
                <w:szCs w:val="20"/>
                <w:color w:val="auto"/>
              </w:rPr>
            </w:pPr>
          </w:p>
        </w:tc>
        <w:tc>
          <w:tcPr>
            <w:tcW w:w="840" w:type="dxa"/>
            <w:vAlign w:val="bottom"/>
            <w:tcBorders>
              <w:right w:val="single" w:sz="8" w:color="1F3C7B"/>
            </w:tcBorders>
            <w:gridSpan w:val="3"/>
            <w:shd w:val="clear" w:color="auto" w:fill="1F3C7B"/>
          </w:tcPr>
          <w:p>
            <w:pPr>
              <w:jc w:val="center"/>
              <w:ind w:right="200"/>
              <w:spacing w:after="0"/>
              <w:rPr>
                <w:sz w:val="20"/>
                <w:szCs w:val="20"/>
                <w:color w:val="auto"/>
              </w:rPr>
            </w:pPr>
            <w:r>
              <w:rPr>
                <w:rFonts w:ascii="Arial" w:cs="Arial" w:eastAsia="Arial" w:hAnsi="Arial"/>
                <w:sz w:val="18"/>
                <w:szCs w:val="18"/>
                <w:b w:val="1"/>
                <w:bCs w:val="1"/>
                <w:color w:val="FFFFFF"/>
              </w:rPr>
              <w:t>Award</w:t>
            </w:r>
          </w:p>
        </w:tc>
      </w:tr>
      <w:tr>
        <w:trPr>
          <w:trHeight w:val="230"/>
        </w:trPr>
        <w:tc>
          <w:tcPr>
            <w:tcW w:w="198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600" w:type="dxa"/>
            <w:vAlign w:val="bottom"/>
            <w:tcBorders>
              <w:right w:val="single" w:sz="8" w:color="000E5B"/>
            </w:tcBorders>
            <w:shd w:val="clear" w:color="auto" w:fill="CCEEFF"/>
          </w:tcPr>
          <w:p>
            <w:pPr>
              <w:jc w:val="right"/>
              <w:ind w:right="150"/>
              <w:spacing w:after="0"/>
              <w:rPr>
                <w:sz w:val="20"/>
                <w:szCs w:val="20"/>
                <w:color w:val="auto"/>
              </w:rPr>
            </w:pPr>
            <w:r>
              <w:rPr>
                <w:rFonts w:ascii="Arial" w:cs="Arial" w:eastAsia="Arial" w:hAnsi="Arial"/>
                <w:sz w:val="18"/>
                <w:szCs w:val="18"/>
                <w:color w:val="auto"/>
              </w:rPr>
              <w:t>1/1/17-8/31/17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CEEFF"/>
          </w:tcPr>
          <w:p>
            <w:pPr>
              <w:ind w:left="80"/>
              <w:spacing w:after="0"/>
              <w:rPr>
                <w:sz w:val="20"/>
                <w:szCs w:val="20"/>
                <w:color w:val="auto"/>
              </w:rPr>
            </w:pPr>
            <w:r>
              <w:rPr>
                <w:rFonts w:ascii="Arial" w:cs="Arial" w:eastAsia="Arial" w:hAnsi="Arial"/>
                <w:sz w:val="18"/>
                <w:szCs w:val="18"/>
                <w:color w:val="auto"/>
              </w:rPr>
              <w:t>422,308</w:t>
            </w:r>
          </w:p>
        </w:tc>
        <w:tc>
          <w:tcPr>
            <w:tcW w:w="13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253,385</w:t>
            </w:r>
          </w:p>
        </w:tc>
        <w:tc>
          <w:tcPr>
            <w:tcW w:w="14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279,209</w:t>
            </w:r>
          </w:p>
        </w:tc>
        <w:tc>
          <w:tcPr>
            <w:tcW w:w="120" w:type="dxa"/>
            <w:vAlign w:val="bottom"/>
            <w:tcBorders>
              <w:right w:val="single" w:sz="8" w:color="1F3C7B"/>
            </w:tcBorders>
            <w:shd w:val="clear" w:color="auto" w:fill="CCEEFF"/>
          </w:tcPr>
          <w:p>
            <w:pPr>
              <w:spacing w:after="0"/>
              <w:rPr>
                <w:sz w:val="19"/>
                <w:szCs w:val="19"/>
                <w:color w:val="auto"/>
              </w:rPr>
            </w:pPr>
          </w:p>
        </w:tc>
      </w:tr>
      <w:tr>
        <w:trPr>
          <w:trHeight w:val="189"/>
        </w:trPr>
        <w:tc>
          <w:tcPr>
            <w:tcW w:w="1980" w:type="dxa"/>
            <w:vAlign w:val="bottom"/>
            <w:tcBorders>
              <w:left w:val="single" w:sz="8" w:color="1F3C7B"/>
              <w:right w:val="single" w:sz="8" w:color="000E5B"/>
            </w:tcBorders>
            <w:shd w:val="clear" w:color="auto" w:fill="C6C8CA"/>
          </w:tcPr>
          <w:p>
            <w:pPr>
              <w:spacing w:after="0"/>
              <w:rPr>
                <w:sz w:val="16"/>
                <w:szCs w:val="16"/>
                <w:color w:val="auto"/>
              </w:rPr>
            </w:pPr>
          </w:p>
        </w:tc>
        <w:tc>
          <w:tcPr>
            <w:tcW w:w="1600" w:type="dxa"/>
            <w:vAlign w:val="bottom"/>
            <w:tcBorders>
              <w:right w:val="single" w:sz="8" w:color="000E5B"/>
            </w:tcBorders>
            <w:shd w:val="clear" w:color="auto" w:fill="C6C8CA"/>
          </w:tcPr>
          <w:p>
            <w:pPr>
              <w:jc w:val="right"/>
              <w:ind w:right="110"/>
              <w:spacing w:after="0" w:line="189" w:lineRule="exact"/>
              <w:rPr>
                <w:sz w:val="20"/>
                <w:szCs w:val="20"/>
                <w:color w:val="auto"/>
              </w:rPr>
            </w:pPr>
            <w:r>
              <w:rPr>
                <w:rFonts w:ascii="Arial" w:cs="Arial" w:eastAsia="Arial" w:hAnsi="Arial"/>
                <w:sz w:val="18"/>
                <w:szCs w:val="18"/>
                <w:color w:val="auto"/>
              </w:rPr>
              <w:t>9/1/17-12/30/17</w:t>
            </w:r>
          </w:p>
        </w:tc>
        <w:tc>
          <w:tcPr>
            <w:tcW w:w="180" w:type="dxa"/>
            <w:vAlign w:val="bottom"/>
            <w:shd w:val="clear" w:color="auto" w:fill="C6C8CA"/>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6C8CA"/>
          </w:tcPr>
          <w:p>
            <w:pPr>
              <w:ind w:left="80"/>
              <w:spacing w:after="0" w:line="189" w:lineRule="exact"/>
              <w:rPr>
                <w:sz w:val="20"/>
                <w:szCs w:val="20"/>
                <w:color w:val="auto"/>
              </w:rPr>
            </w:pPr>
            <w:r>
              <w:rPr>
                <w:rFonts w:ascii="Arial" w:cs="Arial" w:eastAsia="Arial" w:hAnsi="Arial"/>
                <w:sz w:val="18"/>
                <w:szCs w:val="18"/>
                <w:color w:val="auto"/>
              </w:rPr>
              <w:t>278,038</w:t>
            </w:r>
          </w:p>
        </w:tc>
        <w:tc>
          <w:tcPr>
            <w:tcW w:w="1380" w:type="dxa"/>
            <w:vAlign w:val="bottom"/>
            <w:tcBorders>
              <w:right w:val="single" w:sz="8" w:color="000E5B"/>
            </w:tcBorders>
            <w:shd w:val="clear" w:color="auto" w:fill="C6C8CA"/>
          </w:tcPr>
          <w:p>
            <w:pPr>
              <w:jc w:val="right"/>
              <w:spacing w:after="0" w:line="189" w:lineRule="exact"/>
              <w:rPr>
                <w:sz w:val="20"/>
                <w:szCs w:val="20"/>
                <w:color w:val="auto"/>
              </w:rPr>
            </w:pPr>
            <w:r>
              <w:rPr>
                <w:rFonts w:ascii="Arial" w:cs="Arial" w:eastAsia="Arial" w:hAnsi="Arial"/>
                <w:sz w:val="18"/>
                <w:szCs w:val="18"/>
                <w:color w:val="auto"/>
              </w:rPr>
              <w:t>100%</w:t>
            </w:r>
          </w:p>
        </w:tc>
        <w:tc>
          <w:tcPr>
            <w:tcW w:w="200" w:type="dxa"/>
            <w:vAlign w:val="bottom"/>
            <w:shd w:val="clear" w:color="auto" w:fill="C6C8CA"/>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6C8CA"/>
          </w:tcPr>
          <w:p>
            <w:pPr>
              <w:jc w:val="right"/>
              <w:ind w:right="30"/>
              <w:spacing w:after="0" w:line="189" w:lineRule="exact"/>
              <w:rPr>
                <w:sz w:val="20"/>
                <w:szCs w:val="20"/>
                <w:color w:val="auto"/>
              </w:rPr>
            </w:pPr>
            <w:r>
              <w:rPr>
                <w:rFonts w:ascii="Arial" w:cs="Arial" w:eastAsia="Arial" w:hAnsi="Arial"/>
                <w:sz w:val="18"/>
                <w:szCs w:val="18"/>
                <w:color w:val="auto"/>
              </w:rPr>
              <w:t>278,038</w:t>
            </w:r>
          </w:p>
        </w:tc>
        <w:tc>
          <w:tcPr>
            <w:tcW w:w="1480" w:type="dxa"/>
            <w:vAlign w:val="bottom"/>
            <w:tcBorders>
              <w:right w:val="single" w:sz="8" w:color="000E5B"/>
            </w:tcBorders>
            <w:shd w:val="clear" w:color="auto" w:fill="C6C8CA"/>
          </w:tcPr>
          <w:p>
            <w:pPr>
              <w:jc w:val="right"/>
              <w:spacing w:after="0" w:line="189" w:lineRule="exact"/>
              <w:rPr>
                <w:sz w:val="20"/>
                <w:szCs w:val="20"/>
                <w:color w:val="auto"/>
              </w:rPr>
            </w:pPr>
            <w:r>
              <w:rPr>
                <w:rFonts w:ascii="Arial" w:cs="Arial" w:eastAsia="Arial" w:hAnsi="Arial"/>
                <w:sz w:val="18"/>
                <w:szCs w:val="18"/>
                <w:color w:val="auto"/>
              </w:rPr>
              <w:t>106%</w:t>
            </w:r>
          </w:p>
        </w:tc>
        <w:tc>
          <w:tcPr>
            <w:tcW w:w="200" w:type="dxa"/>
            <w:vAlign w:val="bottom"/>
            <w:gridSpan w:val="3"/>
            <w:shd w:val="clear" w:color="auto" w:fill="C6C8CA"/>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6C8CA"/>
          </w:tcPr>
          <w:p>
            <w:pPr>
              <w:jc w:val="right"/>
              <w:spacing w:after="0" w:line="189" w:lineRule="exact"/>
              <w:rPr>
                <w:sz w:val="20"/>
                <w:szCs w:val="20"/>
                <w:color w:val="auto"/>
              </w:rPr>
            </w:pPr>
            <w:r>
              <w:rPr>
                <w:rFonts w:ascii="Arial" w:cs="Arial" w:eastAsia="Arial" w:hAnsi="Arial"/>
                <w:sz w:val="18"/>
                <w:szCs w:val="18"/>
                <w:color w:val="auto"/>
              </w:rPr>
              <w:t>295,040</w:t>
            </w:r>
          </w:p>
        </w:tc>
        <w:tc>
          <w:tcPr>
            <w:tcW w:w="120" w:type="dxa"/>
            <w:vAlign w:val="bottom"/>
            <w:tcBorders>
              <w:right w:val="single" w:sz="8" w:color="1F3C7B"/>
            </w:tcBorders>
            <w:shd w:val="clear" w:color="auto" w:fill="C6C8CA"/>
          </w:tcPr>
          <w:p>
            <w:pPr>
              <w:spacing w:after="0"/>
              <w:rPr>
                <w:sz w:val="16"/>
                <w:szCs w:val="16"/>
                <w:color w:val="auto"/>
              </w:rPr>
            </w:pPr>
          </w:p>
        </w:tc>
      </w:tr>
      <w:tr>
        <w:trPr>
          <w:trHeight w:val="21"/>
        </w:trPr>
        <w:tc>
          <w:tcPr>
            <w:tcW w:w="1980" w:type="dxa"/>
            <w:vAlign w:val="bottom"/>
            <w:tcBorders>
              <w:top w:val="single" w:sz="8" w:color="C6C8CA"/>
              <w:left w:val="single" w:sz="8" w:color="1F3C7B"/>
              <w:right w:val="single" w:sz="8" w:color="000E5B"/>
            </w:tcBorders>
            <w:shd w:val="clear" w:color="auto" w:fill="C6C8CA"/>
          </w:tcPr>
          <w:p>
            <w:pPr>
              <w:spacing w:after="0" w:line="20" w:lineRule="exact"/>
              <w:rPr>
                <w:sz w:val="1"/>
                <w:szCs w:val="1"/>
                <w:color w:val="auto"/>
              </w:rPr>
            </w:pPr>
          </w:p>
        </w:tc>
        <w:tc>
          <w:tcPr>
            <w:tcW w:w="1600" w:type="dxa"/>
            <w:vAlign w:val="bottom"/>
            <w:tcBorders>
              <w:top w:val="single" w:sz="8" w:color="C6C8CA"/>
              <w:right w:val="single" w:sz="8" w:color="000E5B"/>
            </w:tcBorders>
            <w:shd w:val="clear" w:color="auto" w:fill="C6C8CA"/>
          </w:tcPr>
          <w:p>
            <w:pPr>
              <w:spacing w:after="0" w:line="20" w:lineRule="exact"/>
              <w:rPr>
                <w:sz w:val="1"/>
                <w:szCs w:val="1"/>
                <w:color w:val="auto"/>
              </w:rPr>
            </w:pPr>
          </w:p>
        </w:tc>
        <w:tc>
          <w:tcPr>
            <w:tcW w:w="180" w:type="dxa"/>
            <w:vAlign w:val="bottom"/>
            <w:tcBorders>
              <w:top w:val="single" w:sz="8" w:color="C6C8CA"/>
            </w:tcBorders>
            <w:shd w:val="clear" w:color="auto" w:fill="C6C8CA"/>
          </w:tcPr>
          <w:p>
            <w:pPr>
              <w:spacing w:after="0" w:line="20" w:lineRule="exact"/>
              <w:rPr>
                <w:sz w:val="1"/>
                <w:szCs w:val="1"/>
                <w:color w:val="auto"/>
              </w:rPr>
            </w:pPr>
          </w:p>
        </w:tc>
        <w:tc>
          <w:tcPr>
            <w:tcW w:w="860" w:type="dxa"/>
            <w:vAlign w:val="bottom"/>
            <w:tcBorders>
              <w:top w:val="single" w:sz="8" w:color="C6C8CA"/>
              <w:right w:val="single" w:sz="8" w:color="000E5B"/>
            </w:tcBorders>
            <w:shd w:val="clear" w:color="auto" w:fill="C6C8CA"/>
          </w:tcPr>
          <w:p>
            <w:pPr>
              <w:spacing w:after="0" w:line="20" w:lineRule="exact"/>
              <w:rPr>
                <w:sz w:val="1"/>
                <w:szCs w:val="1"/>
                <w:color w:val="auto"/>
              </w:rPr>
            </w:pPr>
          </w:p>
        </w:tc>
        <w:tc>
          <w:tcPr>
            <w:tcW w:w="1380" w:type="dxa"/>
            <w:vAlign w:val="bottom"/>
            <w:tcBorders>
              <w:top w:val="single" w:sz="8" w:color="C6C8CA"/>
              <w:right w:val="single" w:sz="8" w:color="000E5B"/>
            </w:tcBorders>
            <w:shd w:val="clear" w:color="auto" w:fill="C6C8CA"/>
          </w:tcPr>
          <w:p>
            <w:pPr>
              <w:spacing w:after="0" w:line="20" w:lineRule="exact"/>
              <w:rPr>
                <w:sz w:val="1"/>
                <w:szCs w:val="1"/>
                <w:color w:val="auto"/>
              </w:rPr>
            </w:pPr>
          </w:p>
        </w:tc>
        <w:tc>
          <w:tcPr>
            <w:tcW w:w="200" w:type="dxa"/>
            <w:vAlign w:val="bottom"/>
            <w:tcBorders>
              <w:top w:val="single" w:sz="8" w:color="C6C8CA"/>
            </w:tcBorders>
            <w:shd w:val="clear" w:color="auto" w:fill="C6C8CA"/>
          </w:tcPr>
          <w:p>
            <w:pPr>
              <w:spacing w:after="0" w:line="20" w:lineRule="exact"/>
              <w:rPr>
                <w:sz w:val="1"/>
                <w:szCs w:val="1"/>
                <w:color w:val="auto"/>
              </w:rPr>
            </w:pPr>
          </w:p>
        </w:tc>
        <w:tc>
          <w:tcPr>
            <w:tcW w:w="840" w:type="dxa"/>
            <w:vAlign w:val="bottom"/>
            <w:tcBorders>
              <w:top w:val="single" w:sz="8" w:color="C6C8CA"/>
              <w:right w:val="single" w:sz="8" w:color="000E5B"/>
            </w:tcBorders>
            <w:shd w:val="clear" w:color="auto" w:fill="C6C8CA"/>
          </w:tcPr>
          <w:p>
            <w:pPr>
              <w:spacing w:after="0" w:line="20" w:lineRule="exact"/>
              <w:rPr>
                <w:sz w:val="1"/>
                <w:szCs w:val="1"/>
                <w:color w:val="auto"/>
              </w:rPr>
            </w:pPr>
          </w:p>
        </w:tc>
        <w:tc>
          <w:tcPr>
            <w:tcW w:w="1480" w:type="dxa"/>
            <w:vAlign w:val="bottom"/>
            <w:tcBorders>
              <w:top w:val="single" w:sz="8" w:color="C6C8CA"/>
              <w:right w:val="single" w:sz="8" w:color="000E5B"/>
            </w:tcBorders>
            <w:shd w:val="clear" w:color="auto" w:fill="C6C8CA"/>
          </w:tcPr>
          <w:p>
            <w:pPr>
              <w:spacing w:after="0" w:line="20" w:lineRule="exact"/>
              <w:rPr>
                <w:sz w:val="1"/>
                <w:szCs w:val="1"/>
                <w:color w:val="auto"/>
              </w:rPr>
            </w:pPr>
          </w:p>
        </w:tc>
        <w:tc>
          <w:tcPr>
            <w:tcW w:w="80" w:type="dxa"/>
            <w:vAlign w:val="bottom"/>
            <w:tcBorders>
              <w:top w:val="single" w:sz="8" w:color="C6C8CA"/>
            </w:tcBorders>
            <w:shd w:val="clear" w:color="auto" w:fill="C6C8CA"/>
          </w:tcPr>
          <w:p>
            <w:pPr>
              <w:spacing w:after="0" w:line="20" w:lineRule="exact"/>
              <w:rPr>
                <w:sz w:val="1"/>
                <w:szCs w:val="1"/>
                <w:color w:val="auto"/>
              </w:rPr>
            </w:pPr>
          </w:p>
        </w:tc>
        <w:tc>
          <w:tcPr>
            <w:tcW w:w="100" w:type="dxa"/>
            <w:vAlign w:val="bottom"/>
            <w:tcBorders>
              <w:top w:val="single" w:sz="8" w:color="auto"/>
            </w:tcBorders>
            <w:shd w:val="clear" w:color="auto" w:fill="C6C8CA"/>
          </w:tcPr>
          <w:p>
            <w:pPr>
              <w:spacing w:after="0" w:line="20" w:lineRule="exact"/>
              <w:rPr>
                <w:sz w:val="1"/>
                <w:szCs w:val="1"/>
                <w:color w:val="auto"/>
              </w:rPr>
            </w:pPr>
          </w:p>
        </w:tc>
        <w:tc>
          <w:tcPr>
            <w:tcW w:w="20" w:type="dxa"/>
            <w:vAlign w:val="bottom"/>
            <w:tcBorders>
              <w:top w:val="single" w:sz="8" w:color="C6C8CA"/>
            </w:tcBorders>
            <w:shd w:val="clear" w:color="auto" w:fill="C6C8CA"/>
          </w:tcPr>
          <w:p>
            <w:pPr>
              <w:spacing w:after="0" w:line="20" w:lineRule="exact"/>
              <w:rPr>
                <w:sz w:val="1"/>
                <w:szCs w:val="1"/>
                <w:color w:val="auto"/>
              </w:rPr>
            </w:pPr>
          </w:p>
        </w:tc>
        <w:tc>
          <w:tcPr>
            <w:tcW w:w="80" w:type="dxa"/>
            <w:vAlign w:val="bottom"/>
            <w:tcBorders>
              <w:top w:val="single" w:sz="8" w:color="C6C8CA"/>
            </w:tcBorders>
            <w:shd w:val="clear" w:color="auto" w:fill="C6C8CA"/>
          </w:tcPr>
          <w:p>
            <w:pPr>
              <w:spacing w:after="0" w:line="20" w:lineRule="exact"/>
              <w:rPr>
                <w:sz w:val="1"/>
                <w:szCs w:val="1"/>
                <w:color w:val="auto"/>
              </w:rPr>
            </w:pPr>
          </w:p>
        </w:tc>
        <w:tc>
          <w:tcPr>
            <w:tcW w:w="640" w:type="dxa"/>
            <w:vAlign w:val="bottom"/>
            <w:tcBorders>
              <w:top w:val="single" w:sz="8" w:color="auto"/>
            </w:tcBorders>
            <w:shd w:val="clear" w:color="auto" w:fill="C6C8CA"/>
          </w:tcPr>
          <w:p>
            <w:pPr>
              <w:spacing w:after="0" w:line="20" w:lineRule="exact"/>
              <w:rPr>
                <w:sz w:val="1"/>
                <w:szCs w:val="1"/>
                <w:color w:val="auto"/>
              </w:rPr>
            </w:pPr>
          </w:p>
        </w:tc>
        <w:tc>
          <w:tcPr>
            <w:tcW w:w="120" w:type="dxa"/>
            <w:vAlign w:val="bottom"/>
            <w:tcBorders>
              <w:top w:val="single" w:sz="8" w:color="C6C8CA"/>
              <w:right w:val="single" w:sz="8" w:color="1F3C7B"/>
            </w:tcBorders>
            <w:shd w:val="clear" w:color="auto" w:fill="C6C8CA"/>
          </w:tcPr>
          <w:p>
            <w:pPr>
              <w:spacing w:after="0" w:line="20" w:lineRule="exact"/>
              <w:rPr>
                <w:sz w:val="1"/>
                <w:szCs w:val="1"/>
                <w:color w:val="auto"/>
              </w:rPr>
            </w:pPr>
          </w:p>
        </w:tc>
      </w:tr>
      <w:tr>
        <w:trPr>
          <w:trHeight w:val="230"/>
        </w:trPr>
        <w:tc>
          <w:tcPr>
            <w:tcW w:w="1980" w:type="dxa"/>
            <w:vAlign w:val="bottom"/>
            <w:tcBorders>
              <w:left w:val="single" w:sz="8" w:color="1F3C7B"/>
              <w:right w:val="single" w:sz="8" w:color="000E5B"/>
            </w:tcBorders>
            <w:shd w:val="clear" w:color="auto" w:fill="CCEEFF"/>
          </w:tcPr>
          <w:p>
            <w:pPr>
              <w:spacing w:after="0"/>
              <w:rPr>
                <w:sz w:val="19"/>
                <w:szCs w:val="19"/>
                <w:color w:val="auto"/>
              </w:rPr>
            </w:pPr>
          </w:p>
        </w:tc>
        <w:tc>
          <w:tcPr>
            <w:tcW w:w="1600" w:type="dxa"/>
            <w:vAlign w:val="bottom"/>
            <w:tcBorders>
              <w:right w:val="single" w:sz="8" w:color="000E5B"/>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right w:val="single" w:sz="8" w:color="000E5B"/>
            </w:tcBorders>
            <w:shd w:val="clear" w:color="auto" w:fill="CCEEFF"/>
          </w:tcPr>
          <w:p>
            <w:pPr>
              <w:spacing w:after="0"/>
              <w:rPr>
                <w:sz w:val="19"/>
                <w:szCs w:val="19"/>
                <w:color w:val="auto"/>
              </w:rPr>
            </w:pPr>
          </w:p>
        </w:tc>
        <w:tc>
          <w:tcPr>
            <w:tcW w:w="1380" w:type="dxa"/>
            <w:vAlign w:val="bottom"/>
            <w:tcBorders>
              <w:right w:val="single" w:sz="8" w:color="000E5B"/>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000E5B"/>
            </w:tcBorders>
            <w:shd w:val="clear" w:color="auto" w:fill="CCEEFF"/>
          </w:tcPr>
          <w:p>
            <w:pPr>
              <w:spacing w:after="0"/>
              <w:rPr>
                <w:sz w:val="19"/>
                <w:szCs w:val="19"/>
                <w:color w:val="auto"/>
              </w:rPr>
            </w:pPr>
          </w:p>
        </w:tc>
        <w:tc>
          <w:tcPr>
            <w:tcW w:w="1480" w:type="dxa"/>
            <w:vAlign w:val="bottom"/>
            <w:tcBorders>
              <w:right w:val="single" w:sz="8" w:color="000E5B"/>
            </w:tcBorders>
            <w:shd w:val="clear" w:color="auto" w:fill="CCEEFF"/>
          </w:tcPr>
          <w:p>
            <w:pPr>
              <w:spacing w:after="0"/>
              <w:rPr>
                <w:sz w:val="19"/>
                <w:szCs w:val="19"/>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574,249</w:t>
            </w:r>
          </w:p>
        </w:tc>
        <w:tc>
          <w:tcPr>
            <w:tcW w:w="120" w:type="dxa"/>
            <w:vAlign w:val="bottom"/>
            <w:tcBorders>
              <w:right w:val="single" w:sz="8" w:color="1F3C7B"/>
            </w:tcBorders>
            <w:shd w:val="clear" w:color="auto" w:fill="CCEEFF"/>
          </w:tcPr>
          <w:p>
            <w:pPr>
              <w:spacing w:after="0"/>
              <w:rPr>
                <w:sz w:val="19"/>
                <w:szCs w:val="19"/>
                <w:color w:val="auto"/>
              </w:rPr>
            </w:pPr>
          </w:p>
        </w:tc>
      </w:tr>
      <w:tr>
        <w:trPr>
          <w:trHeight w:val="230"/>
        </w:trPr>
        <w:tc>
          <w:tcPr>
            <w:tcW w:w="198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Patrick R. Moore</w:t>
            </w:r>
          </w:p>
        </w:tc>
        <w:tc>
          <w:tcPr>
            <w:tcW w:w="1600" w:type="dxa"/>
            <w:vAlign w:val="bottom"/>
            <w:tcBorders>
              <w:right w:val="single" w:sz="8" w:color="000E5B"/>
            </w:tcBorders>
            <w:shd w:val="clear" w:color="auto" w:fill="C6C8CA"/>
          </w:tcPr>
          <w:p>
            <w:pPr>
              <w:spacing w:after="0"/>
              <w:rPr>
                <w:sz w:val="19"/>
                <w:szCs w:val="19"/>
                <w:color w:val="auto"/>
              </w:rPr>
            </w:pPr>
          </w:p>
        </w:tc>
        <w:tc>
          <w:tcPr>
            <w:tcW w:w="180" w:type="dxa"/>
            <w:vAlign w:val="bottom"/>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6C8CA"/>
          </w:tcPr>
          <w:p>
            <w:pPr>
              <w:ind w:left="80"/>
              <w:spacing w:after="0"/>
              <w:rPr>
                <w:sz w:val="20"/>
                <w:szCs w:val="20"/>
                <w:color w:val="auto"/>
              </w:rPr>
            </w:pPr>
            <w:r>
              <w:rPr>
                <w:rFonts w:ascii="Arial" w:cs="Arial" w:eastAsia="Arial" w:hAnsi="Arial"/>
                <w:sz w:val="18"/>
                <w:szCs w:val="18"/>
                <w:color w:val="auto"/>
              </w:rPr>
              <w:t>400,000</w:t>
            </w:r>
          </w:p>
        </w:tc>
        <w:tc>
          <w:tcPr>
            <w:tcW w:w="13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200,000</w:t>
            </w:r>
          </w:p>
        </w:tc>
        <w:tc>
          <w:tcPr>
            <w:tcW w:w="14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111%</w:t>
            </w:r>
          </w:p>
        </w:tc>
        <w:tc>
          <w:tcPr>
            <w:tcW w:w="200" w:type="dxa"/>
            <w:vAlign w:val="bottom"/>
            <w:gridSpan w:val="3"/>
            <w:shd w:val="clear" w:color="auto" w:fill="C6C8CA"/>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6C8CA"/>
          </w:tcPr>
          <w:p>
            <w:pPr>
              <w:jc w:val="right"/>
              <w:spacing w:after="0"/>
              <w:rPr>
                <w:sz w:val="20"/>
                <w:szCs w:val="20"/>
                <w:color w:val="auto"/>
              </w:rPr>
            </w:pPr>
            <w:r>
              <w:rPr>
                <w:rFonts w:ascii="Arial" w:cs="Arial" w:eastAsia="Arial" w:hAnsi="Arial"/>
                <w:sz w:val="18"/>
                <w:szCs w:val="18"/>
                <w:color w:val="auto"/>
              </w:rPr>
              <w:t>221,403</w:t>
            </w:r>
          </w:p>
        </w:tc>
        <w:tc>
          <w:tcPr>
            <w:tcW w:w="120" w:type="dxa"/>
            <w:vAlign w:val="bottom"/>
            <w:tcBorders>
              <w:right w:val="single" w:sz="8" w:color="1F3C7B"/>
            </w:tcBorders>
            <w:shd w:val="clear" w:color="auto" w:fill="C6C8CA"/>
          </w:tcPr>
          <w:p>
            <w:pPr>
              <w:spacing w:after="0"/>
              <w:rPr>
                <w:sz w:val="19"/>
                <w:szCs w:val="19"/>
                <w:color w:val="auto"/>
              </w:rPr>
            </w:pPr>
          </w:p>
        </w:tc>
      </w:tr>
      <w:tr>
        <w:trPr>
          <w:trHeight w:val="230"/>
        </w:trPr>
        <w:tc>
          <w:tcPr>
            <w:tcW w:w="198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600" w:type="dxa"/>
            <w:vAlign w:val="bottom"/>
            <w:tcBorders>
              <w:right w:val="single" w:sz="8" w:color="000E5B"/>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CEEFF"/>
          </w:tcPr>
          <w:p>
            <w:pPr>
              <w:ind w:left="80"/>
              <w:spacing w:after="0"/>
              <w:rPr>
                <w:sz w:val="20"/>
                <w:szCs w:val="20"/>
                <w:color w:val="auto"/>
              </w:rPr>
            </w:pPr>
            <w:r>
              <w:rPr>
                <w:rFonts w:ascii="Arial" w:cs="Arial" w:eastAsia="Arial" w:hAnsi="Arial"/>
                <w:sz w:val="18"/>
                <w:szCs w:val="18"/>
                <w:color w:val="auto"/>
              </w:rPr>
              <w:t>227,164</w:t>
            </w:r>
          </w:p>
        </w:tc>
        <w:tc>
          <w:tcPr>
            <w:tcW w:w="13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136,298</w:t>
            </w:r>
          </w:p>
        </w:tc>
        <w:tc>
          <w:tcPr>
            <w:tcW w:w="14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150,189</w:t>
            </w:r>
          </w:p>
        </w:tc>
        <w:tc>
          <w:tcPr>
            <w:tcW w:w="120" w:type="dxa"/>
            <w:vAlign w:val="bottom"/>
            <w:tcBorders>
              <w:right w:val="single" w:sz="8" w:color="1F3C7B"/>
            </w:tcBorders>
            <w:shd w:val="clear" w:color="auto" w:fill="CCEEFF"/>
          </w:tcPr>
          <w:p>
            <w:pPr>
              <w:spacing w:after="0"/>
              <w:rPr>
                <w:sz w:val="19"/>
                <w:szCs w:val="19"/>
                <w:color w:val="auto"/>
              </w:rPr>
            </w:pPr>
          </w:p>
        </w:tc>
      </w:tr>
      <w:tr>
        <w:trPr>
          <w:trHeight w:val="230"/>
        </w:trPr>
        <w:tc>
          <w:tcPr>
            <w:tcW w:w="198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Mitchell Goodman</w:t>
            </w:r>
          </w:p>
        </w:tc>
        <w:tc>
          <w:tcPr>
            <w:tcW w:w="1600" w:type="dxa"/>
            <w:vAlign w:val="bottom"/>
            <w:tcBorders>
              <w:right w:val="single" w:sz="8" w:color="000E5B"/>
            </w:tcBorders>
            <w:shd w:val="clear" w:color="auto" w:fill="C6C8CA"/>
          </w:tcPr>
          <w:p>
            <w:pPr>
              <w:spacing w:after="0"/>
              <w:rPr>
                <w:sz w:val="19"/>
                <w:szCs w:val="19"/>
                <w:color w:val="auto"/>
              </w:rPr>
            </w:pPr>
          </w:p>
        </w:tc>
        <w:tc>
          <w:tcPr>
            <w:tcW w:w="180" w:type="dxa"/>
            <w:vAlign w:val="bottom"/>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6C8CA"/>
          </w:tcPr>
          <w:p>
            <w:pPr>
              <w:ind w:left="80"/>
              <w:spacing w:after="0"/>
              <w:rPr>
                <w:sz w:val="20"/>
                <w:szCs w:val="20"/>
                <w:color w:val="auto"/>
              </w:rPr>
            </w:pPr>
            <w:r>
              <w:rPr>
                <w:rFonts w:ascii="Arial" w:cs="Arial" w:eastAsia="Arial" w:hAnsi="Arial"/>
                <w:sz w:val="18"/>
                <w:szCs w:val="18"/>
                <w:color w:val="auto"/>
              </w:rPr>
              <w:t>344,615</w:t>
            </w:r>
          </w:p>
        </w:tc>
        <w:tc>
          <w:tcPr>
            <w:tcW w:w="13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172,308</w:t>
            </w:r>
          </w:p>
        </w:tc>
        <w:tc>
          <w:tcPr>
            <w:tcW w:w="1480" w:type="dxa"/>
            <w:vAlign w:val="bottom"/>
            <w:tcBorders>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111%</w:t>
            </w:r>
          </w:p>
        </w:tc>
        <w:tc>
          <w:tcPr>
            <w:tcW w:w="200" w:type="dxa"/>
            <w:vAlign w:val="bottom"/>
            <w:gridSpan w:val="3"/>
            <w:shd w:val="clear" w:color="auto" w:fill="C6C8CA"/>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6C8CA"/>
          </w:tcPr>
          <w:p>
            <w:pPr>
              <w:jc w:val="right"/>
              <w:spacing w:after="0"/>
              <w:rPr>
                <w:sz w:val="20"/>
                <w:szCs w:val="20"/>
                <w:color w:val="auto"/>
              </w:rPr>
            </w:pPr>
            <w:r>
              <w:rPr>
                <w:rFonts w:ascii="Arial" w:cs="Arial" w:eastAsia="Arial" w:hAnsi="Arial"/>
                <w:sz w:val="18"/>
                <w:szCs w:val="18"/>
                <w:color w:val="auto"/>
              </w:rPr>
              <w:t>190,747</w:t>
            </w:r>
          </w:p>
        </w:tc>
        <w:tc>
          <w:tcPr>
            <w:tcW w:w="120" w:type="dxa"/>
            <w:vAlign w:val="bottom"/>
            <w:tcBorders>
              <w:right w:val="single" w:sz="8" w:color="1F3C7B"/>
            </w:tcBorders>
            <w:shd w:val="clear" w:color="auto" w:fill="C6C8CA"/>
          </w:tcPr>
          <w:p>
            <w:pPr>
              <w:spacing w:after="0"/>
              <w:rPr>
                <w:sz w:val="19"/>
                <w:szCs w:val="19"/>
                <w:color w:val="auto"/>
              </w:rPr>
            </w:pPr>
          </w:p>
        </w:tc>
      </w:tr>
      <w:tr>
        <w:trPr>
          <w:trHeight w:val="230"/>
        </w:trPr>
        <w:tc>
          <w:tcPr>
            <w:tcW w:w="198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600" w:type="dxa"/>
            <w:vAlign w:val="bottom"/>
            <w:tcBorders>
              <w:right w:val="single" w:sz="8" w:color="000E5B"/>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000E5B"/>
            </w:tcBorders>
            <w:shd w:val="clear" w:color="auto" w:fill="CCEEFF"/>
          </w:tcPr>
          <w:p>
            <w:pPr>
              <w:ind w:left="80"/>
              <w:spacing w:after="0"/>
              <w:rPr>
                <w:sz w:val="20"/>
                <w:szCs w:val="20"/>
                <w:color w:val="auto"/>
              </w:rPr>
            </w:pPr>
            <w:r>
              <w:rPr>
                <w:rFonts w:ascii="Arial" w:cs="Arial" w:eastAsia="Arial" w:hAnsi="Arial"/>
                <w:sz w:val="18"/>
                <w:szCs w:val="18"/>
                <w:color w:val="auto"/>
              </w:rPr>
              <w:t>285,846</w:t>
            </w:r>
          </w:p>
        </w:tc>
        <w:tc>
          <w:tcPr>
            <w:tcW w:w="13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92,900</w:t>
            </w:r>
          </w:p>
        </w:tc>
        <w:tc>
          <w:tcPr>
            <w:tcW w:w="1480" w:type="dxa"/>
            <w:vAlign w:val="bottom"/>
            <w:tcBorders>
              <w:right w:val="single" w:sz="8" w:color="000E5B"/>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106,009</w:t>
            </w:r>
          </w:p>
        </w:tc>
        <w:tc>
          <w:tcPr>
            <w:tcW w:w="120" w:type="dxa"/>
            <w:vAlign w:val="bottom"/>
            <w:tcBorders>
              <w:right w:val="single" w:sz="8" w:color="1F3C7B"/>
            </w:tcBorders>
            <w:shd w:val="clear" w:color="auto" w:fill="CCEEFF"/>
          </w:tcPr>
          <w:p>
            <w:pPr>
              <w:spacing w:after="0"/>
              <w:rPr>
                <w:sz w:val="19"/>
                <w:szCs w:val="19"/>
                <w:color w:val="auto"/>
              </w:rPr>
            </w:pPr>
          </w:p>
        </w:tc>
      </w:tr>
      <w:tr>
        <w:trPr>
          <w:trHeight w:val="230"/>
        </w:trPr>
        <w:tc>
          <w:tcPr>
            <w:tcW w:w="1980" w:type="dxa"/>
            <w:vAlign w:val="bottom"/>
            <w:tcBorders>
              <w:left w:val="single" w:sz="8" w:color="1F3C7B"/>
              <w:bottom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J. Bruce Steffey</w:t>
            </w:r>
          </w:p>
        </w:tc>
        <w:tc>
          <w:tcPr>
            <w:tcW w:w="1600" w:type="dxa"/>
            <w:vAlign w:val="bottom"/>
            <w:tcBorders>
              <w:bottom w:val="single" w:sz="8" w:color="1F3C7B"/>
              <w:right w:val="single" w:sz="8" w:color="000E5B"/>
            </w:tcBorders>
            <w:shd w:val="clear" w:color="auto" w:fill="C6C8CA"/>
          </w:tcPr>
          <w:p>
            <w:pPr>
              <w:spacing w:after="0"/>
              <w:rPr>
                <w:sz w:val="19"/>
                <w:szCs w:val="19"/>
                <w:color w:val="auto"/>
              </w:rPr>
            </w:pPr>
          </w:p>
        </w:tc>
        <w:tc>
          <w:tcPr>
            <w:tcW w:w="180" w:type="dxa"/>
            <w:vAlign w:val="bottom"/>
            <w:tcBorders>
              <w:bottom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1F3C7B"/>
              <w:right w:val="single" w:sz="8" w:color="000E5B"/>
            </w:tcBorders>
            <w:shd w:val="clear" w:color="auto" w:fill="C6C8CA"/>
          </w:tcPr>
          <w:p>
            <w:pPr>
              <w:ind w:left="80"/>
              <w:spacing w:after="0"/>
              <w:rPr>
                <w:sz w:val="20"/>
                <w:szCs w:val="20"/>
                <w:color w:val="auto"/>
              </w:rPr>
            </w:pPr>
            <w:r>
              <w:rPr>
                <w:rFonts w:ascii="Arial" w:cs="Arial" w:eastAsia="Arial" w:hAnsi="Arial"/>
                <w:sz w:val="18"/>
                <w:szCs w:val="18"/>
                <w:color w:val="auto"/>
              </w:rPr>
              <w:t>504,442</w:t>
            </w:r>
          </w:p>
        </w:tc>
        <w:tc>
          <w:tcPr>
            <w:tcW w:w="1380" w:type="dxa"/>
            <w:vAlign w:val="bottom"/>
            <w:tcBorders>
              <w:bottom w:val="single" w:sz="8" w:color="1F3C7B"/>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1F3C7B"/>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302,665</w:t>
            </w:r>
          </w:p>
        </w:tc>
        <w:tc>
          <w:tcPr>
            <w:tcW w:w="1480" w:type="dxa"/>
            <w:vAlign w:val="bottom"/>
            <w:tcBorders>
              <w:bottom w:val="single" w:sz="8" w:color="1F3C7B"/>
              <w:right w:val="single" w:sz="8" w:color="000E5B"/>
            </w:tcBorders>
            <w:shd w:val="clear" w:color="auto" w:fill="C6C8CA"/>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1F3C7B"/>
            </w:tcBorders>
            <w:gridSpan w:val="3"/>
            <w:shd w:val="clear" w:color="auto" w:fill="C6C8CA"/>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1F3C7B"/>
            </w:tcBorders>
            <w:gridSpan w:val="2"/>
            <w:shd w:val="clear" w:color="auto" w:fill="C6C8CA"/>
          </w:tcPr>
          <w:p>
            <w:pPr>
              <w:jc w:val="right"/>
              <w:spacing w:after="0"/>
              <w:rPr>
                <w:sz w:val="20"/>
                <w:szCs w:val="20"/>
                <w:color w:val="auto"/>
              </w:rPr>
            </w:pPr>
            <w:r>
              <w:rPr>
                <w:rFonts w:ascii="Arial" w:cs="Arial" w:eastAsia="Arial" w:hAnsi="Arial"/>
                <w:sz w:val="18"/>
                <w:szCs w:val="18"/>
                <w:color w:val="auto"/>
              </w:rPr>
              <w:t>333,512</w:t>
            </w:r>
          </w:p>
        </w:tc>
        <w:tc>
          <w:tcPr>
            <w:tcW w:w="120" w:type="dxa"/>
            <w:vAlign w:val="bottom"/>
            <w:tcBorders>
              <w:bottom w:val="single" w:sz="8" w:color="1F3C7B"/>
              <w:right w:val="single" w:sz="8" w:color="1F3C7B"/>
            </w:tcBorders>
            <w:shd w:val="clear" w:color="auto" w:fill="C6C8C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-1174115</wp:posOffset>
            </wp:positionV>
            <wp:extent cx="606298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-882650</wp:posOffset>
            </wp:positionV>
            <wp:extent cx="60629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-591185</wp:posOffset>
            </wp:positionV>
            <wp:extent cx="606298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-299720</wp:posOffset>
            </wp:positionV>
            <wp:extent cx="606298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Incentive Plan”). The purpose of our 2017 Omnibus Incentive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0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2014, our Board of Directors and stockholders of the Company approved the 2014 Stock Incentive Plan for Key Employees of Nautilus Parent, Inc. and its Subsidiaries (the “2014 Stock Incentive Plan,” and together with the 2017 Omnibus Incentive Plan, the “Equity Incentive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2017, only stock options have been granted to any of the NEOs under our Equity Incentive Plans.</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Pre-IPO Stock Option Grants. </w:t>
      </w:r>
      <w:r>
        <w:rPr>
          <w:rFonts w:ascii="Arial" w:cs="Arial" w:eastAsia="Arial" w:hAnsi="Arial"/>
          <w:sz w:val="18"/>
          <w:szCs w:val="18"/>
          <w:color w:val="auto"/>
        </w:rPr>
        <w:t>Each of our NEOs, except Mr. McAllister, received option grants in fiscal year 2014,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as the “2014 Options.” On August 14, 2017, in connection with being hired by us, our Board of Directors granted Mr. McAllister an option to purchase 362,317 shares of our common stock pursuant to our 2014 Stock Incentive Plan, with an exercise price of $15.74 per share (the “McAllister 2017 Options,” and together with the 2014 Options, the “Pre-IPO Options”). The Pre-IPO Options consist of 40% time-based and 60% performance-based options. For additional information regarding stock options, see “Narrative to Summary Compensation Table and 2017 Grants of Plan-Based Awards-Equity Awards” below.</w:t>
      </w:r>
    </w:p>
    <w:p>
      <w:pPr>
        <w:spacing w:after="0" w:line="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Post-IPO Stock Option Grants. </w:t>
      </w:r>
      <w:r>
        <w:rPr>
          <w:rFonts w:ascii="Arial" w:cs="Arial" w:eastAsia="Arial" w:hAnsi="Arial"/>
          <w:sz w:val="18"/>
          <w:szCs w:val="18"/>
          <w:color w:val="auto"/>
        </w:rPr>
        <w:t>In connection with our IPO, on October 25, 2017, our Board of Directors granted Mr.</w:t>
      </w:r>
      <w:r>
        <w:rPr>
          <w:rFonts w:ascii="Arial" w:cs="Arial" w:eastAsia="Arial" w:hAnsi="Arial"/>
          <w:sz w:val="18"/>
          <w:szCs w:val="18"/>
          <w:i w:val="1"/>
          <w:iCs w:val="1"/>
          <w:color w:val="auto"/>
        </w:rPr>
        <w:t xml:space="preserve"> </w:t>
      </w:r>
      <w:r>
        <w:rPr>
          <w:rFonts w:ascii="Arial" w:cs="Arial" w:eastAsia="Arial" w:hAnsi="Arial"/>
          <w:sz w:val="18"/>
          <w:szCs w:val="18"/>
          <w:color w:val="auto"/>
        </w:rPr>
        <w:t>Moore a time-based option to purchase 92,443 shares of our common stock pursuant to our 2017 Omnibus Incentive Plan, with an exercise price of $22.00 per share (the “2017 Post-IPO Options”). For additional information regarding stock options, see “Narrative to Summary Compensation Table and 2017 Grants of Plan-Based Awards-Equity Awards” below.</w:t>
      </w:r>
    </w:p>
    <w:p>
      <w:pPr>
        <w:spacing w:after="0" w:line="7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Exercise Price Adjustment of Stock Options. </w:t>
      </w:r>
      <w:r>
        <w:rPr>
          <w:rFonts w:ascii="Arial" w:cs="Arial" w:eastAsia="Arial" w:hAnsi="Arial"/>
          <w:sz w:val="18"/>
          <w:szCs w:val="18"/>
          <w:color w:val="auto"/>
        </w:rPr>
        <w:t>As provided under the 2014 Stock Incentive Plan and related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exercise price of options is subject to reduction to reflect cash dividends paid after the grant date. In connection with extraordinary dividends paid in June 2015 and February 2017, the exercise prices of the options granted to our NEOs prior to such dates were reduced. In February 2017, our Board of Directors approved a cash dividend payable to holders of our common stock, which we refer to as the “2017 Dividend,” of $2.977 per share, which we refer to as the “2017 Dividend Amount.” To equitably reflect the impact of the 2017 Dividend on the holders of outstanding options, our Board of Directors approved cash payments to be made with respect to rollover options (as described below) and vested options and approved reductions of the exercise price for unvested options. Specifically, holders of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97790</wp:posOffset>
            </wp:positionV>
            <wp:extent cx="20574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options and rollover options received a one-time cash payment equal to the number of vested options and/or rollover options held by such holder, as applicable, multiplied by an amount equal to the 2017 Dividend Amount, less any applicable withholding taxes. The per share exercise prices of unvested options were reduced to $4.27, to the extent the per share exercise price could be reduced under applicable tax rules.</w:t>
      </w:r>
    </w:p>
    <w:p>
      <w:pPr>
        <w:spacing w:after="0" w:line="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Payments for Pre-Acquisition Options and Rollover Options</w:t>
      </w:r>
      <w:r>
        <w:rPr>
          <w:rFonts w:ascii="Arial" w:cs="Arial" w:eastAsia="Arial" w:hAnsi="Arial"/>
          <w:sz w:val="18"/>
          <w:szCs w:val="18"/>
          <w:color w:val="auto"/>
        </w:rPr>
        <w:t>. Certain outstanding options to acquire stock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prior to our acquisition by affiliates of KKR Sponsor in 2014,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 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$2.42 per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2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as of December 30, 2017, Messrs. Fahs, Moore and Goodman participate in the Executive Supplement to the Severance Plan.</w:t>
      </w:r>
    </w:p>
    <w:p>
      <w:pPr>
        <w:spacing w:after="0" w:line="9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See “Potential Payments upon Termination or Change in Control,” which describes the payments to which each of the NEOs may be entitled under the Severance Plan and the Executive Supplement.</w:t>
      </w:r>
    </w:p>
    <w:p>
      <w:pPr>
        <w:spacing w:after="0" w:line="115"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205740" cy="1543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96"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Currently, but subject to final rules with respect to the new tax legislation, we are able to claim the benefit of a special exemption rule that applies to compensation paid (or compensation in respect of equity awards such as stock options or restricted stock granted) during a specified transition period under Section 162(m) for corporations that become publicly traded.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as a result of the elimination of the performance-based compensation exemption, as described above, we would not expect that the compensation committee will take the deductibility limitations of Section 162(m) into account in its compensation decisions.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the Form 10-K for the fiscal year ended December 30, 2017.</w:t>
      </w:r>
    </w:p>
    <w:p>
      <w:pPr>
        <w:spacing w:after="0" w:line="3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Compensation Committee</w:t>
      </w:r>
    </w:p>
    <w:p>
      <w:pPr>
        <w:spacing w:after="0" w:line="2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Nathaniel H. Taylor, Chair</w:t>
      </w:r>
    </w:p>
    <w:p>
      <w:pPr>
        <w:ind w:left="4780"/>
        <w:spacing w:after="0"/>
        <w:rPr>
          <w:sz w:val="20"/>
          <w:szCs w:val="20"/>
          <w:color w:val="auto"/>
        </w:rPr>
      </w:pPr>
      <w:r>
        <w:rPr>
          <w:rFonts w:ascii="Arial" w:cs="Arial" w:eastAsia="Arial" w:hAnsi="Arial"/>
          <w:sz w:val="18"/>
          <w:szCs w:val="18"/>
          <w:color w:val="auto"/>
        </w:rPr>
        <w:t>Felix Gernburd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109220</wp:posOffset>
            </wp:positionV>
            <wp:extent cx="20574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30" w:name="page31"/>
    <w:bookmarkEnd w:id="3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Tables</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26" w:lineRule="exact"/>
        <w:rPr>
          <w:sz w:val="20"/>
          <w:szCs w:val="20"/>
          <w:color w:val="auto"/>
        </w:rPr>
      </w:pPr>
    </w:p>
    <w:p>
      <w:pPr>
        <w:ind w:left="7" w:right="240"/>
        <w:spacing w:after="0" w:line="262"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 ended December 30, 2017.</w:t>
      </w:r>
    </w:p>
    <w:p>
      <w:pPr>
        <w:spacing w:after="0" w:line="26" w:lineRule="exact"/>
        <w:rPr>
          <w:sz w:val="20"/>
          <w:szCs w:val="20"/>
          <w:color w:val="auto"/>
        </w:rPr>
      </w:pPr>
    </w:p>
    <w:tbl>
      <w:tblPr>
        <w:tblLayout w:type="fixed"/>
        <w:tblInd w:w="17" w:type="dxa"/>
        <w:tblCellMar>
          <w:top w:w="0" w:type="dxa"/>
          <w:left w:w="0" w:type="dxa"/>
          <w:bottom w:w="0" w:type="dxa"/>
          <w:right w:w="0" w:type="dxa"/>
        </w:tblCellMar>
      </w:tblPr>
      <w:tr>
        <w:trPr>
          <w:trHeight w:val="149"/>
        </w:trPr>
        <w:tc>
          <w:tcPr>
            <w:tcW w:w="1960" w:type="dxa"/>
            <w:vAlign w:val="bottom"/>
            <w:tcBorders>
              <w:left w:val="single" w:sz="8" w:color="1F3C7B"/>
              <w:right w:val="single" w:sz="8" w:color="000E5B"/>
            </w:tcBorders>
            <w:shd w:val="clear" w:color="auto" w:fill="1F3C7B"/>
          </w:tcPr>
          <w:p>
            <w:pPr>
              <w:spacing w:after="0"/>
              <w:rPr>
                <w:sz w:val="13"/>
                <w:szCs w:val="13"/>
                <w:color w:val="auto"/>
              </w:rPr>
            </w:pPr>
          </w:p>
        </w:tc>
        <w:tc>
          <w:tcPr>
            <w:tcW w:w="560" w:type="dxa"/>
            <w:vAlign w:val="bottom"/>
            <w:tcBorders>
              <w:right w:val="single" w:sz="8" w:color="000E5B"/>
            </w:tcBorders>
            <w:shd w:val="clear" w:color="auto" w:fill="1F3C7B"/>
          </w:tcPr>
          <w:p>
            <w:pPr>
              <w:spacing w:after="0"/>
              <w:rPr>
                <w:sz w:val="13"/>
                <w:szCs w:val="13"/>
                <w:color w:val="auto"/>
              </w:rPr>
            </w:pPr>
          </w:p>
        </w:tc>
        <w:tc>
          <w:tcPr>
            <w:tcW w:w="740" w:type="dxa"/>
            <w:vAlign w:val="bottom"/>
            <w:tcBorders>
              <w:right w:val="single" w:sz="8" w:color="000E5B"/>
            </w:tcBorders>
            <w:shd w:val="clear" w:color="auto" w:fill="1F3C7B"/>
          </w:tcPr>
          <w:p>
            <w:pPr>
              <w:spacing w:after="0"/>
              <w:rPr>
                <w:sz w:val="13"/>
                <w:szCs w:val="13"/>
                <w:color w:val="auto"/>
              </w:rPr>
            </w:pPr>
          </w:p>
        </w:tc>
        <w:tc>
          <w:tcPr>
            <w:tcW w:w="560" w:type="dxa"/>
            <w:vAlign w:val="bottom"/>
            <w:tcBorders>
              <w:right w:val="single" w:sz="8" w:color="000E5B"/>
            </w:tcBorders>
            <w:shd w:val="clear" w:color="auto" w:fill="1F3C7B"/>
          </w:tcPr>
          <w:p>
            <w:pPr>
              <w:spacing w:after="0"/>
              <w:rPr>
                <w:sz w:val="13"/>
                <w:szCs w:val="13"/>
                <w:color w:val="auto"/>
              </w:rPr>
            </w:pPr>
          </w:p>
        </w:tc>
        <w:tc>
          <w:tcPr>
            <w:tcW w:w="68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spacing w:after="0"/>
              <w:rPr>
                <w:sz w:val="13"/>
                <w:szCs w:val="13"/>
                <w:color w:val="auto"/>
              </w:rPr>
            </w:pPr>
          </w:p>
        </w:tc>
        <w:tc>
          <w:tcPr>
            <w:tcW w:w="1040" w:type="dxa"/>
            <w:vAlign w:val="bottom"/>
            <w:tcBorders>
              <w:right w:val="single" w:sz="8" w:color="000E5B"/>
            </w:tcBorders>
            <w:shd w:val="clear" w:color="auto" w:fill="1F3C7B"/>
          </w:tcPr>
          <w:p>
            <w:pPr>
              <w:spacing w:after="0"/>
              <w:rPr>
                <w:sz w:val="13"/>
                <w:szCs w:val="13"/>
                <w:color w:val="auto"/>
              </w:rPr>
            </w:pPr>
          </w:p>
        </w:tc>
        <w:tc>
          <w:tcPr>
            <w:tcW w:w="11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122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1F3C7B"/>
            </w:tcBorders>
            <w:shd w:val="clear" w:color="auto" w:fill="1F3C7B"/>
          </w:tcPr>
          <w:p>
            <w:pPr>
              <w:spacing w:after="0"/>
              <w:rPr>
                <w:sz w:val="13"/>
                <w:szCs w:val="13"/>
                <w:color w:val="auto"/>
              </w:rPr>
            </w:pPr>
          </w:p>
        </w:tc>
      </w:tr>
      <w:tr>
        <w:trPr>
          <w:trHeight w:val="135"/>
        </w:trPr>
        <w:tc>
          <w:tcPr>
            <w:tcW w:w="1960" w:type="dxa"/>
            <w:vAlign w:val="bottom"/>
            <w:tcBorders>
              <w:left w:val="single" w:sz="8" w:color="1F3C7B"/>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68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1040" w:type="dxa"/>
            <w:vAlign w:val="bottom"/>
            <w:tcBorders>
              <w:right w:val="single" w:sz="8" w:color="000E5B"/>
            </w:tcBorders>
            <w:shd w:val="clear" w:color="auto" w:fill="1F3C7B"/>
          </w:tcPr>
          <w:p>
            <w:pPr>
              <w:spacing w:after="0"/>
              <w:rPr>
                <w:sz w:val="11"/>
                <w:szCs w:val="11"/>
                <w:color w:val="auto"/>
              </w:rPr>
            </w:pP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4"/>
              </w:rPr>
              <w:t>Pension Value</w:t>
            </w:r>
          </w:p>
        </w:tc>
        <w:tc>
          <w:tcPr>
            <w:tcW w:w="122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r>
      <w:tr>
        <w:trPr>
          <w:trHeight w:val="135"/>
        </w:trPr>
        <w:tc>
          <w:tcPr>
            <w:tcW w:w="1960" w:type="dxa"/>
            <w:vAlign w:val="bottom"/>
            <w:tcBorders>
              <w:left w:val="single" w:sz="8" w:color="1F3C7B"/>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68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1040" w:type="dxa"/>
            <w:vAlign w:val="bottom"/>
            <w:tcBorders>
              <w:right w:val="single" w:sz="8" w:color="000E5B"/>
            </w:tcBorders>
            <w:shd w:val="clear" w:color="auto" w:fill="1F3C7B"/>
          </w:tcPr>
          <w:p>
            <w:pPr>
              <w:spacing w:after="0"/>
              <w:rPr>
                <w:sz w:val="11"/>
                <w:szCs w:val="11"/>
                <w:color w:val="auto"/>
              </w:rPr>
            </w:pP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rPr>
              <w:t>and</w:t>
            </w:r>
          </w:p>
        </w:tc>
        <w:tc>
          <w:tcPr>
            <w:tcW w:w="122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r>
      <w:tr>
        <w:trPr>
          <w:trHeight w:val="135"/>
        </w:trPr>
        <w:tc>
          <w:tcPr>
            <w:tcW w:w="1960" w:type="dxa"/>
            <w:vAlign w:val="bottom"/>
            <w:tcBorders>
              <w:left w:val="single" w:sz="8" w:color="1F3C7B"/>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68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10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6"/>
              </w:rPr>
              <w:t>Nonqualified</w:t>
            </w:r>
          </w:p>
        </w:tc>
        <w:tc>
          <w:tcPr>
            <w:tcW w:w="122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r>
      <w:tr>
        <w:trPr>
          <w:trHeight w:val="135"/>
        </w:trPr>
        <w:tc>
          <w:tcPr>
            <w:tcW w:w="1960" w:type="dxa"/>
            <w:vAlign w:val="bottom"/>
            <w:tcBorders>
              <w:left w:val="single" w:sz="8" w:color="1F3C7B"/>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68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10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2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r>
      <w:tr>
        <w:trPr>
          <w:trHeight w:val="131"/>
        </w:trPr>
        <w:tc>
          <w:tcPr>
            <w:tcW w:w="1960" w:type="dxa"/>
            <w:vAlign w:val="bottom"/>
            <w:tcBorders>
              <w:left w:val="single" w:sz="8" w:color="1F3C7B"/>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560" w:type="dxa"/>
            <w:vAlign w:val="bottom"/>
            <w:tcBorders>
              <w:right w:val="single" w:sz="8" w:color="000E5B"/>
            </w:tcBorders>
            <w:shd w:val="clear" w:color="auto" w:fill="1F3C7B"/>
          </w:tcPr>
          <w:p>
            <w:pPr>
              <w:spacing w:after="0"/>
              <w:rPr>
                <w:sz w:val="11"/>
                <w:szCs w:val="11"/>
                <w:color w:val="auto"/>
              </w:rPr>
            </w:pPr>
          </w:p>
        </w:tc>
        <w:tc>
          <w:tcPr>
            <w:tcW w:w="680" w:type="dxa"/>
            <w:vAlign w:val="bottom"/>
            <w:tcBorders>
              <w:right w:val="single" w:sz="8" w:color="000E5B"/>
            </w:tcBorders>
            <w:shd w:val="clear" w:color="auto" w:fill="1F3C7B"/>
          </w:tcPr>
          <w:p>
            <w:pPr>
              <w:jc w:val="right"/>
              <w:ind w:right="117"/>
              <w:spacing w:after="0" w:line="131" w:lineRule="exact"/>
              <w:rPr>
                <w:sz w:val="20"/>
                <w:szCs w:val="20"/>
                <w:color w:val="auto"/>
              </w:rPr>
            </w:pPr>
            <w:r>
              <w:rPr>
                <w:rFonts w:ascii="Arial" w:cs="Arial" w:eastAsia="Arial" w:hAnsi="Arial"/>
                <w:sz w:val="13"/>
                <w:szCs w:val="13"/>
                <w:b w:val="1"/>
                <w:bCs w:val="1"/>
                <w:color w:val="FFFFFF"/>
              </w:rPr>
              <w:t>Stock</w:t>
            </w:r>
          </w:p>
        </w:tc>
        <w:tc>
          <w:tcPr>
            <w:tcW w:w="84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5"/>
              </w:rPr>
              <w:t>Option</w:t>
            </w:r>
          </w:p>
        </w:tc>
        <w:tc>
          <w:tcPr>
            <w:tcW w:w="104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rPr>
              <w:t>Plan</w:t>
            </w:r>
          </w:p>
        </w:tc>
        <w:tc>
          <w:tcPr>
            <w:tcW w:w="112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7"/>
              </w:rPr>
              <w:t>Compensation</w:t>
            </w:r>
          </w:p>
        </w:tc>
        <w:tc>
          <w:tcPr>
            <w:tcW w:w="122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8"/>
              </w:rPr>
              <w:t>All Other</w:t>
            </w:r>
          </w:p>
        </w:tc>
        <w:tc>
          <w:tcPr>
            <w:tcW w:w="840" w:type="dxa"/>
            <w:vAlign w:val="bottom"/>
            <w:tcBorders>
              <w:right w:val="single" w:sz="8" w:color="1F3C7B"/>
            </w:tcBorders>
            <w:shd w:val="clear" w:color="auto" w:fill="1F3C7B"/>
          </w:tcPr>
          <w:p>
            <w:pPr>
              <w:spacing w:after="0"/>
              <w:rPr>
                <w:sz w:val="11"/>
                <w:szCs w:val="11"/>
                <w:color w:val="auto"/>
              </w:rPr>
            </w:pPr>
          </w:p>
        </w:tc>
      </w:tr>
      <w:tr>
        <w:trPr>
          <w:trHeight w:val="135"/>
        </w:trPr>
        <w:tc>
          <w:tcPr>
            <w:tcW w:w="1960" w:type="dxa"/>
            <w:vAlign w:val="bottom"/>
            <w:tcBorders>
              <w:left w:val="single" w:sz="8" w:color="1F3C7B"/>
              <w:right w:val="single" w:sz="8" w:color="000E5B"/>
            </w:tcBorders>
            <w:shd w:val="clear" w:color="auto" w:fill="1F3C7B"/>
          </w:tcPr>
          <w:p>
            <w:pPr>
              <w:ind w:left="660"/>
              <w:spacing w:after="0" w:line="135" w:lineRule="exact"/>
              <w:rPr>
                <w:sz w:val="20"/>
                <w:szCs w:val="20"/>
                <w:color w:val="auto"/>
              </w:rPr>
            </w:pPr>
            <w:r>
              <w:rPr>
                <w:rFonts w:ascii="Arial" w:cs="Arial" w:eastAsia="Arial" w:hAnsi="Arial"/>
                <w:sz w:val="13"/>
                <w:szCs w:val="13"/>
                <w:b w:val="1"/>
                <w:bCs w:val="1"/>
                <w:color w:val="FFFFFF"/>
              </w:rPr>
              <w:t>Name and</w:t>
            </w:r>
          </w:p>
        </w:tc>
        <w:tc>
          <w:tcPr>
            <w:tcW w:w="56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ind w:left="160"/>
              <w:spacing w:after="0" w:line="135" w:lineRule="exact"/>
              <w:rPr>
                <w:sz w:val="20"/>
                <w:szCs w:val="20"/>
                <w:color w:val="auto"/>
              </w:rPr>
            </w:pPr>
            <w:r>
              <w:rPr>
                <w:rFonts w:ascii="Arial" w:cs="Arial" w:eastAsia="Arial" w:hAnsi="Arial"/>
                <w:sz w:val="13"/>
                <w:szCs w:val="13"/>
                <w:b w:val="1"/>
                <w:bCs w:val="1"/>
                <w:color w:val="FFFFFF"/>
              </w:rPr>
              <w:t>Salary</w:t>
            </w:r>
          </w:p>
        </w:tc>
        <w:tc>
          <w:tcPr>
            <w:tcW w:w="560" w:type="dxa"/>
            <w:vAlign w:val="bottom"/>
            <w:tcBorders>
              <w:right w:val="single" w:sz="8" w:color="000E5B"/>
            </w:tcBorders>
            <w:shd w:val="clear" w:color="auto" w:fill="1F3C7B"/>
          </w:tcPr>
          <w:p>
            <w:pPr>
              <w:ind w:left="60"/>
              <w:spacing w:after="0" w:line="135" w:lineRule="exact"/>
              <w:rPr>
                <w:sz w:val="20"/>
                <w:szCs w:val="20"/>
                <w:color w:val="auto"/>
              </w:rPr>
            </w:pPr>
            <w:r>
              <w:rPr>
                <w:rFonts w:ascii="Arial" w:cs="Arial" w:eastAsia="Arial" w:hAnsi="Arial"/>
                <w:sz w:val="13"/>
                <w:szCs w:val="13"/>
                <w:b w:val="1"/>
                <w:bCs w:val="1"/>
                <w:color w:val="FFFFFF"/>
              </w:rPr>
              <w:t>Bonus</w:t>
            </w:r>
          </w:p>
        </w:tc>
        <w:tc>
          <w:tcPr>
            <w:tcW w:w="680" w:type="dxa"/>
            <w:vAlign w:val="bottom"/>
            <w:tcBorders>
              <w:right w:val="single" w:sz="8" w:color="000E5B"/>
            </w:tcBorders>
            <w:shd w:val="clear" w:color="auto" w:fill="1F3C7B"/>
          </w:tcPr>
          <w:p>
            <w:pPr>
              <w:jc w:val="right"/>
              <w:ind w:right="77"/>
              <w:spacing w:after="0" w:line="135" w:lineRule="exact"/>
              <w:rPr>
                <w:sz w:val="20"/>
                <w:szCs w:val="20"/>
                <w:color w:val="auto"/>
              </w:rPr>
            </w:pPr>
            <w:r>
              <w:rPr>
                <w:rFonts w:ascii="Arial" w:cs="Arial" w:eastAsia="Arial" w:hAnsi="Arial"/>
                <w:sz w:val="13"/>
                <w:szCs w:val="13"/>
                <w:b w:val="1"/>
                <w:bCs w:val="1"/>
                <w:color w:val="FFFFFF"/>
              </w:rPr>
              <w:t>Awards</w:t>
            </w:r>
          </w:p>
        </w:tc>
        <w:tc>
          <w:tcPr>
            <w:tcW w:w="8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5"/>
                <w:szCs w:val="15"/>
                <w:b w:val="1"/>
                <w:bCs w:val="1"/>
                <w:color w:val="FFFFFF"/>
                <w:vertAlign w:val="superscript"/>
              </w:rPr>
              <w:t>(2)</w:t>
            </w:r>
          </w:p>
        </w:tc>
        <w:tc>
          <w:tcPr>
            <w:tcW w:w="10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5"/>
                <w:szCs w:val="15"/>
                <w:b w:val="1"/>
                <w:bCs w:val="1"/>
                <w:color w:val="FFFFFF"/>
                <w:vertAlign w:val="superscript"/>
              </w:rPr>
              <w:t>(3)</w:t>
            </w:r>
          </w:p>
        </w:tc>
        <w:tc>
          <w:tcPr>
            <w:tcW w:w="840" w:type="dxa"/>
            <w:vAlign w:val="bottom"/>
            <w:tcBorders>
              <w:right w:val="single" w:sz="8" w:color="1F3C7B"/>
            </w:tcBorders>
            <w:shd w:val="clear" w:color="auto" w:fill="1F3C7B"/>
          </w:tcPr>
          <w:p>
            <w:pPr>
              <w:jc w:val="right"/>
              <w:ind w:right="237"/>
              <w:spacing w:after="0" w:line="135" w:lineRule="exact"/>
              <w:rPr>
                <w:sz w:val="20"/>
                <w:szCs w:val="20"/>
                <w:color w:val="auto"/>
              </w:rPr>
            </w:pPr>
            <w:r>
              <w:rPr>
                <w:rFonts w:ascii="Arial" w:cs="Arial" w:eastAsia="Arial" w:hAnsi="Arial"/>
                <w:sz w:val="13"/>
                <w:szCs w:val="13"/>
                <w:b w:val="1"/>
                <w:bCs w:val="1"/>
                <w:color w:val="FFFFFF"/>
              </w:rPr>
              <w:t>Total</w:t>
            </w:r>
          </w:p>
        </w:tc>
      </w:tr>
      <w:tr>
        <w:trPr>
          <w:trHeight w:val="174"/>
        </w:trPr>
        <w:tc>
          <w:tcPr>
            <w:tcW w:w="1960" w:type="dxa"/>
            <w:vAlign w:val="bottom"/>
            <w:tcBorders>
              <w:left w:val="single" w:sz="8" w:color="1F3C7B"/>
              <w:right w:val="single" w:sz="8" w:color="000E5B"/>
            </w:tcBorders>
            <w:shd w:val="clear" w:color="auto" w:fill="1F3C7B"/>
          </w:tcPr>
          <w:p>
            <w:pPr>
              <w:ind w:left="440"/>
              <w:spacing w:after="0"/>
              <w:rPr>
                <w:sz w:val="20"/>
                <w:szCs w:val="20"/>
                <w:color w:val="auto"/>
              </w:rPr>
            </w:pPr>
            <w:r>
              <w:rPr>
                <w:rFonts w:ascii="Arial" w:cs="Arial" w:eastAsia="Arial" w:hAnsi="Arial"/>
                <w:sz w:val="13"/>
                <w:szCs w:val="13"/>
                <w:b w:val="1"/>
                <w:bCs w:val="1"/>
                <w:color w:val="FFFFFF"/>
              </w:rPr>
              <w:t>Principal Position</w:t>
            </w:r>
          </w:p>
        </w:tc>
        <w:tc>
          <w:tcPr>
            <w:tcW w:w="560" w:type="dxa"/>
            <w:vAlign w:val="bottom"/>
            <w:tcBorders>
              <w:right w:val="single" w:sz="8" w:color="000E5B"/>
            </w:tcBorders>
            <w:shd w:val="clear" w:color="auto" w:fill="1F3C7B"/>
          </w:tcPr>
          <w:p>
            <w:pPr>
              <w:jc w:val="right"/>
              <w:ind w:right="117"/>
              <w:spacing w:after="0"/>
              <w:rPr>
                <w:sz w:val="20"/>
                <w:szCs w:val="20"/>
                <w:color w:val="auto"/>
              </w:rPr>
            </w:pPr>
            <w:r>
              <w:rPr>
                <w:rFonts w:ascii="Arial" w:cs="Arial" w:eastAsia="Arial" w:hAnsi="Arial"/>
                <w:sz w:val="13"/>
                <w:szCs w:val="13"/>
                <w:b w:val="1"/>
                <w:bCs w:val="1"/>
                <w:color w:val="FFFFFF"/>
              </w:rPr>
              <w:t>Year</w:t>
            </w:r>
          </w:p>
        </w:tc>
        <w:tc>
          <w:tcPr>
            <w:tcW w:w="740" w:type="dxa"/>
            <w:vAlign w:val="bottom"/>
            <w:tcBorders>
              <w:right w:val="single" w:sz="8" w:color="000E5B"/>
            </w:tcBorders>
            <w:shd w:val="clear" w:color="auto" w:fill="1F3C7B"/>
          </w:tcPr>
          <w:p>
            <w:pPr>
              <w:ind w:left="200"/>
              <w:spacing w:after="0" w:line="17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560" w:type="dxa"/>
            <w:vAlign w:val="bottom"/>
            <w:tcBorders>
              <w:right w:val="single" w:sz="8" w:color="000E5B"/>
            </w:tcBorders>
            <w:shd w:val="clear" w:color="auto" w:fill="1F3C7B"/>
          </w:tcPr>
          <w:p>
            <w:pPr>
              <w:ind w:left="180"/>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000E5B"/>
            </w:tcBorders>
            <w:shd w:val="clear" w:color="auto" w:fill="1F3C7B"/>
          </w:tcPr>
          <w:p>
            <w:pPr>
              <w:jc w:val="right"/>
              <w:ind w:right="217"/>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87"/>
              </w:rPr>
              <w:t>($)</w:t>
            </w:r>
          </w:p>
        </w:tc>
        <w:tc>
          <w:tcPr>
            <w:tcW w:w="840" w:type="dxa"/>
            <w:vAlign w:val="bottom"/>
            <w:tcBorders>
              <w:right w:val="single" w:sz="8" w:color="1F3C7B"/>
            </w:tcBorders>
            <w:shd w:val="clear" w:color="auto" w:fill="1F3C7B"/>
          </w:tcPr>
          <w:p>
            <w:pPr>
              <w:jc w:val="right"/>
              <w:ind w:right="297"/>
              <w:spacing w:after="0"/>
              <w:rPr>
                <w:sz w:val="20"/>
                <w:szCs w:val="20"/>
                <w:color w:val="auto"/>
              </w:rPr>
            </w:pPr>
            <w:r>
              <w:rPr>
                <w:rFonts w:ascii="Arial" w:cs="Arial" w:eastAsia="Arial" w:hAnsi="Arial"/>
                <w:sz w:val="13"/>
                <w:szCs w:val="13"/>
                <w:b w:val="1"/>
                <w:bCs w:val="1"/>
                <w:color w:val="FFFFFF"/>
              </w:rPr>
              <w:t>($)</w:t>
            </w:r>
          </w:p>
        </w:tc>
      </w:tr>
      <w:tr>
        <w:trPr>
          <w:trHeight w:val="162"/>
        </w:trPr>
        <w:tc>
          <w:tcPr>
            <w:tcW w:w="19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L. Reade Fahs</w:t>
            </w:r>
          </w:p>
        </w:tc>
        <w:tc>
          <w:tcPr>
            <w:tcW w:w="560" w:type="dxa"/>
            <w:vAlign w:val="bottom"/>
            <w:tcBorders>
              <w:right w:val="single" w:sz="8" w:color="000E5B"/>
            </w:tcBorders>
            <w:shd w:val="clear" w:color="auto" w:fill="CCEEFF"/>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shd w:val="clear" w:color="auto" w:fill="CCEEFF"/>
          </w:tcPr>
          <w:p>
            <w:pPr>
              <w:ind w:left="160"/>
              <w:spacing w:after="0"/>
              <w:rPr>
                <w:sz w:val="20"/>
                <w:szCs w:val="20"/>
                <w:color w:val="auto"/>
              </w:rPr>
            </w:pPr>
            <w:r>
              <w:rPr>
                <w:rFonts w:ascii="Arial" w:cs="Arial" w:eastAsia="Arial" w:hAnsi="Arial"/>
                <w:sz w:val="13"/>
                <w:szCs w:val="13"/>
                <w:color w:val="auto"/>
              </w:rPr>
              <w:t>700,346</w:t>
            </w:r>
          </w:p>
        </w:tc>
        <w:tc>
          <w:tcPr>
            <w:tcW w:w="560" w:type="dxa"/>
            <w:vAlign w:val="bottom"/>
            <w:tcBorders>
              <w:right w:val="single" w:sz="8" w:color="000E5B"/>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shd w:val="clear" w:color="auto" w:fill="CCEEFF"/>
          </w:tcPr>
          <w:p>
            <w:pPr>
              <w:ind w:left="360"/>
              <w:spacing w:after="0" w:line="162" w:lineRule="exact"/>
              <w:rPr>
                <w:sz w:val="20"/>
                <w:szCs w:val="20"/>
                <w:color w:val="auto"/>
              </w:rPr>
            </w:pPr>
            <w:r>
              <w:rPr>
                <w:rFonts w:ascii="Arial" w:cs="Arial" w:eastAsia="Arial" w:hAnsi="Arial"/>
                <w:sz w:val="12"/>
                <w:szCs w:val="12"/>
                <w:color w:val="auto"/>
              </w:rPr>
              <w:t>574,249</w:t>
            </w:r>
            <w:r>
              <w:rPr>
                <w:rFonts w:ascii="Arial" w:cs="Arial" w:eastAsia="Arial" w:hAnsi="Arial"/>
                <w:sz w:val="18"/>
                <w:szCs w:val="18"/>
                <w:color w:val="auto"/>
                <w:vertAlign w:val="superscript"/>
              </w:rPr>
              <w:t>(4)</w:t>
            </w:r>
          </w:p>
        </w:tc>
        <w:tc>
          <w:tcPr>
            <w:tcW w:w="1120" w:type="dxa"/>
            <w:vAlign w:val="bottom"/>
            <w:tcBorders>
              <w:right w:val="single" w:sz="8" w:color="000E5B"/>
            </w:tcBorders>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CEEFF"/>
          </w:tcPr>
          <w:p>
            <w:pPr>
              <w:jc w:val="right"/>
              <w:ind w:right="58"/>
              <w:spacing w:after="0"/>
              <w:rPr>
                <w:sz w:val="20"/>
                <w:szCs w:val="20"/>
                <w:color w:val="auto"/>
              </w:rPr>
            </w:pPr>
            <w:r>
              <w:rPr>
                <w:rFonts w:ascii="Arial" w:cs="Arial" w:eastAsia="Arial" w:hAnsi="Arial"/>
                <w:sz w:val="13"/>
                <w:szCs w:val="13"/>
                <w:color w:val="auto"/>
              </w:rPr>
              <w:t>23,240</w:t>
            </w:r>
          </w:p>
        </w:tc>
        <w:tc>
          <w:tcPr>
            <w:tcW w:w="840" w:type="dxa"/>
            <w:vAlign w:val="bottom"/>
            <w:tcBorders>
              <w:right w:val="single" w:sz="8" w:color="1F3C7B"/>
            </w:tcBorders>
            <w:shd w:val="clear" w:color="auto" w:fill="CCEEFF"/>
          </w:tcPr>
          <w:p>
            <w:pPr>
              <w:jc w:val="right"/>
              <w:ind w:right="57"/>
              <w:spacing w:after="0"/>
              <w:rPr>
                <w:sz w:val="20"/>
                <w:szCs w:val="20"/>
                <w:color w:val="auto"/>
              </w:rPr>
            </w:pPr>
            <w:r>
              <w:rPr>
                <w:rFonts w:ascii="Arial" w:cs="Arial" w:eastAsia="Arial" w:hAnsi="Arial"/>
                <w:sz w:val="13"/>
                <w:szCs w:val="13"/>
                <w:color w:val="auto"/>
              </w:rPr>
              <w:t>1,297,835</w:t>
            </w:r>
          </w:p>
        </w:tc>
      </w:tr>
      <w:tr>
        <w:trPr>
          <w:trHeight w:val="161"/>
        </w:trPr>
        <w:tc>
          <w:tcPr>
            <w:tcW w:w="1960" w:type="dxa"/>
            <w:vAlign w:val="bottom"/>
            <w:tcBorders>
              <w:left w:val="single" w:sz="8" w:color="1F3C7B"/>
              <w:right w:val="single" w:sz="8" w:color="000E5B"/>
            </w:tcBorders>
          </w:tcPr>
          <w:p>
            <w:pPr>
              <w:ind w:left="220"/>
              <w:spacing w:after="0"/>
              <w:rPr>
                <w:sz w:val="20"/>
                <w:szCs w:val="20"/>
                <w:color w:val="auto"/>
              </w:rPr>
            </w:pPr>
            <w:r>
              <w:rPr>
                <w:rFonts w:ascii="Arial" w:cs="Arial" w:eastAsia="Arial" w:hAnsi="Arial"/>
                <w:sz w:val="13"/>
                <w:szCs w:val="13"/>
                <w:color w:val="auto"/>
              </w:rPr>
              <w:t>Chief Executive Officer</w:t>
            </w:r>
          </w:p>
        </w:tc>
        <w:tc>
          <w:tcPr>
            <w:tcW w:w="560" w:type="dxa"/>
            <w:vAlign w:val="bottom"/>
            <w:tcBorders>
              <w:right w:val="single" w:sz="8" w:color="000E5B"/>
            </w:tcBorders>
          </w:tcPr>
          <w:p>
            <w:pPr>
              <w:jc w:val="right"/>
              <w:ind w:right="57"/>
              <w:spacing w:after="0"/>
              <w:rPr>
                <w:sz w:val="20"/>
                <w:szCs w:val="20"/>
                <w:color w:val="auto"/>
              </w:rPr>
            </w:pPr>
            <w:r>
              <w:rPr>
                <w:rFonts w:ascii="Arial" w:cs="Arial" w:eastAsia="Arial" w:hAnsi="Arial"/>
                <w:sz w:val="13"/>
                <w:szCs w:val="13"/>
                <w:color w:val="auto"/>
              </w:rPr>
              <w:t>2016</w:t>
            </w:r>
          </w:p>
        </w:tc>
        <w:tc>
          <w:tcPr>
            <w:tcW w:w="740" w:type="dxa"/>
            <w:vAlign w:val="bottom"/>
            <w:tcBorders>
              <w:right w:val="single" w:sz="8" w:color="000E5B"/>
            </w:tcBorders>
          </w:tcPr>
          <w:p>
            <w:pPr>
              <w:ind w:left="160"/>
              <w:spacing w:after="0"/>
              <w:rPr>
                <w:sz w:val="20"/>
                <w:szCs w:val="20"/>
                <w:color w:val="auto"/>
              </w:rPr>
            </w:pPr>
            <w:r>
              <w:rPr>
                <w:rFonts w:ascii="Arial" w:cs="Arial" w:eastAsia="Arial" w:hAnsi="Arial"/>
                <w:sz w:val="13"/>
                <w:szCs w:val="13"/>
                <w:color w:val="auto"/>
              </w:rPr>
              <w:t>605,221</w:t>
            </w:r>
          </w:p>
        </w:tc>
        <w:tc>
          <w:tcPr>
            <w:tcW w:w="560" w:type="dxa"/>
            <w:vAlign w:val="bottom"/>
            <w:tcBorders>
              <w:right w:val="single" w:sz="8" w:color="000E5B"/>
            </w:tcBorders>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tcPr>
          <w:p>
            <w:pPr>
              <w:ind w:left="360"/>
              <w:spacing w:after="0"/>
              <w:rPr>
                <w:sz w:val="20"/>
                <w:szCs w:val="20"/>
                <w:color w:val="auto"/>
              </w:rPr>
            </w:pPr>
            <w:r>
              <w:rPr>
                <w:rFonts w:ascii="Arial" w:cs="Arial" w:eastAsia="Arial" w:hAnsi="Arial"/>
                <w:sz w:val="13"/>
                <w:szCs w:val="13"/>
                <w:color w:val="auto"/>
              </w:rPr>
              <w:t>503,074</w:t>
            </w:r>
          </w:p>
        </w:tc>
        <w:tc>
          <w:tcPr>
            <w:tcW w:w="1120" w:type="dxa"/>
            <w:vAlign w:val="bottom"/>
            <w:tcBorders>
              <w:right w:val="single" w:sz="8" w:color="000E5B"/>
            </w:tcBorders>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16,911</w:t>
            </w:r>
          </w:p>
        </w:tc>
        <w:tc>
          <w:tcPr>
            <w:tcW w:w="840" w:type="dxa"/>
            <w:vAlign w:val="bottom"/>
            <w:tcBorders>
              <w:right w:val="single" w:sz="8" w:color="1F3C7B"/>
            </w:tcBorders>
          </w:tcPr>
          <w:p>
            <w:pPr>
              <w:jc w:val="right"/>
              <w:ind w:right="57"/>
              <w:spacing w:after="0"/>
              <w:rPr>
                <w:sz w:val="20"/>
                <w:szCs w:val="20"/>
                <w:color w:val="auto"/>
              </w:rPr>
            </w:pPr>
            <w:r>
              <w:rPr>
                <w:rFonts w:ascii="Arial" w:cs="Arial" w:eastAsia="Arial" w:hAnsi="Arial"/>
                <w:sz w:val="13"/>
                <w:szCs w:val="13"/>
                <w:color w:val="auto"/>
              </w:rPr>
              <w:t>1,125,206</w:t>
            </w:r>
          </w:p>
        </w:tc>
      </w:tr>
      <w:tr>
        <w:trPr>
          <w:trHeight w:val="161"/>
        </w:trPr>
        <w:tc>
          <w:tcPr>
            <w:tcW w:w="19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Patrick R. Moore</w:t>
            </w:r>
          </w:p>
        </w:tc>
        <w:tc>
          <w:tcPr>
            <w:tcW w:w="56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400,000</w:t>
            </w:r>
          </w:p>
        </w:tc>
        <w:tc>
          <w:tcPr>
            <w:tcW w:w="560" w:type="dxa"/>
            <w:vAlign w:val="bottom"/>
            <w:tcBorders>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848,442</w:t>
            </w:r>
          </w:p>
        </w:tc>
        <w:tc>
          <w:tcPr>
            <w:tcW w:w="1040" w:type="dxa"/>
            <w:vAlign w:val="bottom"/>
            <w:tcBorders>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221,403</w:t>
            </w:r>
          </w:p>
        </w:tc>
        <w:tc>
          <w:tcPr>
            <w:tcW w:w="1120" w:type="dxa"/>
            <w:vAlign w:val="bottom"/>
            <w:tcBorders>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93,882</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1,563,727</w:t>
            </w:r>
          </w:p>
        </w:tc>
      </w:tr>
      <w:tr>
        <w:trPr>
          <w:trHeight w:val="162"/>
        </w:trPr>
        <w:tc>
          <w:tcPr>
            <w:tcW w:w="1960" w:type="dxa"/>
            <w:vAlign w:val="bottom"/>
            <w:tcBorders>
              <w:left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3"/>
                <w:szCs w:val="13"/>
                <w:color w:val="auto"/>
              </w:rPr>
              <w:t>Senior Vice President and</w:t>
            </w:r>
          </w:p>
        </w:tc>
        <w:tc>
          <w:tcPr>
            <w:tcW w:w="56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2016</w:t>
            </w:r>
          </w:p>
        </w:tc>
        <w:tc>
          <w:tcPr>
            <w:tcW w:w="740" w:type="dxa"/>
            <w:vAlign w:val="bottom"/>
            <w:tcBorders>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378,950</w:t>
            </w:r>
          </w:p>
        </w:tc>
        <w:tc>
          <w:tcPr>
            <w:tcW w:w="560" w:type="dxa"/>
            <w:vAlign w:val="bottom"/>
            <w:tcBorders>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6C8CA"/>
          </w:tcPr>
          <w:p>
            <w:pPr>
              <w:spacing w:after="0"/>
              <w:rPr>
                <w:sz w:val="14"/>
                <w:szCs w:val="14"/>
                <w:color w:val="auto"/>
              </w:rPr>
            </w:pPr>
          </w:p>
        </w:tc>
        <w:tc>
          <w:tcPr>
            <w:tcW w:w="1040" w:type="dxa"/>
            <w:vAlign w:val="bottom"/>
            <w:tcBorders>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266,144</w:t>
            </w:r>
          </w:p>
        </w:tc>
        <w:tc>
          <w:tcPr>
            <w:tcW w:w="1120" w:type="dxa"/>
            <w:vAlign w:val="bottom"/>
            <w:tcBorders>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9,380</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654,474</w:t>
            </w:r>
          </w:p>
        </w:tc>
      </w:tr>
      <w:tr>
        <w:trPr>
          <w:trHeight w:val="165"/>
        </w:trPr>
        <w:tc>
          <w:tcPr>
            <w:tcW w:w="1960" w:type="dxa"/>
            <w:vAlign w:val="bottom"/>
            <w:tcBorders>
              <w:left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3"/>
                <w:szCs w:val="13"/>
                <w:color w:val="auto"/>
              </w:rPr>
              <w:t>Chief Financial Officer</w:t>
            </w:r>
          </w:p>
        </w:tc>
        <w:tc>
          <w:tcPr>
            <w:tcW w:w="560" w:type="dxa"/>
            <w:vAlign w:val="bottom"/>
            <w:tcBorders>
              <w:right w:val="single" w:sz="8" w:color="000E5B"/>
            </w:tcBorders>
            <w:shd w:val="clear" w:color="auto" w:fill="C6C8CA"/>
          </w:tcPr>
          <w:p>
            <w:pPr>
              <w:spacing w:after="0"/>
              <w:rPr>
                <w:sz w:val="14"/>
                <w:szCs w:val="14"/>
                <w:color w:val="auto"/>
              </w:rPr>
            </w:pPr>
          </w:p>
        </w:tc>
        <w:tc>
          <w:tcPr>
            <w:tcW w:w="740" w:type="dxa"/>
            <w:vAlign w:val="bottom"/>
            <w:tcBorders>
              <w:right w:val="single" w:sz="8" w:color="000E5B"/>
            </w:tcBorders>
            <w:shd w:val="clear" w:color="auto" w:fill="C6C8CA"/>
          </w:tcPr>
          <w:p>
            <w:pPr>
              <w:spacing w:after="0"/>
              <w:rPr>
                <w:sz w:val="14"/>
                <w:szCs w:val="14"/>
                <w:color w:val="auto"/>
              </w:rPr>
            </w:pPr>
          </w:p>
        </w:tc>
        <w:tc>
          <w:tcPr>
            <w:tcW w:w="560" w:type="dxa"/>
            <w:vAlign w:val="bottom"/>
            <w:tcBorders>
              <w:right w:val="single" w:sz="8" w:color="000E5B"/>
            </w:tcBorders>
            <w:shd w:val="clear" w:color="auto" w:fill="C6C8CA"/>
          </w:tcPr>
          <w:p>
            <w:pPr>
              <w:spacing w:after="0"/>
              <w:rPr>
                <w:sz w:val="14"/>
                <w:szCs w:val="14"/>
                <w:color w:val="auto"/>
              </w:rPr>
            </w:pPr>
          </w:p>
        </w:tc>
        <w:tc>
          <w:tcPr>
            <w:tcW w:w="68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1040" w:type="dxa"/>
            <w:vAlign w:val="bottom"/>
            <w:tcBorders>
              <w:right w:val="single" w:sz="8" w:color="000E5B"/>
            </w:tcBorders>
            <w:shd w:val="clear" w:color="auto" w:fill="C6C8CA"/>
          </w:tcPr>
          <w:p>
            <w:pPr>
              <w:spacing w:after="0"/>
              <w:rPr>
                <w:sz w:val="14"/>
                <w:szCs w:val="14"/>
                <w:color w:val="auto"/>
              </w:rPr>
            </w:pPr>
          </w:p>
        </w:tc>
        <w:tc>
          <w:tcPr>
            <w:tcW w:w="1120" w:type="dxa"/>
            <w:vAlign w:val="bottom"/>
            <w:tcBorders>
              <w:right w:val="single" w:sz="8" w:color="000E5B"/>
            </w:tcBorders>
            <w:shd w:val="clear" w:color="auto" w:fill="C6C8CA"/>
          </w:tcPr>
          <w:p>
            <w:pPr>
              <w:spacing w:after="0"/>
              <w:rPr>
                <w:sz w:val="14"/>
                <w:szCs w:val="14"/>
                <w:color w:val="auto"/>
              </w:rPr>
            </w:pPr>
          </w:p>
        </w:tc>
        <w:tc>
          <w:tcPr>
            <w:tcW w:w="122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1F3C7B"/>
            </w:tcBorders>
            <w:shd w:val="clear" w:color="auto" w:fill="C6C8CA"/>
          </w:tcPr>
          <w:p>
            <w:pPr>
              <w:spacing w:after="0"/>
              <w:rPr>
                <w:sz w:val="14"/>
                <w:szCs w:val="14"/>
                <w:color w:val="auto"/>
              </w:rPr>
            </w:pPr>
          </w:p>
        </w:tc>
      </w:tr>
      <w:tr>
        <w:trPr>
          <w:trHeight w:val="161"/>
        </w:trPr>
        <w:tc>
          <w:tcPr>
            <w:tcW w:w="1960" w:type="dxa"/>
            <w:vAlign w:val="bottom"/>
            <w:tcBorders>
              <w:left w:val="single" w:sz="8" w:color="1F3C7B"/>
              <w:right w:val="single" w:sz="8" w:color="000E5B"/>
            </w:tcBorders>
          </w:tcPr>
          <w:p>
            <w:pPr>
              <w:ind w:left="40"/>
              <w:spacing w:after="0"/>
              <w:rPr>
                <w:sz w:val="20"/>
                <w:szCs w:val="20"/>
                <w:color w:val="auto"/>
              </w:rPr>
            </w:pPr>
            <w:r>
              <w:rPr>
                <w:rFonts w:ascii="Arial" w:cs="Arial" w:eastAsia="Arial" w:hAnsi="Arial"/>
                <w:sz w:val="13"/>
                <w:szCs w:val="13"/>
                <w:color w:val="auto"/>
              </w:rPr>
              <w:t>Jeff McAllister*</w:t>
            </w:r>
          </w:p>
        </w:tc>
        <w:tc>
          <w:tcPr>
            <w:tcW w:w="560" w:type="dxa"/>
            <w:vAlign w:val="bottom"/>
            <w:tcBorders>
              <w:right w:val="single" w:sz="8" w:color="000E5B"/>
            </w:tcBorders>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tcPr>
          <w:p>
            <w:pPr>
              <w:ind w:left="160"/>
              <w:spacing w:after="0"/>
              <w:rPr>
                <w:sz w:val="20"/>
                <w:szCs w:val="20"/>
                <w:color w:val="auto"/>
              </w:rPr>
            </w:pPr>
            <w:r>
              <w:rPr>
                <w:rFonts w:ascii="Arial" w:cs="Arial" w:eastAsia="Arial" w:hAnsi="Arial"/>
                <w:sz w:val="13"/>
                <w:szCs w:val="13"/>
                <w:color w:val="auto"/>
              </w:rPr>
              <w:t>227,164</w:t>
            </w:r>
          </w:p>
        </w:tc>
        <w:tc>
          <w:tcPr>
            <w:tcW w:w="560" w:type="dxa"/>
            <w:vAlign w:val="bottom"/>
            <w:tcBorders>
              <w:right w:val="single" w:sz="8" w:color="000E5B"/>
            </w:tcBorders>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3,346,209</w:t>
            </w:r>
          </w:p>
        </w:tc>
        <w:tc>
          <w:tcPr>
            <w:tcW w:w="1040" w:type="dxa"/>
            <w:vAlign w:val="bottom"/>
            <w:tcBorders>
              <w:right w:val="single" w:sz="8" w:color="000E5B"/>
            </w:tcBorders>
          </w:tcPr>
          <w:p>
            <w:pPr>
              <w:ind w:left="360"/>
              <w:spacing w:after="0"/>
              <w:rPr>
                <w:sz w:val="20"/>
                <w:szCs w:val="20"/>
                <w:color w:val="auto"/>
              </w:rPr>
            </w:pPr>
            <w:r>
              <w:rPr>
                <w:rFonts w:ascii="Arial" w:cs="Arial" w:eastAsia="Arial" w:hAnsi="Arial"/>
                <w:sz w:val="13"/>
                <w:szCs w:val="13"/>
                <w:color w:val="auto"/>
              </w:rPr>
              <w:t>150,189</w:t>
            </w:r>
          </w:p>
        </w:tc>
        <w:tc>
          <w:tcPr>
            <w:tcW w:w="1120" w:type="dxa"/>
            <w:vAlign w:val="bottom"/>
            <w:tcBorders>
              <w:right w:val="single" w:sz="8" w:color="000E5B"/>
            </w:tcBorders>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6,301</w:t>
            </w:r>
          </w:p>
        </w:tc>
        <w:tc>
          <w:tcPr>
            <w:tcW w:w="840" w:type="dxa"/>
            <w:vAlign w:val="bottom"/>
            <w:tcBorders>
              <w:right w:val="single" w:sz="8" w:color="1F3C7B"/>
            </w:tcBorders>
          </w:tcPr>
          <w:p>
            <w:pPr>
              <w:jc w:val="right"/>
              <w:ind w:right="57"/>
              <w:spacing w:after="0"/>
              <w:rPr>
                <w:sz w:val="20"/>
                <w:szCs w:val="20"/>
                <w:color w:val="auto"/>
              </w:rPr>
            </w:pPr>
            <w:r>
              <w:rPr>
                <w:rFonts w:ascii="Arial" w:cs="Arial" w:eastAsia="Arial" w:hAnsi="Arial"/>
                <w:sz w:val="13"/>
                <w:szCs w:val="13"/>
                <w:color w:val="auto"/>
              </w:rPr>
              <w:t>3,729,863</w:t>
            </w:r>
          </w:p>
        </w:tc>
      </w:tr>
      <w:tr>
        <w:trPr>
          <w:trHeight w:val="162"/>
        </w:trPr>
        <w:tc>
          <w:tcPr>
            <w:tcW w:w="1960" w:type="dxa"/>
            <w:vAlign w:val="bottom"/>
            <w:tcBorders>
              <w:left w:val="single" w:sz="8" w:color="1F3C7B"/>
              <w:right w:val="single" w:sz="8" w:color="000E5B"/>
            </w:tcBorders>
            <w:shd w:val="clear" w:color="auto" w:fill="CCEEFF"/>
          </w:tcPr>
          <w:p>
            <w:pPr>
              <w:ind w:left="220"/>
              <w:spacing w:after="0"/>
              <w:rPr>
                <w:sz w:val="20"/>
                <w:szCs w:val="20"/>
                <w:color w:val="auto"/>
              </w:rPr>
            </w:pPr>
            <w:r>
              <w:rPr>
                <w:rFonts w:ascii="Arial" w:cs="Arial" w:eastAsia="Arial" w:hAnsi="Arial"/>
                <w:sz w:val="13"/>
                <w:szCs w:val="13"/>
                <w:color w:val="auto"/>
              </w:rPr>
              <w:t>Chief Operating Officer</w:t>
            </w:r>
          </w:p>
        </w:tc>
        <w:tc>
          <w:tcPr>
            <w:tcW w:w="560" w:type="dxa"/>
            <w:vAlign w:val="bottom"/>
            <w:tcBorders>
              <w:right w:val="single" w:sz="8" w:color="000E5B"/>
            </w:tcBorders>
            <w:shd w:val="clear" w:color="auto" w:fill="CCEEFF"/>
          </w:tcPr>
          <w:p>
            <w:pPr>
              <w:spacing w:after="0"/>
              <w:rPr>
                <w:sz w:val="14"/>
                <w:szCs w:val="14"/>
                <w:color w:val="auto"/>
              </w:rPr>
            </w:pPr>
          </w:p>
        </w:tc>
        <w:tc>
          <w:tcPr>
            <w:tcW w:w="740" w:type="dxa"/>
            <w:vAlign w:val="bottom"/>
            <w:tcBorders>
              <w:right w:val="single" w:sz="8" w:color="000E5B"/>
            </w:tcBorders>
            <w:shd w:val="clear" w:color="auto" w:fill="CCEEFF"/>
          </w:tcPr>
          <w:p>
            <w:pPr>
              <w:spacing w:after="0"/>
              <w:rPr>
                <w:sz w:val="14"/>
                <w:szCs w:val="14"/>
                <w:color w:val="auto"/>
              </w:rPr>
            </w:pPr>
          </w:p>
        </w:tc>
        <w:tc>
          <w:tcPr>
            <w:tcW w:w="560" w:type="dxa"/>
            <w:vAlign w:val="bottom"/>
            <w:tcBorders>
              <w:right w:val="single" w:sz="8" w:color="000E5B"/>
            </w:tcBorders>
            <w:shd w:val="clear" w:color="auto" w:fill="CCEEFF"/>
          </w:tcPr>
          <w:p>
            <w:pPr>
              <w:spacing w:after="0"/>
              <w:rPr>
                <w:sz w:val="14"/>
                <w:szCs w:val="14"/>
                <w:color w:val="auto"/>
              </w:rPr>
            </w:pPr>
          </w:p>
        </w:tc>
        <w:tc>
          <w:tcPr>
            <w:tcW w:w="68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000E5B"/>
            </w:tcBorders>
            <w:shd w:val="clear" w:color="auto" w:fill="CCEEFF"/>
          </w:tcPr>
          <w:p>
            <w:pPr>
              <w:spacing w:after="0"/>
              <w:rPr>
                <w:sz w:val="14"/>
                <w:szCs w:val="14"/>
                <w:color w:val="auto"/>
              </w:rPr>
            </w:pPr>
          </w:p>
        </w:tc>
        <w:tc>
          <w:tcPr>
            <w:tcW w:w="1040" w:type="dxa"/>
            <w:vAlign w:val="bottom"/>
            <w:tcBorders>
              <w:right w:val="single" w:sz="8" w:color="000E5B"/>
            </w:tcBorders>
            <w:shd w:val="clear" w:color="auto" w:fill="CCEEFF"/>
          </w:tcPr>
          <w:p>
            <w:pPr>
              <w:spacing w:after="0"/>
              <w:rPr>
                <w:sz w:val="14"/>
                <w:szCs w:val="14"/>
                <w:color w:val="auto"/>
              </w:rPr>
            </w:pPr>
          </w:p>
        </w:tc>
        <w:tc>
          <w:tcPr>
            <w:tcW w:w="1120" w:type="dxa"/>
            <w:vAlign w:val="bottom"/>
            <w:tcBorders>
              <w:right w:val="single" w:sz="8" w:color="000E5B"/>
            </w:tcBorders>
            <w:shd w:val="clear" w:color="auto" w:fill="CCEEFF"/>
          </w:tcPr>
          <w:p>
            <w:pPr>
              <w:spacing w:after="0"/>
              <w:rPr>
                <w:sz w:val="14"/>
                <w:szCs w:val="14"/>
                <w:color w:val="auto"/>
              </w:rPr>
            </w:pPr>
          </w:p>
        </w:tc>
        <w:tc>
          <w:tcPr>
            <w:tcW w:w="122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1F3C7B"/>
            </w:tcBorders>
            <w:shd w:val="clear" w:color="auto" w:fill="CCEEFF"/>
          </w:tcPr>
          <w:p>
            <w:pPr>
              <w:spacing w:after="0"/>
              <w:rPr>
                <w:sz w:val="14"/>
                <w:szCs w:val="14"/>
                <w:color w:val="auto"/>
              </w:rPr>
            </w:pPr>
          </w:p>
        </w:tc>
      </w:tr>
      <w:tr>
        <w:trPr>
          <w:trHeight w:val="161"/>
        </w:trPr>
        <w:tc>
          <w:tcPr>
            <w:tcW w:w="19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Mitchell Goodman</w:t>
            </w:r>
          </w:p>
        </w:tc>
        <w:tc>
          <w:tcPr>
            <w:tcW w:w="56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344,615</w:t>
            </w:r>
          </w:p>
        </w:tc>
        <w:tc>
          <w:tcPr>
            <w:tcW w:w="560" w:type="dxa"/>
            <w:vAlign w:val="bottom"/>
            <w:tcBorders>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190,747</w:t>
            </w:r>
          </w:p>
        </w:tc>
        <w:tc>
          <w:tcPr>
            <w:tcW w:w="1120" w:type="dxa"/>
            <w:vAlign w:val="bottom"/>
            <w:tcBorders>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177,887</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713,249</w:t>
            </w:r>
          </w:p>
        </w:tc>
      </w:tr>
      <w:tr>
        <w:trPr>
          <w:trHeight w:val="145"/>
        </w:trPr>
        <w:tc>
          <w:tcPr>
            <w:tcW w:w="1960" w:type="dxa"/>
            <w:vAlign w:val="bottom"/>
            <w:tcBorders>
              <w:left w:val="single" w:sz="8" w:color="1F3C7B"/>
              <w:right w:val="single" w:sz="8" w:color="000E5B"/>
            </w:tcBorders>
            <w:shd w:val="clear" w:color="auto" w:fill="C6C8CA"/>
          </w:tcPr>
          <w:p>
            <w:pPr>
              <w:ind w:left="220"/>
              <w:spacing w:after="0" w:line="145" w:lineRule="exact"/>
              <w:rPr>
                <w:sz w:val="20"/>
                <w:szCs w:val="20"/>
                <w:color w:val="auto"/>
              </w:rPr>
            </w:pPr>
            <w:r>
              <w:rPr>
                <w:rFonts w:ascii="Arial" w:cs="Arial" w:eastAsia="Arial" w:hAnsi="Arial"/>
                <w:sz w:val="13"/>
                <w:szCs w:val="13"/>
                <w:color w:val="auto"/>
              </w:rPr>
              <w:t>Senior Vice President,</w:t>
            </w:r>
          </w:p>
        </w:tc>
        <w:tc>
          <w:tcPr>
            <w:tcW w:w="560" w:type="dxa"/>
            <w:vAlign w:val="bottom"/>
            <w:tcBorders>
              <w:right w:val="single" w:sz="8" w:color="000E5B"/>
            </w:tcBorders>
            <w:shd w:val="clear" w:color="auto" w:fill="C6C8CA"/>
          </w:tcPr>
          <w:p>
            <w:pPr>
              <w:spacing w:after="0"/>
              <w:rPr>
                <w:sz w:val="12"/>
                <w:szCs w:val="12"/>
                <w:color w:val="auto"/>
              </w:rPr>
            </w:pPr>
          </w:p>
        </w:tc>
        <w:tc>
          <w:tcPr>
            <w:tcW w:w="740" w:type="dxa"/>
            <w:vAlign w:val="bottom"/>
            <w:tcBorders>
              <w:right w:val="single" w:sz="8" w:color="000E5B"/>
            </w:tcBorders>
            <w:shd w:val="clear" w:color="auto" w:fill="C6C8CA"/>
          </w:tcPr>
          <w:p>
            <w:pPr>
              <w:spacing w:after="0"/>
              <w:rPr>
                <w:sz w:val="12"/>
                <w:szCs w:val="12"/>
                <w:color w:val="auto"/>
              </w:rPr>
            </w:pPr>
          </w:p>
        </w:tc>
        <w:tc>
          <w:tcPr>
            <w:tcW w:w="560" w:type="dxa"/>
            <w:vAlign w:val="bottom"/>
            <w:tcBorders>
              <w:right w:val="single" w:sz="8" w:color="000E5B"/>
            </w:tcBorders>
            <w:shd w:val="clear" w:color="auto" w:fill="C6C8CA"/>
          </w:tcPr>
          <w:p>
            <w:pPr>
              <w:spacing w:after="0"/>
              <w:rPr>
                <w:sz w:val="12"/>
                <w:szCs w:val="12"/>
                <w:color w:val="auto"/>
              </w:rPr>
            </w:pPr>
          </w:p>
        </w:tc>
        <w:tc>
          <w:tcPr>
            <w:tcW w:w="680" w:type="dxa"/>
            <w:vAlign w:val="bottom"/>
            <w:tcBorders>
              <w:right w:val="single" w:sz="8" w:color="000E5B"/>
            </w:tcBorders>
            <w:shd w:val="clear" w:color="auto" w:fill="C6C8CA"/>
          </w:tcPr>
          <w:p>
            <w:pPr>
              <w:spacing w:after="0"/>
              <w:rPr>
                <w:sz w:val="12"/>
                <w:szCs w:val="12"/>
                <w:color w:val="auto"/>
              </w:rPr>
            </w:pPr>
          </w:p>
        </w:tc>
        <w:tc>
          <w:tcPr>
            <w:tcW w:w="840" w:type="dxa"/>
            <w:vAlign w:val="bottom"/>
            <w:tcBorders>
              <w:right w:val="single" w:sz="8" w:color="000E5B"/>
            </w:tcBorders>
            <w:shd w:val="clear" w:color="auto" w:fill="C6C8CA"/>
          </w:tcPr>
          <w:p>
            <w:pPr>
              <w:spacing w:after="0"/>
              <w:rPr>
                <w:sz w:val="12"/>
                <w:szCs w:val="12"/>
                <w:color w:val="auto"/>
              </w:rPr>
            </w:pPr>
          </w:p>
        </w:tc>
        <w:tc>
          <w:tcPr>
            <w:tcW w:w="1040" w:type="dxa"/>
            <w:vAlign w:val="bottom"/>
            <w:tcBorders>
              <w:right w:val="single" w:sz="8" w:color="000E5B"/>
            </w:tcBorders>
            <w:shd w:val="clear" w:color="auto" w:fill="C6C8CA"/>
          </w:tcPr>
          <w:p>
            <w:pPr>
              <w:spacing w:after="0"/>
              <w:rPr>
                <w:sz w:val="12"/>
                <w:szCs w:val="12"/>
                <w:color w:val="auto"/>
              </w:rPr>
            </w:pPr>
          </w:p>
        </w:tc>
        <w:tc>
          <w:tcPr>
            <w:tcW w:w="1120" w:type="dxa"/>
            <w:vAlign w:val="bottom"/>
            <w:tcBorders>
              <w:right w:val="single" w:sz="8" w:color="000E5B"/>
            </w:tcBorders>
            <w:shd w:val="clear" w:color="auto" w:fill="C6C8CA"/>
          </w:tcPr>
          <w:p>
            <w:pPr>
              <w:spacing w:after="0"/>
              <w:rPr>
                <w:sz w:val="12"/>
                <w:szCs w:val="12"/>
                <w:color w:val="auto"/>
              </w:rPr>
            </w:pPr>
          </w:p>
        </w:tc>
        <w:tc>
          <w:tcPr>
            <w:tcW w:w="1220" w:type="dxa"/>
            <w:vAlign w:val="bottom"/>
            <w:tcBorders>
              <w:right w:val="single" w:sz="8" w:color="000E5B"/>
            </w:tcBorders>
            <w:shd w:val="clear" w:color="auto" w:fill="C6C8CA"/>
          </w:tcPr>
          <w:p>
            <w:pPr>
              <w:spacing w:after="0"/>
              <w:rPr>
                <w:sz w:val="12"/>
                <w:szCs w:val="12"/>
                <w:color w:val="auto"/>
              </w:rPr>
            </w:pPr>
          </w:p>
        </w:tc>
        <w:tc>
          <w:tcPr>
            <w:tcW w:w="840" w:type="dxa"/>
            <w:vAlign w:val="bottom"/>
            <w:tcBorders>
              <w:right w:val="single" w:sz="8" w:color="1F3C7B"/>
            </w:tcBorders>
            <w:shd w:val="clear" w:color="auto" w:fill="C6C8CA"/>
          </w:tcPr>
          <w:p>
            <w:pPr>
              <w:spacing w:after="0"/>
              <w:rPr>
                <w:sz w:val="12"/>
                <w:szCs w:val="12"/>
                <w:color w:val="auto"/>
              </w:rPr>
            </w:pPr>
          </w:p>
        </w:tc>
      </w:tr>
      <w:tr>
        <w:trPr>
          <w:trHeight w:val="152"/>
        </w:trPr>
        <w:tc>
          <w:tcPr>
            <w:tcW w:w="1960" w:type="dxa"/>
            <w:vAlign w:val="bottom"/>
            <w:tcBorders>
              <w:left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3"/>
                <w:szCs w:val="13"/>
                <w:color w:val="auto"/>
              </w:rPr>
              <w:t>General</w:t>
            </w:r>
          </w:p>
        </w:tc>
        <w:tc>
          <w:tcPr>
            <w:tcW w:w="56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2016</w:t>
            </w:r>
          </w:p>
        </w:tc>
        <w:tc>
          <w:tcPr>
            <w:tcW w:w="740" w:type="dxa"/>
            <w:vAlign w:val="bottom"/>
            <w:tcBorders>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324,615</w:t>
            </w:r>
          </w:p>
        </w:tc>
        <w:tc>
          <w:tcPr>
            <w:tcW w:w="560" w:type="dxa"/>
            <w:vAlign w:val="bottom"/>
            <w:tcBorders>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227,984</w:t>
            </w:r>
          </w:p>
        </w:tc>
        <w:tc>
          <w:tcPr>
            <w:tcW w:w="1120" w:type="dxa"/>
            <w:vAlign w:val="bottom"/>
            <w:tcBorders>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11,728</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564,327</w:t>
            </w:r>
          </w:p>
        </w:tc>
      </w:tr>
      <w:tr>
        <w:trPr>
          <w:trHeight w:val="165"/>
        </w:trPr>
        <w:tc>
          <w:tcPr>
            <w:tcW w:w="1960" w:type="dxa"/>
            <w:vAlign w:val="bottom"/>
            <w:tcBorders>
              <w:left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3"/>
                <w:szCs w:val="13"/>
                <w:color w:val="auto"/>
              </w:rPr>
              <w:t>Counsel and Secretary</w:t>
            </w:r>
          </w:p>
        </w:tc>
        <w:tc>
          <w:tcPr>
            <w:tcW w:w="560" w:type="dxa"/>
            <w:vAlign w:val="bottom"/>
            <w:tcBorders>
              <w:right w:val="single" w:sz="8" w:color="000E5B"/>
            </w:tcBorders>
            <w:shd w:val="clear" w:color="auto" w:fill="C6C8CA"/>
          </w:tcPr>
          <w:p>
            <w:pPr>
              <w:spacing w:after="0"/>
              <w:rPr>
                <w:sz w:val="14"/>
                <w:szCs w:val="14"/>
                <w:color w:val="auto"/>
              </w:rPr>
            </w:pPr>
          </w:p>
        </w:tc>
        <w:tc>
          <w:tcPr>
            <w:tcW w:w="740" w:type="dxa"/>
            <w:vAlign w:val="bottom"/>
            <w:tcBorders>
              <w:right w:val="single" w:sz="8" w:color="000E5B"/>
            </w:tcBorders>
            <w:shd w:val="clear" w:color="auto" w:fill="C6C8CA"/>
          </w:tcPr>
          <w:p>
            <w:pPr>
              <w:spacing w:after="0"/>
              <w:rPr>
                <w:sz w:val="14"/>
                <w:szCs w:val="14"/>
                <w:color w:val="auto"/>
              </w:rPr>
            </w:pPr>
          </w:p>
        </w:tc>
        <w:tc>
          <w:tcPr>
            <w:tcW w:w="560" w:type="dxa"/>
            <w:vAlign w:val="bottom"/>
            <w:tcBorders>
              <w:right w:val="single" w:sz="8" w:color="000E5B"/>
            </w:tcBorders>
            <w:shd w:val="clear" w:color="auto" w:fill="C6C8CA"/>
          </w:tcPr>
          <w:p>
            <w:pPr>
              <w:spacing w:after="0"/>
              <w:rPr>
                <w:sz w:val="14"/>
                <w:szCs w:val="14"/>
                <w:color w:val="auto"/>
              </w:rPr>
            </w:pPr>
          </w:p>
        </w:tc>
        <w:tc>
          <w:tcPr>
            <w:tcW w:w="68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1040" w:type="dxa"/>
            <w:vAlign w:val="bottom"/>
            <w:tcBorders>
              <w:right w:val="single" w:sz="8" w:color="000E5B"/>
            </w:tcBorders>
            <w:shd w:val="clear" w:color="auto" w:fill="C6C8CA"/>
          </w:tcPr>
          <w:p>
            <w:pPr>
              <w:spacing w:after="0"/>
              <w:rPr>
                <w:sz w:val="14"/>
                <w:szCs w:val="14"/>
                <w:color w:val="auto"/>
              </w:rPr>
            </w:pPr>
          </w:p>
        </w:tc>
        <w:tc>
          <w:tcPr>
            <w:tcW w:w="1120" w:type="dxa"/>
            <w:vAlign w:val="bottom"/>
            <w:tcBorders>
              <w:right w:val="single" w:sz="8" w:color="000E5B"/>
            </w:tcBorders>
            <w:shd w:val="clear" w:color="auto" w:fill="C6C8CA"/>
          </w:tcPr>
          <w:p>
            <w:pPr>
              <w:spacing w:after="0"/>
              <w:rPr>
                <w:sz w:val="14"/>
                <w:szCs w:val="14"/>
                <w:color w:val="auto"/>
              </w:rPr>
            </w:pPr>
          </w:p>
        </w:tc>
        <w:tc>
          <w:tcPr>
            <w:tcW w:w="122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1F3C7B"/>
            </w:tcBorders>
            <w:shd w:val="clear" w:color="auto" w:fill="C6C8CA"/>
          </w:tcPr>
          <w:p>
            <w:pPr>
              <w:spacing w:after="0"/>
              <w:rPr>
                <w:sz w:val="14"/>
                <w:szCs w:val="14"/>
                <w:color w:val="auto"/>
              </w:rPr>
            </w:pPr>
          </w:p>
        </w:tc>
      </w:tr>
      <w:tr>
        <w:trPr>
          <w:trHeight w:val="162"/>
        </w:trPr>
        <w:tc>
          <w:tcPr>
            <w:tcW w:w="196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John Vaught</w:t>
            </w:r>
          </w:p>
        </w:tc>
        <w:tc>
          <w:tcPr>
            <w:tcW w:w="560" w:type="dxa"/>
            <w:vAlign w:val="bottom"/>
            <w:tcBorders>
              <w:right w:val="single" w:sz="8" w:color="000E5B"/>
            </w:tcBorders>
            <w:shd w:val="clear" w:color="auto" w:fill="CCEEFF"/>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shd w:val="clear" w:color="auto" w:fill="CCEEFF"/>
          </w:tcPr>
          <w:p>
            <w:pPr>
              <w:ind w:left="160"/>
              <w:spacing w:after="0"/>
              <w:rPr>
                <w:sz w:val="20"/>
                <w:szCs w:val="20"/>
                <w:color w:val="auto"/>
              </w:rPr>
            </w:pPr>
            <w:r>
              <w:rPr>
                <w:rFonts w:ascii="Arial" w:cs="Arial" w:eastAsia="Arial" w:hAnsi="Arial"/>
                <w:sz w:val="13"/>
                <w:szCs w:val="13"/>
                <w:color w:val="auto"/>
              </w:rPr>
              <w:t>285,846</w:t>
            </w:r>
          </w:p>
        </w:tc>
        <w:tc>
          <w:tcPr>
            <w:tcW w:w="560" w:type="dxa"/>
            <w:vAlign w:val="bottom"/>
            <w:tcBorders>
              <w:right w:val="single" w:sz="8" w:color="000E5B"/>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shd w:val="clear" w:color="auto" w:fill="CCEEFF"/>
          </w:tcPr>
          <w:p>
            <w:pPr>
              <w:ind w:left="360"/>
              <w:spacing w:after="0"/>
              <w:rPr>
                <w:sz w:val="20"/>
                <w:szCs w:val="20"/>
                <w:color w:val="auto"/>
              </w:rPr>
            </w:pPr>
            <w:r>
              <w:rPr>
                <w:rFonts w:ascii="Arial" w:cs="Arial" w:eastAsia="Arial" w:hAnsi="Arial"/>
                <w:sz w:val="13"/>
                <w:szCs w:val="13"/>
                <w:color w:val="auto"/>
              </w:rPr>
              <w:t>106,009</w:t>
            </w:r>
          </w:p>
        </w:tc>
        <w:tc>
          <w:tcPr>
            <w:tcW w:w="1120" w:type="dxa"/>
            <w:vAlign w:val="bottom"/>
            <w:tcBorders>
              <w:right w:val="single" w:sz="8" w:color="000E5B"/>
            </w:tcBorders>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CEEFF"/>
          </w:tcPr>
          <w:p>
            <w:pPr>
              <w:jc w:val="right"/>
              <w:ind w:right="58"/>
              <w:spacing w:after="0"/>
              <w:rPr>
                <w:sz w:val="20"/>
                <w:szCs w:val="20"/>
                <w:color w:val="auto"/>
              </w:rPr>
            </w:pPr>
            <w:r>
              <w:rPr>
                <w:rFonts w:ascii="Arial" w:cs="Arial" w:eastAsia="Arial" w:hAnsi="Arial"/>
                <w:sz w:val="13"/>
                <w:szCs w:val="13"/>
                <w:color w:val="auto"/>
              </w:rPr>
              <w:t>127,193</w:t>
            </w:r>
          </w:p>
        </w:tc>
        <w:tc>
          <w:tcPr>
            <w:tcW w:w="840" w:type="dxa"/>
            <w:vAlign w:val="bottom"/>
            <w:tcBorders>
              <w:right w:val="single" w:sz="8" w:color="1F3C7B"/>
            </w:tcBorders>
            <w:shd w:val="clear" w:color="auto" w:fill="CCEEFF"/>
          </w:tcPr>
          <w:p>
            <w:pPr>
              <w:jc w:val="right"/>
              <w:ind w:right="57"/>
              <w:spacing w:after="0"/>
              <w:rPr>
                <w:sz w:val="20"/>
                <w:szCs w:val="20"/>
                <w:color w:val="auto"/>
              </w:rPr>
            </w:pPr>
            <w:r>
              <w:rPr>
                <w:rFonts w:ascii="Arial" w:cs="Arial" w:eastAsia="Arial" w:hAnsi="Arial"/>
                <w:sz w:val="13"/>
                <w:szCs w:val="13"/>
                <w:color w:val="auto"/>
              </w:rPr>
              <w:t>519,048</w:t>
            </w:r>
          </w:p>
        </w:tc>
      </w:tr>
      <w:tr>
        <w:trPr>
          <w:trHeight w:val="161"/>
        </w:trPr>
        <w:tc>
          <w:tcPr>
            <w:tcW w:w="1960" w:type="dxa"/>
            <w:vAlign w:val="bottom"/>
            <w:tcBorders>
              <w:left w:val="single" w:sz="8" w:color="1F3C7B"/>
              <w:right w:val="single" w:sz="8" w:color="000E5B"/>
            </w:tcBorders>
          </w:tcPr>
          <w:p>
            <w:pPr>
              <w:ind w:left="220"/>
              <w:spacing w:after="0"/>
              <w:rPr>
                <w:sz w:val="20"/>
                <w:szCs w:val="20"/>
                <w:color w:val="auto"/>
              </w:rPr>
            </w:pPr>
            <w:r>
              <w:rPr>
                <w:rFonts w:ascii="Arial" w:cs="Arial" w:eastAsia="Arial" w:hAnsi="Arial"/>
                <w:sz w:val="13"/>
                <w:szCs w:val="13"/>
                <w:color w:val="auto"/>
              </w:rPr>
              <w:t>Senior Vice President and</w:t>
            </w:r>
          </w:p>
        </w:tc>
        <w:tc>
          <w:tcPr>
            <w:tcW w:w="560" w:type="dxa"/>
            <w:vAlign w:val="bottom"/>
            <w:tcBorders>
              <w:right w:val="single" w:sz="8" w:color="000E5B"/>
            </w:tcBorders>
          </w:tcPr>
          <w:p>
            <w:pPr>
              <w:jc w:val="right"/>
              <w:ind w:right="57"/>
              <w:spacing w:after="0"/>
              <w:rPr>
                <w:sz w:val="20"/>
                <w:szCs w:val="20"/>
                <w:color w:val="auto"/>
              </w:rPr>
            </w:pPr>
            <w:r>
              <w:rPr>
                <w:rFonts w:ascii="Arial" w:cs="Arial" w:eastAsia="Arial" w:hAnsi="Arial"/>
                <w:sz w:val="13"/>
                <w:szCs w:val="13"/>
                <w:color w:val="auto"/>
              </w:rPr>
              <w:t>2016</w:t>
            </w:r>
          </w:p>
        </w:tc>
        <w:tc>
          <w:tcPr>
            <w:tcW w:w="740" w:type="dxa"/>
            <w:vAlign w:val="bottom"/>
            <w:tcBorders>
              <w:right w:val="single" w:sz="8" w:color="000E5B"/>
            </w:tcBorders>
          </w:tcPr>
          <w:p>
            <w:pPr>
              <w:ind w:left="160"/>
              <w:spacing w:after="0"/>
              <w:rPr>
                <w:sz w:val="20"/>
                <w:szCs w:val="20"/>
                <w:color w:val="auto"/>
              </w:rPr>
            </w:pPr>
            <w:r>
              <w:rPr>
                <w:rFonts w:ascii="Arial" w:cs="Arial" w:eastAsia="Arial" w:hAnsi="Arial"/>
                <w:sz w:val="13"/>
                <w:szCs w:val="13"/>
                <w:color w:val="auto"/>
              </w:rPr>
              <w:t>267,250</w:t>
            </w:r>
          </w:p>
        </w:tc>
        <w:tc>
          <w:tcPr>
            <w:tcW w:w="560" w:type="dxa"/>
            <w:vAlign w:val="bottom"/>
            <w:tcBorders>
              <w:right w:val="single" w:sz="8" w:color="000E5B"/>
            </w:tcBorders>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tcPr>
          <w:p>
            <w:pPr>
              <w:ind w:left="360"/>
              <w:spacing w:after="0"/>
              <w:rPr>
                <w:sz w:val="20"/>
                <w:szCs w:val="20"/>
                <w:color w:val="auto"/>
              </w:rPr>
            </w:pPr>
            <w:r>
              <w:rPr>
                <w:rFonts w:ascii="Arial" w:cs="Arial" w:eastAsia="Arial" w:hAnsi="Arial"/>
                <w:sz w:val="13"/>
                <w:szCs w:val="13"/>
                <w:color w:val="auto"/>
              </w:rPr>
              <w:t>133,202</w:t>
            </w:r>
          </w:p>
        </w:tc>
        <w:tc>
          <w:tcPr>
            <w:tcW w:w="1120" w:type="dxa"/>
            <w:vAlign w:val="bottom"/>
            <w:tcBorders>
              <w:right w:val="single" w:sz="8" w:color="000E5B"/>
            </w:tcBorders>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tcPr>
          <w:p>
            <w:pPr>
              <w:jc w:val="right"/>
              <w:ind w:right="58"/>
              <w:spacing w:after="0"/>
              <w:rPr>
                <w:sz w:val="20"/>
                <w:szCs w:val="20"/>
                <w:color w:val="auto"/>
              </w:rPr>
            </w:pPr>
            <w:r>
              <w:rPr>
                <w:rFonts w:ascii="Arial" w:cs="Arial" w:eastAsia="Arial" w:hAnsi="Arial"/>
                <w:sz w:val="13"/>
                <w:szCs w:val="13"/>
                <w:color w:val="auto"/>
              </w:rPr>
              <w:t>8,422</w:t>
            </w:r>
          </w:p>
        </w:tc>
        <w:tc>
          <w:tcPr>
            <w:tcW w:w="840" w:type="dxa"/>
            <w:vAlign w:val="bottom"/>
            <w:tcBorders>
              <w:right w:val="single" w:sz="8" w:color="1F3C7B"/>
            </w:tcBorders>
          </w:tcPr>
          <w:p>
            <w:pPr>
              <w:jc w:val="right"/>
              <w:ind w:right="57"/>
              <w:spacing w:after="0"/>
              <w:rPr>
                <w:sz w:val="20"/>
                <w:szCs w:val="20"/>
                <w:color w:val="auto"/>
              </w:rPr>
            </w:pPr>
            <w:r>
              <w:rPr>
                <w:rFonts w:ascii="Arial" w:cs="Arial" w:eastAsia="Arial" w:hAnsi="Arial"/>
                <w:sz w:val="13"/>
                <w:szCs w:val="13"/>
                <w:color w:val="auto"/>
              </w:rPr>
              <w:t>408,874</w:t>
            </w:r>
          </w:p>
        </w:tc>
      </w:tr>
      <w:tr>
        <w:trPr>
          <w:trHeight w:val="162"/>
        </w:trPr>
        <w:tc>
          <w:tcPr>
            <w:tcW w:w="1960" w:type="dxa"/>
            <w:vAlign w:val="bottom"/>
            <w:tcBorders>
              <w:left w:val="single" w:sz="8" w:color="1F3C7B"/>
              <w:right w:val="single" w:sz="8" w:color="000E5B"/>
            </w:tcBorders>
            <w:shd w:val="clear" w:color="auto" w:fill="CCEEFF"/>
          </w:tcPr>
          <w:p>
            <w:pPr>
              <w:ind w:left="220"/>
              <w:spacing w:after="0"/>
              <w:rPr>
                <w:sz w:val="20"/>
                <w:szCs w:val="20"/>
                <w:color w:val="auto"/>
              </w:rPr>
            </w:pPr>
            <w:r>
              <w:rPr>
                <w:rFonts w:ascii="Arial" w:cs="Arial" w:eastAsia="Arial" w:hAnsi="Arial"/>
                <w:sz w:val="13"/>
                <w:szCs w:val="13"/>
                <w:color w:val="auto"/>
              </w:rPr>
              <w:t>Chief Information Officer</w:t>
            </w:r>
          </w:p>
        </w:tc>
        <w:tc>
          <w:tcPr>
            <w:tcW w:w="560" w:type="dxa"/>
            <w:vAlign w:val="bottom"/>
            <w:tcBorders>
              <w:right w:val="single" w:sz="8" w:color="000E5B"/>
            </w:tcBorders>
            <w:shd w:val="clear" w:color="auto" w:fill="CCEEFF"/>
          </w:tcPr>
          <w:p>
            <w:pPr>
              <w:spacing w:after="0"/>
              <w:rPr>
                <w:sz w:val="14"/>
                <w:szCs w:val="14"/>
                <w:color w:val="auto"/>
              </w:rPr>
            </w:pPr>
          </w:p>
        </w:tc>
        <w:tc>
          <w:tcPr>
            <w:tcW w:w="740" w:type="dxa"/>
            <w:vAlign w:val="bottom"/>
            <w:tcBorders>
              <w:right w:val="single" w:sz="8" w:color="000E5B"/>
            </w:tcBorders>
            <w:shd w:val="clear" w:color="auto" w:fill="CCEEFF"/>
          </w:tcPr>
          <w:p>
            <w:pPr>
              <w:spacing w:after="0"/>
              <w:rPr>
                <w:sz w:val="14"/>
                <w:szCs w:val="14"/>
                <w:color w:val="auto"/>
              </w:rPr>
            </w:pPr>
          </w:p>
        </w:tc>
        <w:tc>
          <w:tcPr>
            <w:tcW w:w="560" w:type="dxa"/>
            <w:vAlign w:val="bottom"/>
            <w:tcBorders>
              <w:right w:val="single" w:sz="8" w:color="000E5B"/>
            </w:tcBorders>
            <w:shd w:val="clear" w:color="auto" w:fill="CCEEFF"/>
          </w:tcPr>
          <w:p>
            <w:pPr>
              <w:spacing w:after="0"/>
              <w:rPr>
                <w:sz w:val="14"/>
                <w:szCs w:val="14"/>
                <w:color w:val="auto"/>
              </w:rPr>
            </w:pPr>
          </w:p>
        </w:tc>
        <w:tc>
          <w:tcPr>
            <w:tcW w:w="68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000E5B"/>
            </w:tcBorders>
            <w:shd w:val="clear" w:color="auto" w:fill="CCEEFF"/>
          </w:tcPr>
          <w:p>
            <w:pPr>
              <w:spacing w:after="0"/>
              <w:rPr>
                <w:sz w:val="14"/>
                <w:szCs w:val="14"/>
                <w:color w:val="auto"/>
              </w:rPr>
            </w:pPr>
          </w:p>
        </w:tc>
        <w:tc>
          <w:tcPr>
            <w:tcW w:w="1040" w:type="dxa"/>
            <w:vAlign w:val="bottom"/>
            <w:tcBorders>
              <w:right w:val="single" w:sz="8" w:color="000E5B"/>
            </w:tcBorders>
            <w:shd w:val="clear" w:color="auto" w:fill="CCEEFF"/>
          </w:tcPr>
          <w:p>
            <w:pPr>
              <w:spacing w:after="0"/>
              <w:rPr>
                <w:sz w:val="14"/>
                <w:szCs w:val="14"/>
                <w:color w:val="auto"/>
              </w:rPr>
            </w:pPr>
          </w:p>
        </w:tc>
        <w:tc>
          <w:tcPr>
            <w:tcW w:w="1120" w:type="dxa"/>
            <w:vAlign w:val="bottom"/>
            <w:tcBorders>
              <w:right w:val="single" w:sz="8" w:color="000E5B"/>
            </w:tcBorders>
            <w:shd w:val="clear" w:color="auto" w:fill="CCEEFF"/>
          </w:tcPr>
          <w:p>
            <w:pPr>
              <w:spacing w:after="0"/>
              <w:rPr>
                <w:sz w:val="14"/>
                <w:szCs w:val="14"/>
                <w:color w:val="auto"/>
              </w:rPr>
            </w:pPr>
          </w:p>
        </w:tc>
        <w:tc>
          <w:tcPr>
            <w:tcW w:w="122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1F3C7B"/>
            </w:tcBorders>
            <w:shd w:val="clear" w:color="auto" w:fill="CCEEFF"/>
          </w:tcPr>
          <w:p>
            <w:pPr>
              <w:spacing w:after="0"/>
              <w:rPr>
                <w:sz w:val="14"/>
                <w:szCs w:val="14"/>
                <w:color w:val="auto"/>
              </w:rPr>
            </w:pPr>
          </w:p>
        </w:tc>
      </w:tr>
      <w:tr>
        <w:trPr>
          <w:trHeight w:val="161"/>
        </w:trPr>
        <w:tc>
          <w:tcPr>
            <w:tcW w:w="196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J. Bruce Steffey*</w:t>
            </w:r>
          </w:p>
        </w:tc>
        <w:tc>
          <w:tcPr>
            <w:tcW w:w="56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2017</w:t>
            </w:r>
          </w:p>
        </w:tc>
        <w:tc>
          <w:tcPr>
            <w:tcW w:w="740" w:type="dxa"/>
            <w:vAlign w:val="bottom"/>
            <w:tcBorders>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504,442</w:t>
            </w:r>
          </w:p>
        </w:tc>
        <w:tc>
          <w:tcPr>
            <w:tcW w:w="560" w:type="dxa"/>
            <w:vAlign w:val="bottom"/>
            <w:tcBorders>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333,512</w:t>
            </w:r>
          </w:p>
        </w:tc>
        <w:tc>
          <w:tcPr>
            <w:tcW w:w="1120" w:type="dxa"/>
            <w:vAlign w:val="bottom"/>
            <w:tcBorders>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367,804</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1,205,758</w:t>
            </w:r>
          </w:p>
        </w:tc>
      </w:tr>
      <w:tr>
        <w:trPr>
          <w:trHeight w:val="163"/>
        </w:trPr>
        <w:tc>
          <w:tcPr>
            <w:tcW w:w="1960" w:type="dxa"/>
            <w:vAlign w:val="bottom"/>
            <w:tcBorders>
              <w:left w:val="single" w:sz="8" w:color="1F3C7B"/>
              <w:bottom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3"/>
                <w:szCs w:val="13"/>
                <w:color w:val="auto"/>
              </w:rPr>
              <w:t>Former President</w:t>
            </w:r>
          </w:p>
        </w:tc>
        <w:tc>
          <w:tcPr>
            <w:tcW w:w="560" w:type="dxa"/>
            <w:vAlign w:val="bottom"/>
            <w:tcBorders>
              <w:bottom w:val="single" w:sz="8" w:color="1F3C7B"/>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2016</w:t>
            </w:r>
          </w:p>
        </w:tc>
        <w:tc>
          <w:tcPr>
            <w:tcW w:w="740" w:type="dxa"/>
            <w:vAlign w:val="bottom"/>
            <w:tcBorders>
              <w:bottom w:val="single" w:sz="8" w:color="1F3C7B"/>
              <w:right w:val="single" w:sz="8" w:color="000E5B"/>
            </w:tcBorders>
            <w:shd w:val="clear" w:color="auto" w:fill="C6C8CA"/>
          </w:tcPr>
          <w:p>
            <w:pPr>
              <w:ind w:left="160"/>
              <w:spacing w:after="0"/>
              <w:rPr>
                <w:sz w:val="20"/>
                <w:szCs w:val="20"/>
                <w:color w:val="auto"/>
              </w:rPr>
            </w:pPr>
            <w:r>
              <w:rPr>
                <w:rFonts w:ascii="Arial" w:cs="Arial" w:eastAsia="Arial" w:hAnsi="Arial"/>
                <w:sz w:val="13"/>
                <w:szCs w:val="13"/>
                <w:color w:val="auto"/>
              </w:rPr>
              <w:t>552,635</w:t>
            </w:r>
          </w:p>
        </w:tc>
        <w:tc>
          <w:tcPr>
            <w:tcW w:w="560" w:type="dxa"/>
            <w:vAlign w:val="bottom"/>
            <w:tcBorders>
              <w:bottom w:val="single" w:sz="8" w:color="1F3C7B"/>
              <w:right w:val="single" w:sz="8" w:color="000E5B"/>
            </w:tcBorders>
            <w:shd w:val="clear" w:color="auto" w:fill="C6C8CA"/>
          </w:tcPr>
          <w:p>
            <w:pPr>
              <w:ind w:left="3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1F3C7B"/>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F3C7B"/>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1F3C7B"/>
              <w:right w:val="single" w:sz="8" w:color="000E5B"/>
            </w:tcBorders>
            <w:shd w:val="clear" w:color="auto" w:fill="C6C8CA"/>
          </w:tcPr>
          <w:p>
            <w:pPr>
              <w:ind w:left="360"/>
              <w:spacing w:after="0"/>
              <w:rPr>
                <w:sz w:val="20"/>
                <w:szCs w:val="20"/>
                <w:color w:val="auto"/>
              </w:rPr>
            </w:pPr>
            <w:r>
              <w:rPr>
                <w:rFonts w:ascii="Arial" w:cs="Arial" w:eastAsia="Arial" w:hAnsi="Arial"/>
                <w:sz w:val="13"/>
                <w:szCs w:val="13"/>
                <w:color w:val="auto"/>
              </w:rPr>
              <w:t>459,363</w:t>
            </w:r>
          </w:p>
        </w:tc>
        <w:tc>
          <w:tcPr>
            <w:tcW w:w="1120" w:type="dxa"/>
            <w:vAlign w:val="bottom"/>
            <w:tcBorders>
              <w:bottom w:val="single" w:sz="8" w:color="1F3C7B"/>
              <w:right w:val="single" w:sz="8" w:color="000E5B"/>
            </w:tcBorders>
            <w:shd w:val="clear" w:color="auto" w:fill="C6C8CA"/>
          </w:tcPr>
          <w:p>
            <w:pPr>
              <w:ind w:left="8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1F3C7B"/>
              <w:right w:val="single" w:sz="8" w:color="000E5B"/>
            </w:tcBorders>
            <w:shd w:val="clear" w:color="auto" w:fill="C6C8CA"/>
          </w:tcPr>
          <w:p>
            <w:pPr>
              <w:jc w:val="right"/>
              <w:ind w:right="58"/>
              <w:spacing w:after="0"/>
              <w:rPr>
                <w:sz w:val="20"/>
                <w:szCs w:val="20"/>
                <w:color w:val="auto"/>
              </w:rPr>
            </w:pPr>
            <w:r>
              <w:rPr>
                <w:rFonts w:ascii="Arial" w:cs="Arial" w:eastAsia="Arial" w:hAnsi="Arial"/>
                <w:sz w:val="13"/>
                <w:szCs w:val="13"/>
                <w:color w:val="auto"/>
              </w:rPr>
              <w:t>7,093</w:t>
            </w:r>
          </w:p>
        </w:tc>
        <w:tc>
          <w:tcPr>
            <w:tcW w:w="840" w:type="dxa"/>
            <w:vAlign w:val="bottom"/>
            <w:tcBorders>
              <w:bottom w:val="single" w:sz="8" w:color="1F3C7B"/>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1,019,091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-1637030</wp:posOffset>
            </wp:positionV>
            <wp:extent cx="606298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62980" cy="2057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-1122680</wp:posOffset>
            </wp:positionV>
            <wp:extent cx="606298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62980" cy="2057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-522605</wp:posOffset>
            </wp:positionV>
            <wp:extent cx="606298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62980" cy="3086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wp:posOffset>
            </wp:positionV>
            <wp:extent cx="12090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6" w:lineRule="exact"/>
        <w:rPr>
          <w:sz w:val="20"/>
          <w:szCs w:val="20"/>
          <w:color w:val="auto"/>
        </w:rPr>
      </w:pPr>
    </w:p>
    <w:p>
      <w:pPr>
        <w:ind w:left="347" w:right="220" w:hanging="347"/>
        <w:spacing w:after="0" w:line="231"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McAllister joined NVI in August 2017. Mr Steffey retired from his President position in September 2017 and remains employed by the Company in a part-time capacity.</w:t>
      </w:r>
    </w:p>
    <w:p>
      <w:pPr>
        <w:spacing w:after="0" w:line="95" w:lineRule="exact"/>
        <w:rPr>
          <w:sz w:val="20"/>
          <w:szCs w:val="20"/>
          <w:color w:val="auto"/>
        </w:rPr>
      </w:pPr>
    </w:p>
    <w:p>
      <w:pPr>
        <w:ind w:left="347" w:right="40" w:hanging="347"/>
        <w:spacing w:after="0" w:line="279" w:lineRule="auto"/>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Amounts in this column reflect the salary earned during the fiscal year. In April 2017, base salaries of each of Messrs. Goodman, Vaught and Steffey were increased and in September 2017, Mr. Fahs’ base salary was increased. Following Mr. Steffey’s retirement from the position of President in September 2017, his base salary was decreased. See “Compensation Discussion and Analysis-Compensation Elements-Base Salary” above.</w:t>
      </w:r>
    </w:p>
    <w:p>
      <w:pPr>
        <w:spacing w:after="0" w:line="72" w:lineRule="exact"/>
        <w:rPr>
          <w:rFonts w:ascii="Arial" w:cs="Arial" w:eastAsia="Arial" w:hAnsi="Arial"/>
          <w:sz w:val="12"/>
          <w:szCs w:val="12"/>
          <w:color w:val="auto"/>
        </w:rPr>
      </w:pPr>
    </w:p>
    <w:p>
      <w:pPr>
        <w:ind w:left="347" w:right="300" w:hanging="347"/>
        <w:spacing w:after="0" w:line="228" w:lineRule="auto"/>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option awards calculated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(“Topic 718”) and utilizing the assumptions discussed in Note 5 to our consolidated financial statements for the year ended December 31, 2017 in the Form 10-K.</w:t>
      </w:r>
    </w:p>
    <w:p>
      <w:pPr>
        <w:spacing w:after="0" w:line="94" w:lineRule="exact"/>
        <w:rPr>
          <w:rFonts w:ascii="Arial" w:cs="Arial" w:eastAsia="Arial" w:hAnsi="Arial"/>
          <w:sz w:val="14"/>
          <w:szCs w:val="14"/>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Other Compensation for 2017 included:</w:t>
      </w:r>
    </w:p>
    <w:p>
      <w:pPr>
        <w:spacing w:after="0" w:line="33" w:lineRule="exact"/>
        <w:rPr>
          <w:sz w:val="20"/>
          <w:szCs w:val="20"/>
          <w:color w:val="auto"/>
        </w:rPr>
      </w:pPr>
    </w:p>
    <w:tbl>
      <w:tblPr>
        <w:tblLayout w:type="fixed"/>
        <w:tblInd w:w="397" w:type="dxa"/>
        <w:tblCellMar>
          <w:top w:w="0" w:type="dxa"/>
          <w:left w:w="0" w:type="dxa"/>
          <w:bottom w:w="0" w:type="dxa"/>
          <w:right w:w="0" w:type="dxa"/>
        </w:tblCellMar>
      </w:tblPr>
      <w:tr>
        <w:trPr>
          <w:trHeight w:val="149"/>
        </w:trPr>
        <w:tc>
          <w:tcPr>
            <w:tcW w:w="1520" w:type="dxa"/>
            <w:vAlign w:val="bottom"/>
            <w:tcBorders>
              <w:left w:val="single" w:sz="8" w:color="1F3C7B"/>
              <w:right w:val="single" w:sz="8" w:color="000E5B"/>
            </w:tcBorders>
            <w:shd w:val="clear" w:color="auto" w:fill="1F3C7B"/>
          </w:tcPr>
          <w:p>
            <w:pPr>
              <w:spacing w:after="0"/>
              <w:rPr>
                <w:sz w:val="12"/>
                <w:szCs w:val="12"/>
                <w:color w:val="auto"/>
              </w:rPr>
            </w:pPr>
          </w:p>
        </w:tc>
        <w:tc>
          <w:tcPr>
            <w:tcW w:w="110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7"/>
              </w:rPr>
              <w:t>Employer</w:t>
            </w:r>
          </w:p>
        </w:tc>
        <w:tc>
          <w:tcPr>
            <w:tcW w:w="1280" w:type="dxa"/>
            <w:vAlign w:val="bottom"/>
            <w:tcBorders>
              <w:right w:val="single" w:sz="8" w:color="000E5B"/>
            </w:tcBorders>
            <w:shd w:val="clear" w:color="auto" w:fill="1F3C7B"/>
          </w:tcPr>
          <w:p>
            <w:pPr>
              <w:spacing w:after="0"/>
              <w:rPr>
                <w:sz w:val="12"/>
                <w:szCs w:val="12"/>
                <w:color w:val="auto"/>
              </w:rPr>
            </w:pPr>
          </w:p>
        </w:tc>
        <w:tc>
          <w:tcPr>
            <w:tcW w:w="1120" w:type="dxa"/>
            <w:vAlign w:val="bottom"/>
            <w:tcBorders>
              <w:right w:val="single" w:sz="8" w:color="000E5B"/>
            </w:tcBorders>
            <w:shd w:val="clear" w:color="auto" w:fill="1F3C7B"/>
          </w:tcPr>
          <w:p>
            <w:pPr>
              <w:spacing w:after="0"/>
              <w:rPr>
                <w:sz w:val="12"/>
                <w:szCs w:val="12"/>
                <w:color w:val="auto"/>
              </w:rPr>
            </w:pPr>
          </w:p>
        </w:tc>
        <w:tc>
          <w:tcPr>
            <w:tcW w:w="11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4"/>
              </w:rPr>
              <w:t>Disability and</w:t>
            </w:r>
          </w:p>
        </w:tc>
        <w:tc>
          <w:tcPr>
            <w:tcW w:w="920" w:type="dxa"/>
            <w:vAlign w:val="bottom"/>
            <w:tcBorders>
              <w:right w:val="single" w:sz="8" w:color="000E5B"/>
            </w:tcBorders>
            <w:shd w:val="clear" w:color="auto" w:fill="1F3C7B"/>
          </w:tcPr>
          <w:p>
            <w:pPr>
              <w:spacing w:after="0"/>
              <w:rPr>
                <w:sz w:val="12"/>
                <w:szCs w:val="12"/>
                <w:color w:val="auto"/>
              </w:rPr>
            </w:pPr>
          </w:p>
        </w:tc>
        <w:tc>
          <w:tcPr>
            <w:tcW w:w="740" w:type="dxa"/>
            <w:vAlign w:val="bottom"/>
            <w:tcBorders>
              <w:right w:val="single" w:sz="8" w:color="000E5B"/>
            </w:tcBorders>
            <w:shd w:val="clear" w:color="auto" w:fill="1F3C7B"/>
          </w:tcPr>
          <w:p>
            <w:pPr>
              <w:spacing w:after="0"/>
              <w:rPr>
                <w:sz w:val="12"/>
                <w:szCs w:val="12"/>
                <w:color w:val="auto"/>
              </w:rPr>
            </w:pPr>
          </w:p>
        </w:tc>
        <w:tc>
          <w:tcPr>
            <w:tcW w:w="800" w:type="dxa"/>
            <w:vAlign w:val="bottom"/>
            <w:tcBorders>
              <w:right w:val="single" w:sz="8" w:color="1F3C7B"/>
            </w:tcBorders>
            <w:shd w:val="clear" w:color="auto" w:fill="1F3C7B"/>
          </w:tcPr>
          <w:p>
            <w:pPr>
              <w:spacing w:after="0"/>
              <w:rPr>
                <w:sz w:val="12"/>
                <w:szCs w:val="12"/>
                <w:color w:val="auto"/>
              </w:rPr>
            </w:pPr>
          </w:p>
        </w:tc>
      </w:tr>
      <w:tr>
        <w:trPr>
          <w:trHeight w:val="135"/>
        </w:trPr>
        <w:tc>
          <w:tcPr>
            <w:tcW w:w="1520" w:type="dxa"/>
            <w:vAlign w:val="bottom"/>
            <w:tcBorders>
              <w:left w:val="single" w:sz="8" w:color="1F3C7B"/>
              <w:right w:val="single" w:sz="8" w:color="000E5B"/>
            </w:tcBorders>
            <w:shd w:val="clear" w:color="auto" w:fill="1F3C7B"/>
          </w:tcPr>
          <w:p>
            <w:pPr>
              <w:spacing w:after="0"/>
              <w:rPr>
                <w:sz w:val="11"/>
                <w:szCs w:val="11"/>
                <w:color w:val="auto"/>
              </w:rPr>
            </w:pPr>
          </w:p>
        </w:tc>
        <w:tc>
          <w:tcPr>
            <w:tcW w:w="110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5"/>
              </w:rPr>
              <w:t>401(k)</w:t>
            </w:r>
          </w:p>
        </w:tc>
        <w:tc>
          <w:tcPr>
            <w:tcW w:w="1280" w:type="dxa"/>
            <w:vAlign w:val="bottom"/>
            <w:tcBorders>
              <w:right w:val="single" w:sz="8" w:color="000E5B"/>
            </w:tcBorders>
            <w:shd w:val="clear" w:color="auto" w:fill="1F3C7B"/>
          </w:tcPr>
          <w:p>
            <w:pPr>
              <w:spacing w:after="0"/>
              <w:rPr>
                <w:sz w:val="11"/>
                <w:szCs w:val="11"/>
                <w:color w:val="auto"/>
              </w:rPr>
            </w:pPr>
          </w:p>
        </w:tc>
        <w:tc>
          <w:tcPr>
            <w:tcW w:w="1120" w:type="dxa"/>
            <w:vAlign w:val="bottom"/>
            <w:tcBorders>
              <w:right w:val="single" w:sz="8" w:color="000E5B"/>
            </w:tcBorders>
            <w:shd w:val="clear" w:color="auto" w:fill="1F3C7B"/>
          </w:tcPr>
          <w:p>
            <w:pPr>
              <w:spacing w:after="0"/>
              <w:rPr>
                <w:sz w:val="11"/>
                <w:szCs w:val="11"/>
                <w:color w:val="auto"/>
              </w:rPr>
            </w:pP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5"/>
              </w:rPr>
              <w:t>AD&amp;D</w:t>
            </w:r>
          </w:p>
        </w:tc>
        <w:tc>
          <w:tcPr>
            <w:tcW w:w="920" w:type="dxa"/>
            <w:vAlign w:val="bottom"/>
            <w:tcBorders>
              <w:right w:val="single" w:sz="8" w:color="000E5B"/>
            </w:tcBorders>
            <w:shd w:val="clear" w:color="auto" w:fill="1F3C7B"/>
          </w:tcPr>
          <w:p>
            <w:pPr>
              <w:spacing w:after="0"/>
              <w:rPr>
                <w:sz w:val="11"/>
                <w:szCs w:val="11"/>
                <w:color w:val="auto"/>
              </w:rPr>
            </w:pPr>
          </w:p>
        </w:tc>
        <w:tc>
          <w:tcPr>
            <w:tcW w:w="740" w:type="dxa"/>
            <w:vAlign w:val="bottom"/>
            <w:tcBorders>
              <w:right w:val="single" w:sz="8" w:color="000E5B"/>
            </w:tcBorders>
            <w:shd w:val="clear" w:color="auto" w:fill="1F3C7B"/>
          </w:tcPr>
          <w:p>
            <w:pPr>
              <w:spacing w:after="0"/>
              <w:rPr>
                <w:sz w:val="11"/>
                <w:szCs w:val="11"/>
                <w:color w:val="auto"/>
              </w:rPr>
            </w:pPr>
          </w:p>
        </w:tc>
        <w:tc>
          <w:tcPr>
            <w:tcW w:w="800" w:type="dxa"/>
            <w:vAlign w:val="bottom"/>
            <w:tcBorders>
              <w:right w:val="single" w:sz="8" w:color="1F3C7B"/>
            </w:tcBorders>
            <w:shd w:val="clear" w:color="auto" w:fill="1F3C7B"/>
          </w:tcPr>
          <w:p>
            <w:pPr>
              <w:spacing w:after="0"/>
              <w:rPr>
                <w:sz w:val="11"/>
                <w:szCs w:val="11"/>
                <w:color w:val="auto"/>
              </w:rPr>
            </w:pPr>
          </w:p>
        </w:tc>
      </w:tr>
      <w:tr>
        <w:trPr>
          <w:trHeight w:val="135"/>
        </w:trPr>
        <w:tc>
          <w:tcPr>
            <w:tcW w:w="1520" w:type="dxa"/>
            <w:vAlign w:val="bottom"/>
            <w:tcBorders>
              <w:left w:val="single" w:sz="8" w:color="1F3C7B"/>
              <w:right w:val="single" w:sz="8" w:color="000E5B"/>
            </w:tcBorders>
            <w:shd w:val="clear" w:color="auto" w:fill="1F3C7B"/>
          </w:tcPr>
          <w:p>
            <w:pPr>
              <w:spacing w:after="0"/>
              <w:rPr>
                <w:sz w:val="11"/>
                <w:szCs w:val="11"/>
                <w:color w:val="auto"/>
              </w:rPr>
            </w:pPr>
          </w:p>
        </w:tc>
        <w:tc>
          <w:tcPr>
            <w:tcW w:w="110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Matching</w:t>
            </w:r>
          </w:p>
        </w:tc>
        <w:tc>
          <w:tcPr>
            <w:tcW w:w="128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Tax Services</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Life Insurance</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Insurance</w:t>
            </w:r>
          </w:p>
        </w:tc>
        <w:tc>
          <w:tcPr>
            <w:tcW w:w="9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Dividend</w:t>
            </w:r>
          </w:p>
        </w:tc>
        <w:tc>
          <w:tcPr>
            <w:tcW w:w="740" w:type="dxa"/>
            <w:vAlign w:val="bottom"/>
            <w:tcBorders>
              <w:right w:val="single" w:sz="8" w:color="000E5B"/>
            </w:tcBorders>
            <w:shd w:val="clear" w:color="auto" w:fill="1F3C7B"/>
          </w:tcPr>
          <w:p>
            <w:pPr>
              <w:spacing w:after="0"/>
              <w:rPr>
                <w:sz w:val="11"/>
                <w:szCs w:val="11"/>
                <w:color w:val="auto"/>
              </w:rPr>
            </w:pPr>
          </w:p>
        </w:tc>
        <w:tc>
          <w:tcPr>
            <w:tcW w:w="800" w:type="dxa"/>
            <w:vAlign w:val="bottom"/>
            <w:tcBorders>
              <w:right w:val="single" w:sz="8" w:color="1F3C7B"/>
            </w:tcBorders>
            <w:shd w:val="clear" w:color="auto" w:fill="1F3C7B"/>
          </w:tcPr>
          <w:p>
            <w:pPr>
              <w:spacing w:after="0"/>
              <w:rPr>
                <w:sz w:val="11"/>
                <w:szCs w:val="11"/>
                <w:color w:val="auto"/>
              </w:rPr>
            </w:pPr>
          </w:p>
        </w:tc>
      </w:tr>
      <w:tr>
        <w:trPr>
          <w:trHeight w:val="135"/>
        </w:trPr>
        <w:tc>
          <w:tcPr>
            <w:tcW w:w="1520" w:type="dxa"/>
            <w:vAlign w:val="bottom"/>
            <w:tcBorders>
              <w:left w:val="single" w:sz="8" w:color="1F3C7B"/>
              <w:right w:val="single" w:sz="8" w:color="000E5B"/>
            </w:tcBorders>
            <w:shd w:val="clear" w:color="auto" w:fill="1F3C7B"/>
          </w:tcPr>
          <w:p>
            <w:pPr>
              <w:spacing w:after="0"/>
              <w:rPr>
                <w:sz w:val="11"/>
                <w:szCs w:val="11"/>
                <w:color w:val="auto"/>
              </w:rPr>
            </w:pPr>
          </w:p>
        </w:tc>
        <w:tc>
          <w:tcPr>
            <w:tcW w:w="110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28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5"/>
              </w:rPr>
              <w:t>Reimbursement</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Premiums</w:t>
            </w:r>
          </w:p>
        </w:tc>
        <w:tc>
          <w:tcPr>
            <w:tcW w:w="11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5"/>
              </w:rPr>
              <w:t>Premiums</w:t>
            </w:r>
          </w:p>
        </w:tc>
        <w:tc>
          <w:tcPr>
            <w:tcW w:w="92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Equivalent</w:t>
            </w:r>
          </w:p>
        </w:tc>
        <w:tc>
          <w:tcPr>
            <w:tcW w:w="740" w:type="dxa"/>
            <w:vAlign w:val="bottom"/>
            <w:tcBorders>
              <w:right w:val="single" w:sz="8" w:color="000E5B"/>
            </w:tcBorders>
            <w:shd w:val="clear" w:color="auto" w:fill="1F3C7B"/>
          </w:tcPr>
          <w:p>
            <w:pPr>
              <w:jc w:val="right"/>
              <w:ind w:right="157"/>
              <w:spacing w:after="0" w:line="135" w:lineRule="exact"/>
              <w:rPr>
                <w:sz w:val="20"/>
                <w:szCs w:val="20"/>
                <w:color w:val="auto"/>
              </w:rPr>
            </w:pPr>
            <w:r>
              <w:rPr>
                <w:rFonts w:ascii="Arial" w:cs="Arial" w:eastAsia="Arial" w:hAnsi="Arial"/>
                <w:sz w:val="13"/>
                <w:szCs w:val="13"/>
                <w:b w:val="1"/>
                <w:bCs w:val="1"/>
                <w:color w:val="FFFFFF"/>
              </w:rPr>
              <w:t>Other</w:t>
            </w:r>
          </w:p>
        </w:tc>
        <w:tc>
          <w:tcPr>
            <w:tcW w:w="800" w:type="dxa"/>
            <w:vAlign w:val="bottom"/>
            <w:tcBorders>
              <w:right w:val="single" w:sz="8" w:color="1F3C7B"/>
            </w:tcBorders>
            <w:shd w:val="clear" w:color="auto" w:fill="1F3C7B"/>
          </w:tcPr>
          <w:p>
            <w:pPr>
              <w:jc w:val="right"/>
              <w:ind w:right="197"/>
              <w:spacing w:after="0" w:line="135" w:lineRule="exact"/>
              <w:rPr>
                <w:sz w:val="20"/>
                <w:szCs w:val="20"/>
                <w:color w:val="auto"/>
              </w:rPr>
            </w:pPr>
            <w:r>
              <w:rPr>
                <w:rFonts w:ascii="Arial" w:cs="Arial" w:eastAsia="Arial" w:hAnsi="Arial"/>
                <w:sz w:val="13"/>
                <w:szCs w:val="13"/>
                <w:b w:val="1"/>
                <w:bCs w:val="1"/>
                <w:color w:val="FFFFFF"/>
              </w:rPr>
              <w:t>Total</w:t>
            </w:r>
          </w:p>
        </w:tc>
      </w:tr>
      <w:tr>
        <w:trPr>
          <w:trHeight w:val="171"/>
        </w:trPr>
        <w:tc>
          <w:tcPr>
            <w:tcW w:w="1520" w:type="dxa"/>
            <w:vAlign w:val="bottom"/>
            <w:tcBorders>
              <w:left w:val="single" w:sz="8" w:color="1F3C7B"/>
              <w:right w:val="single" w:sz="8" w:color="000E5B"/>
            </w:tcBorders>
            <w:shd w:val="clear" w:color="auto" w:fill="1F3C7B"/>
          </w:tcPr>
          <w:p>
            <w:pPr>
              <w:ind w:left="600"/>
              <w:spacing w:after="0"/>
              <w:rPr>
                <w:sz w:val="20"/>
                <w:szCs w:val="20"/>
                <w:color w:val="auto"/>
              </w:rPr>
            </w:pPr>
            <w:r>
              <w:rPr>
                <w:rFonts w:ascii="Arial" w:cs="Arial" w:eastAsia="Arial" w:hAnsi="Arial"/>
                <w:sz w:val="13"/>
                <w:szCs w:val="13"/>
                <w:b w:val="1"/>
                <w:bCs w:val="1"/>
                <w:color w:val="FFFFFF"/>
              </w:rPr>
              <w:t>NEO</w:t>
            </w:r>
          </w:p>
        </w:tc>
        <w:tc>
          <w:tcPr>
            <w:tcW w:w="110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5"/>
              </w:rPr>
              <w:t>($) (a)</w:t>
            </w:r>
          </w:p>
        </w:tc>
        <w:tc>
          <w:tcPr>
            <w:tcW w:w="128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4"/>
              </w:rPr>
              <w:t>($) (b)</w:t>
            </w:r>
          </w:p>
        </w:tc>
        <w:tc>
          <w:tcPr>
            <w:tcW w:w="11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5"/>
              </w:rPr>
              <w:t>($) (c)</w:t>
            </w:r>
          </w:p>
        </w:tc>
        <w:tc>
          <w:tcPr>
            <w:tcW w:w="11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9"/>
              </w:rPr>
              <w:t>($) (d)</w:t>
            </w:r>
          </w:p>
        </w:tc>
        <w:tc>
          <w:tcPr>
            <w:tcW w:w="92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7"/>
              </w:rPr>
              <w:t>$ (e)</w:t>
            </w:r>
          </w:p>
        </w:tc>
        <w:tc>
          <w:tcPr>
            <w:tcW w:w="740" w:type="dxa"/>
            <w:vAlign w:val="bottom"/>
            <w:tcBorders>
              <w:right w:val="single" w:sz="8" w:color="000E5B"/>
            </w:tcBorders>
            <w:shd w:val="clear" w:color="auto" w:fill="1F3C7B"/>
          </w:tcPr>
          <w:p>
            <w:pPr>
              <w:jc w:val="right"/>
              <w:ind w:right="157"/>
              <w:spacing w:after="0"/>
              <w:rPr>
                <w:sz w:val="20"/>
                <w:szCs w:val="20"/>
                <w:color w:val="auto"/>
              </w:rPr>
            </w:pPr>
            <w:r>
              <w:rPr>
                <w:rFonts w:ascii="Arial" w:cs="Arial" w:eastAsia="Arial" w:hAnsi="Arial"/>
                <w:sz w:val="13"/>
                <w:szCs w:val="13"/>
                <w:b w:val="1"/>
                <w:bCs w:val="1"/>
                <w:color w:val="FFFFFF"/>
              </w:rPr>
              <w:t>($) (f)</w:t>
            </w:r>
          </w:p>
        </w:tc>
        <w:tc>
          <w:tcPr>
            <w:tcW w:w="800" w:type="dxa"/>
            <w:vAlign w:val="bottom"/>
            <w:tcBorders>
              <w:right w:val="single" w:sz="8" w:color="1F3C7B"/>
            </w:tcBorders>
            <w:shd w:val="clear" w:color="auto" w:fill="1F3C7B"/>
          </w:tcPr>
          <w:p>
            <w:pPr>
              <w:jc w:val="right"/>
              <w:ind w:right="257"/>
              <w:spacing w:after="0"/>
              <w:rPr>
                <w:sz w:val="20"/>
                <w:szCs w:val="20"/>
                <w:color w:val="auto"/>
              </w:rPr>
            </w:pPr>
            <w:r>
              <w:rPr>
                <w:rFonts w:ascii="Arial" w:cs="Arial" w:eastAsia="Arial" w:hAnsi="Arial"/>
                <w:sz w:val="13"/>
                <w:szCs w:val="13"/>
                <w:b w:val="1"/>
                <w:bCs w:val="1"/>
                <w:color w:val="FFFFFF"/>
              </w:rPr>
              <w:t>($)</w:t>
            </w:r>
          </w:p>
        </w:tc>
      </w:tr>
      <w:tr>
        <w:trPr>
          <w:trHeight w:val="161"/>
        </w:trPr>
        <w:tc>
          <w:tcPr>
            <w:tcW w:w="15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L. Reade Fahs</w:t>
            </w:r>
          </w:p>
        </w:tc>
        <w:tc>
          <w:tcPr>
            <w:tcW w:w="110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2,564</w:t>
            </w:r>
          </w:p>
        </w:tc>
        <w:tc>
          <w:tcPr>
            <w:tcW w:w="128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4,650</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360</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2,516</w:t>
            </w:r>
          </w:p>
        </w:tc>
        <w:tc>
          <w:tcPr>
            <w:tcW w:w="9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000E5B"/>
            </w:tcBorders>
            <w:shd w:val="clear" w:color="auto" w:fill="CCEEFF"/>
          </w:tcPr>
          <w:p>
            <w:pPr>
              <w:jc w:val="right"/>
              <w:ind w:right="57"/>
              <w:spacing w:after="0"/>
              <w:rPr>
                <w:sz w:val="20"/>
                <w:szCs w:val="20"/>
                <w:color w:val="auto"/>
              </w:rPr>
            </w:pPr>
            <w:r>
              <w:rPr>
                <w:rFonts w:ascii="Arial" w:cs="Arial" w:eastAsia="Arial" w:hAnsi="Arial"/>
                <w:sz w:val="13"/>
                <w:szCs w:val="13"/>
                <w:color w:val="auto"/>
              </w:rPr>
              <w:t>13,150</w:t>
            </w:r>
          </w:p>
        </w:tc>
        <w:tc>
          <w:tcPr>
            <w:tcW w:w="800" w:type="dxa"/>
            <w:vAlign w:val="bottom"/>
            <w:tcBorders>
              <w:right w:val="single" w:sz="8" w:color="1F3C7B"/>
            </w:tcBorders>
            <w:shd w:val="clear" w:color="auto" w:fill="CCEEFF"/>
          </w:tcPr>
          <w:p>
            <w:pPr>
              <w:jc w:val="right"/>
              <w:ind w:right="37"/>
              <w:spacing w:after="0"/>
              <w:rPr>
                <w:sz w:val="20"/>
                <w:szCs w:val="20"/>
                <w:color w:val="auto"/>
              </w:rPr>
            </w:pPr>
            <w:r>
              <w:rPr>
                <w:rFonts w:ascii="Arial" w:cs="Arial" w:eastAsia="Arial" w:hAnsi="Arial"/>
                <w:sz w:val="13"/>
                <w:szCs w:val="13"/>
                <w:color w:val="auto"/>
              </w:rPr>
              <w:t>23,240</w:t>
            </w:r>
          </w:p>
        </w:tc>
      </w:tr>
      <w:tr>
        <w:trPr>
          <w:trHeight w:val="163"/>
        </w:trPr>
        <w:tc>
          <w:tcPr>
            <w:tcW w:w="15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Patrick R. Moore</w:t>
            </w:r>
          </w:p>
        </w:tc>
        <w:tc>
          <w:tcPr>
            <w:tcW w:w="110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2,564</w:t>
            </w:r>
          </w:p>
        </w:tc>
        <w:tc>
          <w:tcPr>
            <w:tcW w:w="128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360</w:t>
            </w:r>
          </w:p>
        </w:tc>
        <w:tc>
          <w:tcPr>
            <w:tcW w:w="11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120</w:t>
            </w:r>
          </w:p>
        </w:tc>
        <w:tc>
          <w:tcPr>
            <w:tcW w:w="9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90,838</w:t>
            </w:r>
          </w:p>
        </w:tc>
        <w:tc>
          <w:tcPr>
            <w:tcW w:w="7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F3C7B"/>
            </w:tcBorders>
            <w:shd w:val="clear" w:color="auto" w:fill="C6C8CA"/>
          </w:tcPr>
          <w:p>
            <w:pPr>
              <w:jc w:val="right"/>
              <w:ind w:right="37"/>
              <w:spacing w:after="0"/>
              <w:rPr>
                <w:sz w:val="20"/>
                <w:szCs w:val="20"/>
                <w:color w:val="auto"/>
              </w:rPr>
            </w:pPr>
            <w:r>
              <w:rPr>
                <w:rFonts w:ascii="Arial" w:cs="Arial" w:eastAsia="Arial" w:hAnsi="Arial"/>
                <w:sz w:val="13"/>
                <w:szCs w:val="13"/>
                <w:color w:val="auto"/>
              </w:rPr>
              <w:t>93,882</w:t>
            </w:r>
          </w:p>
        </w:tc>
      </w:tr>
      <w:tr>
        <w:trPr>
          <w:trHeight w:val="161"/>
        </w:trPr>
        <w:tc>
          <w:tcPr>
            <w:tcW w:w="15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Jeff McAllister</w:t>
            </w:r>
          </w:p>
        </w:tc>
        <w:tc>
          <w:tcPr>
            <w:tcW w:w="110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8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90</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1,049</w:t>
            </w:r>
          </w:p>
        </w:tc>
        <w:tc>
          <w:tcPr>
            <w:tcW w:w="9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000E5B"/>
            </w:tcBorders>
            <w:shd w:val="clear" w:color="auto" w:fill="CCEEFF"/>
          </w:tcPr>
          <w:p>
            <w:pPr>
              <w:jc w:val="right"/>
              <w:ind w:right="57"/>
              <w:spacing w:after="0"/>
              <w:rPr>
                <w:sz w:val="20"/>
                <w:szCs w:val="20"/>
                <w:color w:val="auto"/>
              </w:rPr>
            </w:pPr>
            <w:r>
              <w:rPr>
                <w:rFonts w:ascii="Arial" w:cs="Arial" w:eastAsia="Arial" w:hAnsi="Arial"/>
                <w:sz w:val="13"/>
                <w:szCs w:val="13"/>
                <w:color w:val="auto"/>
              </w:rPr>
              <w:t>5,162</w:t>
            </w:r>
          </w:p>
        </w:tc>
        <w:tc>
          <w:tcPr>
            <w:tcW w:w="800" w:type="dxa"/>
            <w:vAlign w:val="bottom"/>
            <w:tcBorders>
              <w:right w:val="single" w:sz="8" w:color="1F3C7B"/>
            </w:tcBorders>
            <w:shd w:val="clear" w:color="auto" w:fill="CCEEFF"/>
          </w:tcPr>
          <w:p>
            <w:pPr>
              <w:jc w:val="right"/>
              <w:ind w:right="37"/>
              <w:spacing w:after="0"/>
              <w:rPr>
                <w:sz w:val="20"/>
                <w:szCs w:val="20"/>
                <w:color w:val="auto"/>
              </w:rPr>
            </w:pPr>
            <w:r>
              <w:rPr>
                <w:rFonts w:ascii="Arial" w:cs="Arial" w:eastAsia="Arial" w:hAnsi="Arial"/>
                <w:sz w:val="13"/>
                <w:szCs w:val="13"/>
                <w:color w:val="auto"/>
              </w:rPr>
              <w:t>6,301</w:t>
            </w:r>
          </w:p>
        </w:tc>
      </w:tr>
      <w:tr>
        <w:trPr>
          <w:trHeight w:val="163"/>
        </w:trPr>
        <w:tc>
          <w:tcPr>
            <w:tcW w:w="15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Mitchell Goodman</w:t>
            </w:r>
          </w:p>
        </w:tc>
        <w:tc>
          <w:tcPr>
            <w:tcW w:w="110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2,564</w:t>
            </w:r>
          </w:p>
        </w:tc>
        <w:tc>
          <w:tcPr>
            <w:tcW w:w="128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360</w:t>
            </w:r>
          </w:p>
        </w:tc>
        <w:tc>
          <w:tcPr>
            <w:tcW w:w="11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5,399</w:t>
            </w:r>
          </w:p>
        </w:tc>
        <w:tc>
          <w:tcPr>
            <w:tcW w:w="920" w:type="dxa"/>
            <w:vAlign w:val="bottom"/>
            <w:tcBorders>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169,564</w:t>
            </w:r>
          </w:p>
        </w:tc>
        <w:tc>
          <w:tcPr>
            <w:tcW w:w="7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F3C7B"/>
            </w:tcBorders>
            <w:shd w:val="clear" w:color="auto" w:fill="C6C8CA"/>
          </w:tcPr>
          <w:p>
            <w:pPr>
              <w:jc w:val="right"/>
              <w:ind w:right="37"/>
              <w:spacing w:after="0"/>
              <w:rPr>
                <w:sz w:val="20"/>
                <w:szCs w:val="20"/>
                <w:color w:val="auto"/>
              </w:rPr>
            </w:pPr>
            <w:r>
              <w:rPr>
                <w:rFonts w:ascii="Arial" w:cs="Arial" w:eastAsia="Arial" w:hAnsi="Arial"/>
                <w:sz w:val="13"/>
                <w:szCs w:val="13"/>
                <w:color w:val="auto"/>
              </w:rPr>
              <w:t>177,887</w:t>
            </w:r>
          </w:p>
        </w:tc>
      </w:tr>
      <w:tr>
        <w:trPr>
          <w:trHeight w:val="161"/>
        </w:trPr>
        <w:tc>
          <w:tcPr>
            <w:tcW w:w="15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John Vaught</w:t>
            </w:r>
          </w:p>
        </w:tc>
        <w:tc>
          <w:tcPr>
            <w:tcW w:w="110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2,564</w:t>
            </w:r>
          </w:p>
        </w:tc>
        <w:tc>
          <w:tcPr>
            <w:tcW w:w="128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360</w:t>
            </w:r>
          </w:p>
        </w:tc>
        <w:tc>
          <w:tcPr>
            <w:tcW w:w="11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4,174</w:t>
            </w:r>
          </w:p>
        </w:tc>
        <w:tc>
          <w:tcPr>
            <w:tcW w:w="920" w:type="dxa"/>
            <w:vAlign w:val="bottom"/>
            <w:tcBorders>
              <w:right w:val="single" w:sz="8" w:color="000E5B"/>
            </w:tcBorders>
            <w:shd w:val="clear" w:color="auto" w:fill="CCEEFF"/>
          </w:tcPr>
          <w:p>
            <w:pPr>
              <w:jc w:val="right"/>
              <w:ind w:right="37"/>
              <w:spacing w:after="0"/>
              <w:rPr>
                <w:sz w:val="20"/>
                <w:szCs w:val="20"/>
                <w:color w:val="auto"/>
              </w:rPr>
            </w:pPr>
            <w:r>
              <w:rPr>
                <w:rFonts w:ascii="Arial" w:cs="Arial" w:eastAsia="Arial" w:hAnsi="Arial"/>
                <w:sz w:val="13"/>
                <w:szCs w:val="13"/>
                <w:color w:val="auto"/>
              </w:rPr>
              <w:t>120,095</w:t>
            </w:r>
          </w:p>
        </w:tc>
        <w:tc>
          <w:tcPr>
            <w:tcW w:w="740" w:type="dxa"/>
            <w:vAlign w:val="bottom"/>
            <w:tcBorders>
              <w:right w:val="single" w:sz="8" w:color="000E5B"/>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1F3C7B"/>
            </w:tcBorders>
            <w:shd w:val="clear" w:color="auto" w:fill="CCEEFF"/>
          </w:tcPr>
          <w:p>
            <w:pPr>
              <w:jc w:val="right"/>
              <w:ind w:right="37"/>
              <w:spacing w:after="0"/>
              <w:rPr>
                <w:sz w:val="20"/>
                <w:szCs w:val="20"/>
                <w:color w:val="auto"/>
              </w:rPr>
            </w:pPr>
            <w:r>
              <w:rPr>
                <w:rFonts w:ascii="Arial" w:cs="Arial" w:eastAsia="Arial" w:hAnsi="Arial"/>
                <w:sz w:val="13"/>
                <w:szCs w:val="13"/>
                <w:color w:val="auto"/>
              </w:rPr>
              <w:t>127,193</w:t>
            </w:r>
          </w:p>
        </w:tc>
      </w:tr>
      <w:tr>
        <w:trPr>
          <w:trHeight w:val="162"/>
        </w:trPr>
        <w:tc>
          <w:tcPr>
            <w:tcW w:w="1520" w:type="dxa"/>
            <w:vAlign w:val="bottom"/>
            <w:tcBorders>
              <w:left w:val="single" w:sz="8" w:color="1F3C7B"/>
              <w:bottom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J. Bruce Steffey</w:t>
            </w:r>
          </w:p>
        </w:tc>
        <w:tc>
          <w:tcPr>
            <w:tcW w:w="1100" w:type="dxa"/>
            <w:vAlign w:val="bottom"/>
            <w:tcBorders>
              <w:bottom w:val="single" w:sz="8" w:color="1F3C7B"/>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2,564</w:t>
            </w:r>
          </w:p>
        </w:tc>
        <w:tc>
          <w:tcPr>
            <w:tcW w:w="1280" w:type="dxa"/>
            <w:vAlign w:val="bottom"/>
            <w:tcBorders>
              <w:bottom w:val="single" w:sz="8" w:color="1F3C7B"/>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1F3C7B"/>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270</w:t>
            </w:r>
          </w:p>
        </w:tc>
        <w:tc>
          <w:tcPr>
            <w:tcW w:w="1120" w:type="dxa"/>
            <w:vAlign w:val="bottom"/>
            <w:tcBorders>
              <w:bottom w:val="single" w:sz="8" w:color="1F3C7B"/>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1,619</w:t>
            </w:r>
          </w:p>
        </w:tc>
        <w:tc>
          <w:tcPr>
            <w:tcW w:w="920" w:type="dxa"/>
            <w:vAlign w:val="bottom"/>
            <w:tcBorders>
              <w:bottom w:val="single" w:sz="8" w:color="1F3C7B"/>
              <w:right w:val="single" w:sz="8" w:color="000E5B"/>
            </w:tcBorders>
            <w:shd w:val="clear" w:color="auto" w:fill="C6C8CA"/>
          </w:tcPr>
          <w:p>
            <w:pPr>
              <w:jc w:val="right"/>
              <w:ind w:right="37"/>
              <w:spacing w:after="0"/>
              <w:rPr>
                <w:sz w:val="20"/>
                <w:szCs w:val="20"/>
                <w:color w:val="auto"/>
              </w:rPr>
            </w:pPr>
            <w:r>
              <w:rPr>
                <w:rFonts w:ascii="Arial" w:cs="Arial" w:eastAsia="Arial" w:hAnsi="Arial"/>
                <w:sz w:val="13"/>
                <w:szCs w:val="13"/>
                <w:color w:val="auto"/>
              </w:rPr>
              <w:t>363,351</w:t>
            </w:r>
          </w:p>
        </w:tc>
        <w:tc>
          <w:tcPr>
            <w:tcW w:w="740" w:type="dxa"/>
            <w:vAlign w:val="bottom"/>
            <w:tcBorders>
              <w:bottom w:val="single" w:sz="8" w:color="1F3C7B"/>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1F3C7B"/>
              <w:right w:val="single" w:sz="8" w:color="1F3C7B"/>
            </w:tcBorders>
            <w:shd w:val="clear" w:color="auto" w:fill="C6C8CA"/>
          </w:tcPr>
          <w:p>
            <w:pPr>
              <w:jc w:val="right"/>
              <w:ind w:right="37"/>
              <w:spacing w:after="0"/>
              <w:rPr>
                <w:sz w:val="20"/>
                <w:szCs w:val="20"/>
                <w:color w:val="auto"/>
              </w:rPr>
            </w:pPr>
            <w:r>
              <w:rPr>
                <w:rFonts w:ascii="Arial" w:cs="Arial" w:eastAsia="Arial" w:hAnsi="Arial"/>
                <w:sz w:val="13"/>
                <w:szCs w:val="13"/>
                <w:color w:val="auto"/>
              </w:rPr>
              <w:t>367,804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-625475</wp:posOffset>
            </wp:positionV>
            <wp:extent cx="5454015"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54015" cy="10287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-419735</wp:posOffset>
            </wp:positionV>
            <wp:extent cx="5454015"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54015" cy="10287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-213995</wp:posOffset>
            </wp:positionV>
            <wp:extent cx="5454015"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4015" cy="10287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120015</wp:posOffset>
            </wp:positionV>
            <wp:extent cx="11664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90" w:lineRule="exact"/>
        <w:rPr>
          <w:sz w:val="20"/>
          <w:szCs w:val="20"/>
          <w:color w:val="auto"/>
        </w:rPr>
      </w:pPr>
    </w:p>
    <w:p>
      <w:pPr>
        <w:ind w:left="707" w:hanging="356"/>
        <w:spacing w:after="0"/>
        <w:tabs>
          <w:tab w:leader="none" w:pos="7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401(k) plan provides for a 50% matching contribution on the first 3% of participants’ pre-tax contributions up to IRS limits.</w:t>
      </w:r>
    </w:p>
    <w:p>
      <w:pPr>
        <w:spacing w:after="0" w:line="95" w:lineRule="exact"/>
        <w:rPr>
          <w:rFonts w:ascii="Arial" w:cs="Arial" w:eastAsia="Arial" w:hAnsi="Arial"/>
          <w:sz w:val="14"/>
          <w:szCs w:val="14"/>
          <w:color w:val="auto"/>
        </w:rPr>
      </w:pPr>
    </w:p>
    <w:p>
      <w:pPr>
        <w:ind w:left="707" w:hanging="356"/>
        <w:spacing w:after="0"/>
        <w:tabs>
          <w:tab w:leader="none" w:pos="707" w:val="left"/>
        </w:tabs>
        <w:numPr>
          <w:ilvl w:val="0"/>
          <w:numId w:val="35"/>
        </w:numPr>
        <w:rPr>
          <w:rFonts w:ascii="Arial" w:cs="Arial" w:eastAsia="Arial" w:hAnsi="Arial"/>
          <w:sz w:val="12"/>
          <w:szCs w:val="12"/>
          <w:color w:val="auto"/>
        </w:rPr>
      </w:pPr>
      <w:r>
        <w:rPr>
          <w:rFonts w:ascii="Arial" w:cs="Arial" w:eastAsia="Arial" w:hAnsi="Arial"/>
          <w:sz w:val="12"/>
          <w:szCs w:val="12"/>
          <w:color w:val="auto"/>
        </w:rPr>
        <w:t>With respect to each calendar year of employment, Mr. Fahs is entitled to be reimbursed by us for the reasonable cost of tax accounting services.</w:t>
      </w:r>
    </w:p>
    <w:p>
      <w:pPr>
        <w:spacing w:after="0" w:line="118" w:lineRule="exact"/>
        <w:rPr>
          <w:rFonts w:ascii="Arial" w:cs="Arial" w:eastAsia="Arial" w:hAnsi="Arial"/>
          <w:sz w:val="12"/>
          <w:szCs w:val="12"/>
          <w:color w:val="auto"/>
        </w:rPr>
      </w:pPr>
    </w:p>
    <w:p>
      <w:pPr>
        <w:ind w:left="707" w:hanging="356"/>
        <w:spacing w:after="0"/>
        <w:tabs>
          <w:tab w:leader="none" w:pos="7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of our NEOs is entitled to basic life insurance coverage of up to two times base salary up to $500,000.</w:t>
      </w:r>
    </w:p>
    <w:p>
      <w:pPr>
        <w:spacing w:after="0" w:line="95" w:lineRule="exact"/>
        <w:rPr>
          <w:rFonts w:ascii="Arial" w:cs="Arial" w:eastAsia="Arial" w:hAnsi="Arial"/>
          <w:sz w:val="14"/>
          <w:szCs w:val="14"/>
          <w:color w:val="auto"/>
        </w:rPr>
      </w:pPr>
    </w:p>
    <w:p>
      <w:pPr>
        <w:ind w:left="707" w:right="180" w:hanging="356"/>
        <w:spacing w:after="0" w:line="228" w:lineRule="auto"/>
        <w:tabs>
          <w:tab w:leader="none" w:pos="707"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of our NEOs is entitled to supplemental long-term disability and accidental death insurance coverage. The total benefit maximum of both the basic and supplemental disability insurance coverage is $10,000 and the maximum accidental death benefit is up to the lessor of two times base salary or $500,000.</w:t>
      </w:r>
    </w:p>
    <w:p>
      <w:pPr>
        <w:spacing w:after="0" w:line="120"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205740" cy="1631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1" w:name="page32"/>
    <w:bookmarkEnd w:id="3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ind w:left="707" w:right="220" w:hanging="356"/>
        <w:spacing w:after="0" w:line="231" w:lineRule="auto"/>
        <w:tabs>
          <w:tab w:leader="none" w:pos="707" w:val="left"/>
        </w:tabs>
        <w:numPr>
          <w:ilvl w:val="1"/>
          <w:numId w:val="36"/>
        </w:numPr>
        <w:rPr>
          <w:rFonts w:ascii="Arial" w:cs="Arial" w:eastAsia="Arial" w:hAnsi="Arial"/>
          <w:sz w:val="14"/>
          <w:szCs w:val="14"/>
          <w:color w:val="auto"/>
        </w:rPr>
      </w:pPr>
      <w:r>
        <w:rPr>
          <w:rFonts w:ascii="Arial" w:cs="Arial" w:eastAsia="Arial" w:hAnsi="Arial"/>
          <w:sz w:val="14"/>
          <w:szCs w:val="14"/>
          <w:color w:val="auto"/>
        </w:rPr>
        <w:t>Represents a one-time cash payment made to equitably reflect the impact of the 2017 Dividend on vested options, equal to the number of vested options multiplied by an amount equal to the 2017 Dividend Amount, less any applicable withholding taxes.</w:t>
      </w:r>
    </w:p>
    <w:p>
      <w:pPr>
        <w:spacing w:after="0" w:line="95" w:lineRule="exact"/>
        <w:rPr>
          <w:rFonts w:ascii="Arial" w:cs="Arial" w:eastAsia="Arial" w:hAnsi="Arial"/>
          <w:sz w:val="14"/>
          <w:szCs w:val="14"/>
          <w:color w:val="auto"/>
        </w:rPr>
      </w:pPr>
    </w:p>
    <w:p>
      <w:pPr>
        <w:ind w:left="707" w:hanging="356"/>
        <w:spacing w:after="0"/>
        <w:tabs>
          <w:tab w:leader="none" w:pos="707" w:val="left"/>
        </w:tabs>
        <w:numPr>
          <w:ilvl w:val="1"/>
          <w:numId w:val="36"/>
        </w:numPr>
        <w:rPr>
          <w:rFonts w:ascii="Arial" w:cs="Arial" w:eastAsia="Arial" w:hAnsi="Arial"/>
          <w:sz w:val="14"/>
          <w:szCs w:val="14"/>
          <w:color w:val="auto"/>
        </w:rPr>
      </w:pPr>
      <w:r>
        <w:rPr>
          <w:rFonts w:ascii="Arial" w:cs="Arial" w:eastAsia="Arial" w:hAnsi="Arial"/>
          <w:sz w:val="14"/>
          <w:szCs w:val="14"/>
          <w:color w:val="auto"/>
        </w:rPr>
        <w:t>Represents fees paid for Mr. Fahs’ YPO membership and fees paid for Mr. McAllister’s taxable relocation expenses.</w:t>
      </w:r>
    </w:p>
    <w:p>
      <w:pPr>
        <w:spacing w:after="0" w:line="95" w:lineRule="exact"/>
        <w:rPr>
          <w:rFonts w:ascii="Arial" w:cs="Arial" w:eastAsia="Arial" w:hAnsi="Arial"/>
          <w:sz w:val="14"/>
          <w:szCs w:val="14"/>
          <w:color w:val="auto"/>
        </w:rPr>
      </w:pPr>
    </w:p>
    <w:p>
      <w:pPr>
        <w:ind w:left="347" w:right="20" w:hanging="347"/>
        <w:spacing w:after="0" w:line="228"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shown reflects the proration of Mr. Fahs’ annual, performance-based cash bonus under the MIP for fiscal 2017 based on the increase in his target bonus percentage that took effect on September 1, 2017. See “Compensation Discussion and Analysis—Compensation Elements - Management Incentive Plan” for additional information.</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2017 Grants of Plan-Based Awards</w:t>
      </w:r>
    </w:p>
    <w:p>
      <w:pPr>
        <w:spacing w:after="0" w:line="126" w:lineRule="exact"/>
        <w:rPr>
          <w:sz w:val="20"/>
          <w:szCs w:val="20"/>
          <w:color w:val="auto"/>
        </w:rPr>
      </w:pPr>
    </w:p>
    <w:p>
      <w:pPr>
        <w:ind w:left="7" w:right="340"/>
        <w:spacing w:after="0" w:line="262" w:lineRule="auto"/>
        <w:rPr>
          <w:sz w:val="20"/>
          <w:szCs w:val="20"/>
          <w:color w:val="auto"/>
        </w:rPr>
      </w:pPr>
      <w:r>
        <w:rPr>
          <w:rFonts w:ascii="Arial" w:cs="Arial" w:eastAsia="Arial" w:hAnsi="Arial"/>
          <w:sz w:val="18"/>
          <w:szCs w:val="18"/>
          <w:color w:val="auto"/>
        </w:rPr>
        <w:t>The following table sets forth information concerning grants of plan-based awards to the NEOs during the fiscal year ended December 30, 2017.</w:t>
      </w:r>
    </w:p>
    <w:p>
      <w:pPr>
        <w:spacing w:after="0" w:line="26" w:lineRule="exact"/>
        <w:rPr>
          <w:sz w:val="20"/>
          <w:szCs w:val="20"/>
          <w:color w:val="auto"/>
        </w:rPr>
      </w:pPr>
    </w:p>
    <w:tbl>
      <w:tblPr>
        <w:tblLayout w:type="fixed"/>
        <w:tblInd w:w="17" w:type="dxa"/>
        <w:tblCellMar>
          <w:top w:w="0" w:type="dxa"/>
          <w:left w:w="0" w:type="dxa"/>
          <w:bottom w:w="0" w:type="dxa"/>
          <w:right w:w="0" w:type="dxa"/>
        </w:tblCellMar>
      </w:tblPr>
      <w:tr>
        <w:trPr>
          <w:trHeight w:val="149"/>
        </w:trPr>
        <w:tc>
          <w:tcPr>
            <w:tcW w:w="1120" w:type="dxa"/>
            <w:vAlign w:val="bottom"/>
            <w:tcBorders>
              <w:left w:val="single" w:sz="8" w:color="1F3C7B"/>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spacing w:after="0"/>
              <w:rPr>
                <w:sz w:val="13"/>
                <w:szCs w:val="13"/>
                <w:color w:val="auto"/>
              </w:rPr>
            </w:pPr>
          </w:p>
        </w:tc>
        <w:tc>
          <w:tcPr>
            <w:tcW w:w="820" w:type="dxa"/>
            <w:vAlign w:val="bottom"/>
            <w:tcBorders>
              <w:right w:val="single" w:sz="8" w:color="1F3C7B"/>
            </w:tcBorders>
            <w:shd w:val="clear" w:color="auto" w:fill="1F3C7B"/>
          </w:tcPr>
          <w:p>
            <w:pPr>
              <w:spacing w:after="0"/>
              <w:rPr>
                <w:sz w:val="13"/>
                <w:szCs w:val="13"/>
                <w:color w:val="auto"/>
              </w:rPr>
            </w:pPr>
          </w:p>
        </w:tc>
        <w:tc>
          <w:tcPr>
            <w:tcW w:w="840" w:type="dxa"/>
            <w:vAlign w:val="bottom"/>
            <w:tcBorders>
              <w:right w:val="single" w:sz="8" w:color="1F3C7B"/>
            </w:tcBorders>
            <w:shd w:val="clear" w:color="auto" w:fill="1F3C7B"/>
          </w:tcPr>
          <w:p>
            <w:pPr>
              <w:spacing w:after="0"/>
              <w:rPr>
                <w:sz w:val="13"/>
                <w:szCs w:val="13"/>
                <w:color w:val="auto"/>
              </w:rPr>
            </w:pPr>
          </w:p>
        </w:tc>
        <w:tc>
          <w:tcPr>
            <w:tcW w:w="960" w:type="dxa"/>
            <w:vAlign w:val="bottom"/>
            <w:tcBorders>
              <w:right w:val="single" w:sz="8" w:color="000E5B"/>
            </w:tcBorders>
            <w:shd w:val="clear" w:color="auto" w:fill="1F3C7B"/>
          </w:tcPr>
          <w:p>
            <w:pPr>
              <w:spacing w:after="0"/>
              <w:rPr>
                <w:sz w:val="13"/>
                <w:szCs w:val="13"/>
                <w:color w:val="auto"/>
              </w:rPr>
            </w:pPr>
          </w:p>
        </w:tc>
        <w:tc>
          <w:tcPr>
            <w:tcW w:w="760" w:type="dxa"/>
            <w:vAlign w:val="bottom"/>
            <w:tcBorders>
              <w:right w:val="single" w:sz="8" w:color="1F3C7B"/>
            </w:tcBorders>
            <w:shd w:val="clear" w:color="auto" w:fill="1F3C7B"/>
          </w:tcPr>
          <w:p>
            <w:pPr>
              <w:spacing w:after="0"/>
              <w:rPr>
                <w:sz w:val="13"/>
                <w:szCs w:val="13"/>
                <w:color w:val="auto"/>
              </w:rPr>
            </w:pPr>
          </w:p>
        </w:tc>
        <w:tc>
          <w:tcPr>
            <w:tcW w:w="840" w:type="dxa"/>
            <w:vAlign w:val="bottom"/>
            <w:tcBorders>
              <w:right w:val="single" w:sz="8" w:color="1F3C7B"/>
            </w:tcBorders>
            <w:shd w:val="clear" w:color="auto" w:fill="1F3C7B"/>
          </w:tcPr>
          <w:p>
            <w:pPr>
              <w:spacing w:after="0"/>
              <w:rPr>
                <w:sz w:val="13"/>
                <w:szCs w:val="13"/>
                <w:color w:val="auto"/>
              </w:rPr>
            </w:pPr>
          </w:p>
        </w:tc>
        <w:tc>
          <w:tcPr>
            <w:tcW w:w="76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94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1F3C7B"/>
            </w:tcBorders>
            <w:shd w:val="clear" w:color="auto" w:fill="1F3C7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20" w:type="dxa"/>
            <w:vAlign w:val="bottom"/>
            <w:tcBorders>
              <w:left w:val="single" w:sz="8" w:color="1F3C7B"/>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820" w:type="dxa"/>
            <w:vAlign w:val="bottom"/>
            <w:tcBorders>
              <w:right w:val="single" w:sz="8" w:color="1F3C7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c>
          <w:tcPr>
            <w:tcW w:w="960" w:type="dxa"/>
            <w:vAlign w:val="bottom"/>
            <w:tcBorders>
              <w:right w:val="single" w:sz="8" w:color="000E5B"/>
            </w:tcBorders>
            <w:shd w:val="clear" w:color="auto" w:fill="1F3C7B"/>
          </w:tcPr>
          <w:p>
            <w:pPr>
              <w:spacing w:after="0"/>
              <w:rPr>
                <w:sz w:val="11"/>
                <w:szCs w:val="11"/>
                <w:color w:val="auto"/>
              </w:rPr>
            </w:pPr>
          </w:p>
        </w:tc>
        <w:tc>
          <w:tcPr>
            <w:tcW w:w="760" w:type="dxa"/>
            <w:vAlign w:val="bottom"/>
            <w:tcBorders>
              <w:right w:val="single" w:sz="8" w:color="1F3C7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c>
          <w:tcPr>
            <w:tcW w:w="76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rPr>
              <w:t>option</w:t>
            </w:r>
          </w:p>
        </w:tc>
        <w:tc>
          <w:tcPr>
            <w:tcW w:w="94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Borders>
              <w:left w:val="single" w:sz="8" w:color="1F3C7B"/>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2620" w:type="dxa"/>
            <w:vAlign w:val="bottom"/>
            <w:tcBorders>
              <w:right w:val="single" w:sz="8" w:color="000E5B"/>
            </w:tcBorders>
            <w:gridSpan w:val="3"/>
            <w:vMerge w:val="restart"/>
            <w:shd w:val="clear" w:color="auto" w:fill="1F3C7B"/>
          </w:tcPr>
          <w:p>
            <w:pPr>
              <w:jc w:val="right"/>
              <w:ind w:right="238"/>
              <w:spacing w:after="0"/>
              <w:rPr>
                <w:sz w:val="20"/>
                <w:szCs w:val="20"/>
                <w:color w:val="auto"/>
              </w:rPr>
            </w:pPr>
            <w:r>
              <w:rPr>
                <w:rFonts w:ascii="Arial" w:cs="Arial" w:eastAsia="Arial" w:hAnsi="Arial"/>
                <w:sz w:val="13"/>
                <w:szCs w:val="13"/>
                <w:b w:val="1"/>
                <w:bCs w:val="1"/>
                <w:color w:val="FFFFFF"/>
              </w:rPr>
              <w:t>Estimated Possible Payouts Under</w:t>
            </w:r>
          </w:p>
        </w:tc>
        <w:tc>
          <w:tcPr>
            <w:tcW w:w="2360" w:type="dxa"/>
            <w:vAlign w:val="bottom"/>
            <w:tcBorders>
              <w:right w:val="single" w:sz="8" w:color="000E5B"/>
            </w:tcBorders>
            <w:gridSpan w:val="3"/>
            <w:vMerge w:val="restart"/>
            <w:shd w:val="clear" w:color="auto" w:fill="1F3C7B"/>
          </w:tcPr>
          <w:p>
            <w:pPr>
              <w:jc w:val="center"/>
              <w:spacing w:after="0"/>
              <w:rPr>
                <w:sz w:val="20"/>
                <w:szCs w:val="20"/>
                <w:color w:val="auto"/>
              </w:rPr>
            </w:pPr>
            <w:r>
              <w:rPr>
                <w:rFonts w:ascii="Arial" w:cs="Arial" w:eastAsia="Arial" w:hAnsi="Arial"/>
                <w:sz w:val="13"/>
                <w:szCs w:val="13"/>
                <w:b w:val="1"/>
                <w:bCs w:val="1"/>
                <w:color w:val="FFFFFF"/>
                <w:w w:val="96"/>
              </w:rPr>
              <w:t>Estimated Possible Payouts Under</w:t>
            </w:r>
          </w:p>
        </w:tc>
        <w:tc>
          <w:tcPr>
            <w:tcW w:w="840" w:type="dxa"/>
            <w:vAlign w:val="bottom"/>
            <w:tcBorders>
              <w:right w:val="single" w:sz="8" w:color="000E5B"/>
            </w:tcBorders>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940" w:type="dxa"/>
            <w:vAlign w:val="bottom"/>
            <w:tcBorders>
              <w:right w:val="single" w:sz="8" w:color="000E5B"/>
            </w:tcBorders>
            <w:shd w:val="clear" w:color="auto" w:fill="1F3C7B"/>
          </w:tcPr>
          <w:p>
            <w:pPr>
              <w:spacing w:after="0"/>
              <w:rPr>
                <w:sz w:val="11"/>
                <w:szCs w:val="11"/>
                <w:color w:val="auto"/>
              </w:rPr>
            </w:pPr>
          </w:p>
        </w:tc>
        <w:tc>
          <w:tcPr>
            <w:tcW w:w="840" w:type="dxa"/>
            <w:vAlign w:val="bottom"/>
            <w:tcBorders>
              <w:right w:val="single" w:sz="8" w:color="1F3C7B"/>
            </w:tcBorders>
            <w:shd w:val="clear" w:color="auto" w:fill="1F3C7B"/>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120" w:type="dxa"/>
            <w:vAlign w:val="bottom"/>
            <w:tcBorders>
              <w:left w:val="single" w:sz="8" w:color="1F3C7B"/>
              <w:right w:val="single" w:sz="8" w:color="000E5B"/>
            </w:tcBorders>
            <w:shd w:val="clear" w:color="auto" w:fill="1F3C7B"/>
          </w:tcPr>
          <w:p>
            <w:pPr>
              <w:spacing w:after="0"/>
              <w:rPr>
                <w:sz w:val="6"/>
                <w:szCs w:val="6"/>
                <w:color w:val="auto"/>
              </w:rPr>
            </w:pPr>
          </w:p>
        </w:tc>
        <w:tc>
          <w:tcPr>
            <w:tcW w:w="840" w:type="dxa"/>
            <w:vAlign w:val="bottom"/>
            <w:tcBorders>
              <w:right w:val="single" w:sz="8" w:color="000E5B"/>
            </w:tcBorders>
            <w:shd w:val="clear" w:color="auto" w:fill="1F3C7B"/>
          </w:tcPr>
          <w:p>
            <w:pPr>
              <w:spacing w:after="0"/>
              <w:rPr>
                <w:sz w:val="6"/>
                <w:szCs w:val="6"/>
                <w:color w:val="auto"/>
              </w:rPr>
            </w:pPr>
          </w:p>
        </w:tc>
        <w:tc>
          <w:tcPr>
            <w:tcW w:w="2620" w:type="dxa"/>
            <w:vAlign w:val="bottom"/>
            <w:tcBorders>
              <w:right w:val="single" w:sz="8" w:color="000E5B"/>
            </w:tcBorders>
            <w:gridSpan w:val="3"/>
            <w:vMerge w:val="continue"/>
            <w:shd w:val="clear" w:color="auto" w:fill="1F3C7B"/>
          </w:tcPr>
          <w:p>
            <w:pPr>
              <w:spacing w:after="0"/>
              <w:rPr>
                <w:sz w:val="6"/>
                <w:szCs w:val="6"/>
                <w:color w:val="auto"/>
              </w:rPr>
            </w:pPr>
          </w:p>
        </w:tc>
        <w:tc>
          <w:tcPr>
            <w:tcW w:w="2360" w:type="dxa"/>
            <w:vAlign w:val="bottom"/>
            <w:tcBorders>
              <w:right w:val="single" w:sz="8" w:color="000E5B"/>
            </w:tcBorders>
            <w:gridSpan w:val="3"/>
            <w:vMerge w:val="continue"/>
            <w:shd w:val="clear" w:color="auto" w:fill="1F3C7B"/>
          </w:tcPr>
          <w:p>
            <w:pPr>
              <w:spacing w:after="0"/>
              <w:rPr>
                <w:sz w:val="6"/>
                <w:szCs w:val="6"/>
                <w:color w:val="auto"/>
              </w:rPr>
            </w:pPr>
          </w:p>
        </w:tc>
        <w:tc>
          <w:tcPr>
            <w:tcW w:w="840" w:type="dxa"/>
            <w:vAlign w:val="bottom"/>
            <w:tcBorders>
              <w:right w:val="single" w:sz="8" w:color="000E5B"/>
            </w:tcBorders>
            <w:vMerge w:val="restart"/>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940" w:type="dxa"/>
            <w:vAlign w:val="bottom"/>
            <w:tcBorders>
              <w:right w:val="single" w:sz="8" w:color="000E5B"/>
            </w:tcBorders>
            <w:vMerge w:val="restart"/>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6"/>
              </w:rPr>
              <w:t>Exercise or</w:t>
            </w:r>
          </w:p>
        </w:tc>
        <w:tc>
          <w:tcPr>
            <w:tcW w:w="840" w:type="dxa"/>
            <w:vAlign w:val="bottom"/>
            <w:tcBorders>
              <w:right w:val="single" w:sz="8" w:color="1F3C7B"/>
            </w:tcBorders>
            <w:vMerge w:val="restart"/>
            <w:shd w:val="clear" w:color="auto" w:fill="1F3C7B"/>
          </w:tcPr>
          <w:p>
            <w:pPr>
              <w:jc w:val="center"/>
              <w:spacing w:after="0" w:line="135" w:lineRule="exact"/>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58"/>
        </w:trPr>
        <w:tc>
          <w:tcPr>
            <w:tcW w:w="1120" w:type="dxa"/>
            <w:vAlign w:val="bottom"/>
            <w:tcBorders>
              <w:left w:val="single" w:sz="8" w:color="1F3C7B"/>
              <w:right w:val="single" w:sz="8" w:color="000E5B"/>
            </w:tcBorders>
            <w:shd w:val="clear" w:color="auto" w:fill="1F3C7B"/>
          </w:tcPr>
          <w:p>
            <w:pPr>
              <w:spacing w:after="0"/>
              <w:rPr>
                <w:sz w:val="5"/>
                <w:szCs w:val="5"/>
                <w:color w:val="auto"/>
              </w:rPr>
            </w:pPr>
          </w:p>
        </w:tc>
        <w:tc>
          <w:tcPr>
            <w:tcW w:w="840" w:type="dxa"/>
            <w:vAlign w:val="bottom"/>
            <w:tcBorders>
              <w:right w:val="single" w:sz="8" w:color="000E5B"/>
            </w:tcBorders>
            <w:shd w:val="clear" w:color="auto" w:fill="1F3C7B"/>
          </w:tcPr>
          <w:p>
            <w:pPr>
              <w:spacing w:after="0"/>
              <w:rPr>
                <w:sz w:val="5"/>
                <w:szCs w:val="5"/>
                <w:color w:val="auto"/>
              </w:rPr>
            </w:pPr>
          </w:p>
        </w:tc>
        <w:tc>
          <w:tcPr>
            <w:tcW w:w="2620" w:type="dxa"/>
            <w:vAlign w:val="bottom"/>
            <w:tcBorders>
              <w:right w:val="single" w:sz="8" w:color="000E5B"/>
            </w:tcBorders>
            <w:gridSpan w:val="3"/>
            <w:vMerge w:val="restart"/>
            <w:shd w:val="clear" w:color="auto" w:fill="1F3C7B"/>
          </w:tcPr>
          <w:p>
            <w:pPr>
              <w:jc w:val="right"/>
              <w:ind w:right="198"/>
              <w:spacing w:after="0" w:line="154" w:lineRule="exact"/>
              <w:rPr>
                <w:sz w:val="20"/>
                <w:szCs w:val="20"/>
                <w:color w:val="auto"/>
              </w:rPr>
            </w:pPr>
            <w:r>
              <w:rPr>
                <w:rFonts w:ascii="Arial" w:cs="Arial" w:eastAsia="Arial" w:hAnsi="Arial"/>
                <w:sz w:val="11"/>
                <w:szCs w:val="11"/>
                <w:b w:val="1"/>
                <w:bCs w:val="1"/>
                <w:color w:val="FFFFFF"/>
              </w:rPr>
              <w:t>Non-Equity Incentive Plan Awards</w:t>
            </w:r>
            <w:r>
              <w:rPr>
                <w:rFonts w:ascii="Arial" w:cs="Arial" w:eastAsia="Arial" w:hAnsi="Arial"/>
                <w:sz w:val="17"/>
                <w:szCs w:val="17"/>
                <w:b w:val="1"/>
                <w:bCs w:val="1"/>
                <w:color w:val="FFFFFF"/>
                <w:vertAlign w:val="superscript"/>
              </w:rPr>
              <w:t>(1)</w:t>
            </w:r>
          </w:p>
        </w:tc>
        <w:tc>
          <w:tcPr>
            <w:tcW w:w="2360" w:type="dxa"/>
            <w:vAlign w:val="bottom"/>
            <w:tcBorders>
              <w:right w:val="single" w:sz="8" w:color="000E5B"/>
            </w:tcBorders>
            <w:gridSpan w:val="3"/>
            <w:vMerge w:val="restart"/>
            <w:shd w:val="clear" w:color="auto" w:fill="1F3C7B"/>
          </w:tcPr>
          <w:p>
            <w:pPr>
              <w:jc w:val="center"/>
              <w:spacing w:after="0"/>
              <w:rPr>
                <w:sz w:val="20"/>
                <w:szCs w:val="20"/>
                <w:color w:val="auto"/>
              </w:rPr>
            </w:pPr>
            <w:r>
              <w:rPr>
                <w:rFonts w:ascii="Arial" w:cs="Arial" w:eastAsia="Arial" w:hAnsi="Arial"/>
                <w:sz w:val="13"/>
                <w:szCs w:val="13"/>
                <w:b w:val="1"/>
                <w:bCs w:val="1"/>
                <w:color w:val="FFFFFF"/>
                <w:w w:val="97"/>
              </w:rPr>
              <w:t>Equity Incentive Plan Awards</w:t>
            </w:r>
          </w:p>
        </w:tc>
        <w:tc>
          <w:tcPr>
            <w:tcW w:w="840" w:type="dxa"/>
            <w:vAlign w:val="bottom"/>
            <w:tcBorders>
              <w:right w:val="single" w:sz="8" w:color="000E5B"/>
            </w:tcBorders>
            <w:vMerge w:val="continue"/>
            <w:shd w:val="clear" w:color="auto" w:fill="1F3C7B"/>
          </w:tcPr>
          <w:p>
            <w:pPr>
              <w:spacing w:after="0"/>
              <w:rPr>
                <w:sz w:val="5"/>
                <w:szCs w:val="5"/>
                <w:color w:val="auto"/>
              </w:rPr>
            </w:pPr>
          </w:p>
        </w:tc>
        <w:tc>
          <w:tcPr>
            <w:tcW w:w="940" w:type="dxa"/>
            <w:vAlign w:val="bottom"/>
            <w:tcBorders>
              <w:right w:val="single" w:sz="8" w:color="000E5B"/>
            </w:tcBorders>
            <w:vMerge w:val="continue"/>
            <w:shd w:val="clear" w:color="auto" w:fill="1F3C7B"/>
          </w:tcPr>
          <w:p>
            <w:pPr>
              <w:spacing w:after="0"/>
              <w:rPr>
                <w:sz w:val="5"/>
                <w:szCs w:val="5"/>
                <w:color w:val="auto"/>
              </w:rPr>
            </w:pPr>
          </w:p>
        </w:tc>
        <w:tc>
          <w:tcPr>
            <w:tcW w:w="840" w:type="dxa"/>
            <w:vAlign w:val="bottom"/>
            <w:tcBorders>
              <w:right w:val="single" w:sz="8" w:color="1F3C7B"/>
            </w:tcBorders>
            <w:vMerge w:val="continue"/>
            <w:shd w:val="clear" w:color="auto" w:fill="1F3C7B"/>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120" w:type="dxa"/>
            <w:vAlign w:val="bottom"/>
            <w:tcBorders>
              <w:left w:val="single" w:sz="8" w:color="1F3C7B"/>
              <w:right w:val="single" w:sz="8" w:color="000E5B"/>
            </w:tcBorders>
            <w:shd w:val="clear" w:color="auto" w:fill="1F3C7B"/>
          </w:tcPr>
          <w:p>
            <w:pPr>
              <w:spacing w:after="0"/>
              <w:rPr>
                <w:sz w:val="10"/>
                <w:szCs w:val="10"/>
                <w:color w:val="auto"/>
              </w:rPr>
            </w:pPr>
          </w:p>
        </w:tc>
        <w:tc>
          <w:tcPr>
            <w:tcW w:w="840" w:type="dxa"/>
            <w:vAlign w:val="bottom"/>
            <w:tcBorders>
              <w:right w:val="single" w:sz="8" w:color="000E5B"/>
            </w:tcBorders>
            <w:shd w:val="clear" w:color="auto" w:fill="1F3C7B"/>
          </w:tcPr>
          <w:p>
            <w:pPr>
              <w:spacing w:after="0"/>
              <w:rPr>
                <w:sz w:val="10"/>
                <w:szCs w:val="10"/>
                <w:color w:val="auto"/>
              </w:rPr>
            </w:pPr>
          </w:p>
        </w:tc>
        <w:tc>
          <w:tcPr>
            <w:tcW w:w="2620" w:type="dxa"/>
            <w:vAlign w:val="bottom"/>
            <w:tcBorders>
              <w:right w:val="single" w:sz="8" w:color="000E5B"/>
            </w:tcBorders>
            <w:gridSpan w:val="3"/>
            <w:vMerge w:val="continue"/>
            <w:shd w:val="clear" w:color="auto" w:fill="1F3C7B"/>
          </w:tcPr>
          <w:p>
            <w:pPr>
              <w:spacing w:after="0"/>
              <w:rPr>
                <w:sz w:val="10"/>
                <w:szCs w:val="10"/>
                <w:color w:val="auto"/>
              </w:rPr>
            </w:pPr>
          </w:p>
        </w:tc>
        <w:tc>
          <w:tcPr>
            <w:tcW w:w="2360" w:type="dxa"/>
            <w:vAlign w:val="bottom"/>
            <w:tcBorders>
              <w:right w:val="single" w:sz="8" w:color="000E5B"/>
            </w:tcBorders>
            <w:gridSpan w:val="3"/>
            <w:vMerge w:val="continue"/>
            <w:shd w:val="clear" w:color="auto" w:fill="1F3C7B"/>
          </w:tcPr>
          <w:p>
            <w:pPr>
              <w:spacing w:after="0"/>
              <w:rPr>
                <w:sz w:val="10"/>
                <w:szCs w:val="10"/>
                <w:color w:val="auto"/>
              </w:rPr>
            </w:pPr>
          </w:p>
        </w:tc>
        <w:tc>
          <w:tcPr>
            <w:tcW w:w="840" w:type="dxa"/>
            <w:vAlign w:val="bottom"/>
            <w:tcBorders>
              <w:right w:val="single" w:sz="8" w:color="000E5B"/>
            </w:tcBorders>
            <w:shd w:val="clear" w:color="auto" w:fill="1F3C7B"/>
          </w:tcPr>
          <w:p>
            <w:pPr>
              <w:jc w:val="center"/>
              <w:spacing w:after="0" w:line="117" w:lineRule="exact"/>
              <w:rPr>
                <w:sz w:val="20"/>
                <w:szCs w:val="20"/>
                <w:color w:val="auto"/>
              </w:rPr>
            </w:pPr>
            <w:r>
              <w:rPr>
                <w:rFonts w:ascii="Arial" w:cs="Arial" w:eastAsia="Arial" w:hAnsi="Arial"/>
                <w:sz w:val="13"/>
                <w:szCs w:val="13"/>
                <w:b w:val="1"/>
                <w:bCs w:val="1"/>
                <w:color w:val="FFFFFF"/>
                <w:w w:val="98"/>
              </w:rPr>
              <w:t>securities</w:t>
            </w:r>
          </w:p>
        </w:tc>
        <w:tc>
          <w:tcPr>
            <w:tcW w:w="940" w:type="dxa"/>
            <w:vAlign w:val="bottom"/>
            <w:tcBorders>
              <w:right w:val="single" w:sz="8" w:color="000E5B"/>
            </w:tcBorders>
            <w:shd w:val="clear" w:color="auto" w:fill="1F3C7B"/>
          </w:tcPr>
          <w:p>
            <w:pPr>
              <w:jc w:val="center"/>
              <w:spacing w:after="0" w:line="117" w:lineRule="exact"/>
              <w:rPr>
                <w:sz w:val="20"/>
                <w:szCs w:val="20"/>
                <w:color w:val="auto"/>
              </w:rPr>
            </w:pPr>
            <w:r>
              <w:rPr>
                <w:rFonts w:ascii="Arial" w:cs="Arial" w:eastAsia="Arial" w:hAnsi="Arial"/>
                <w:sz w:val="13"/>
                <w:szCs w:val="13"/>
                <w:b w:val="1"/>
                <w:bCs w:val="1"/>
                <w:color w:val="FFFFFF"/>
                <w:w w:val="97"/>
              </w:rPr>
              <w:t>base price of</w:t>
            </w:r>
          </w:p>
        </w:tc>
        <w:tc>
          <w:tcPr>
            <w:tcW w:w="840" w:type="dxa"/>
            <w:vAlign w:val="bottom"/>
            <w:tcBorders>
              <w:right w:val="single" w:sz="8" w:color="1F3C7B"/>
            </w:tcBorders>
            <w:shd w:val="clear" w:color="auto" w:fill="1F3C7B"/>
          </w:tcPr>
          <w:p>
            <w:pPr>
              <w:jc w:val="center"/>
              <w:spacing w:after="0" w:line="117" w:lineRule="exact"/>
              <w:rPr>
                <w:sz w:val="20"/>
                <w:szCs w:val="20"/>
                <w:color w:val="auto"/>
              </w:rPr>
            </w:pPr>
            <w:r>
              <w:rPr>
                <w:rFonts w:ascii="Arial" w:cs="Arial" w:eastAsia="Arial" w:hAnsi="Arial"/>
                <w:sz w:val="13"/>
                <w:szCs w:val="13"/>
                <w:b w:val="1"/>
                <w:bCs w:val="1"/>
                <w:color w:val="FFFFFF"/>
                <w:w w:val="96"/>
              </w:rPr>
              <w:t>Fair Value</w:t>
            </w:r>
          </w:p>
        </w:tc>
        <w:tc>
          <w:tcPr>
            <w:tcW w:w="0" w:type="dxa"/>
            <w:vAlign w:val="bottom"/>
          </w:tcPr>
          <w:p>
            <w:pPr>
              <w:spacing w:after="0"/>
              <w:rPr>
                <w:sz w:val="1"/>
                <w:szCs w:val="1"/>
                <w:color w:val="auto"/>
              </w:rPr>
            </w:pPr>
          </w:p>
        </w:tc>
      </w:tr>
      <w:tr>
        <w:trPr>
          <w:trHeight w:val="154"/>
        </w:trPr>
        <w:tc>
          <w:tcPr>
            <w:tcW w:w="1120" w:type="dxa"/>
            <w:vAlign w:val="bottom"/>
            <w:tcBorders>
              <w:left w:val="single" w:sz="8" w:color="1F3C7B"/>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spacing w:after="0"/>
              <w:rPr>
                <w:sz w:val="13"/>
                <w:szCs w:val="13"/>
                <w:color w:val="auto"/>
              </w:rPr>
            </w:pPr>
          </w:p>
        </w:tc>
        <w:tc>
          <w:tcPr>
            <w:tcW w:w="82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spacing w:after="0"/>
              <w:rPr>
                <w:sz w:val="13"/>
                <w:szCs w:val="13"/>
                <w:color w:val="auto"/>
              </w:rPr>
            </w:pPr>
          </w:p>
        </w:tc>
        <w:tc>
          <w:tcPr>
            <w:tcW w:w="960" w:type="dxa"/>
            <w:vAlign w:val="bottom"/>
            <w:tcBorders>
              <w:right w:val="single" w:sz="8" w:color="000E5B"/>
            </w:tcBorders>
            <w:shd w:val="clear" w:color="auto" w:fill="1F3C7B"/>
          </w:tcPr>
          <w:p>
            <w:pPr>
              <w:spacing w:after="0"/>
              <w:rPr>
                <w:sz w:val="13"/>
                <w:szCs w:val="13"/>
                <w:color w:val="auto"/>
              </w:rPr>
            </w:pPr>
          </w:p>
        </w:tc>
        <w:tc>
          <w:tcPr>
            <w:tcW w:w="76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spacing w:after="0"/>
              <w:rPr>
                <w:sz w:val="13"/>
                <w:szCs w:val="13"/>
                <w:color w:val="auto"/>
              </w:rPr>
            </w:pPr>
          </w:p>
        </w:tc>
        <w:tc>
          <w:tcPr>
            <w:tcW w:w="760" w:type="dxa"/>
            <w:vAlign w:val="bottom"/>
            <w:tcBorders>
              <w:right w:val="single" w:sz="8" w:color="000E5B"/>
            </w:tcBorders>
            <w:shd w:val="clear" w:color="auto" w:fill="1F3C7B"/>
          </w:tcPr>
          <w:p>
            <w:pPr>
              <w:spacing w:after="0"/>
              <w:rPr>
                <w:sz w:val="13"/>
                <w:szCs w:val="13"/>
                <w:color w:val="auto"/>
              </w:rPr>
            </w:pPr>
          </w:p>
        </w:tc>
        <w:tc>
          <w:tcPr>
            <w:tcW w:w="8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6"/>
              </w:rPr>
              <w:t>underlying</w:t>
            </w:r>
          </w:p>
        </w:tc>
        <w:tc>
          <w:tcPr>
            <w:tcW w:w="9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4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6"/>
              </w:rPr>
              <w:t>of Option</w:t>
            </w:r>
          </w:p>
        </w:tc>
        <w:tc>
          <w:tcPr>
            <w:tcW w:w="0" w:type="dxa"/>
            <w:vAlign w:val="bottom"/>
          </w:tcPr>
          <w:p>
            <w:pPr>
              <w:spacing w:after="0"/>
              <w:rPr>
                <w:sz w:val="1"/>
                <w:szCs w:val="1"/>
                <w:color w:val="auto"/>
              </w:rPr>
            </w:pPr>
          </w:p>
        </w:tc>
      </w:tr>
      <w:tr>
        <w:trPr>
          <w:trHeight w:val="131"/>
        </w:trPr>
        <w:tc>
          <w:tcPr>
            <w:tcW w:w="1120" w:type="dxa"/>
            <w:vAlign w:val="bottom"/>
            <w:tcBorders>
              <w:left w:val="single" w:sz="8" w:color="1F3C7B"/>
              <w:right w:val="single" w:sz="8" w:color="000E5B"/>
            </w:tcBorders>
            <w:shd w:val="clear" w:color="auto" w:fill="1F3C7B"/>
          </w:tcPr>
          <w:p>
            <w:pPr>
              <w:spacing w:after="0"/>
              <w:rPr>
                <w:sz w:val="11"/>
                <w:szCs w:val="11"/>
                <w:color w:val="auto"/>
              </w:rPr>
            </w:pPr>
          </w:p>
        </w:tc>
        <w:tc>
          <w:tcPr>
            <w:tcW w:w="840" w:type="dxa"/>
            <w:vAlign w:val="bottom"/>
            <w:tcBorders>
              <w:right w:val="single" w:sz="8" w:color="000E5B"/>
            </w:tcBorders>
            <w:shd w:val="clear" w:color="auto" w:fill="1F3C7B"/>
          </w:tcPr>
          <w:p>
            <w:pPr>
              <w:spacing w:after="0"/>
              <w:rPr>
                <w:sz w:val="11"/>
                <w:szCs w:val="11"/>
                <w:color w:val="auto"/>
              </w:rPr>
            </w:pPr>
          </w:p>
        </w:tc>
        <w:tc>
          <w:tcPr>
            <w:tcW w:w="820" w:type="dxa"/>
            <w:vAlign w:val="bottom"/>
            <w:tcBorders>
              <w:right w:val="single" w:sz="8" w:color="000E5B"/>
            </w:tcBorders>
            <w:shd w:val="clear" w:color="auto" w:fill="1F3C7B"/>
          </w:tcPr>
          <w:p>
            <w:pPr>
              <w:jc w:val="right"/>
              <w:ind w:right="58"/>
              <w:spacing w:after="0" w:line="131" w:lineRule="exact"/>
              <w:rPr>
                <w:sz w:val="20"/>
                <w:szCs w:val="20"/>
                <w:color w:val="auto"/>
              </w:rPr>
            </w:pPr>
            <w:r>
              <w:rPr>
                <w:rFonts w:ascii="Arial" w:cs="Arial" w:eastAsia="Arial" w:hAnsi="Arial"/>
                <w:sz w:val="13"/>
                <w:szCs w:val="13"/>
                <w:b w:val="1"/>
                <w:bCs w:val="1"/>
                <w:color w:val="FFFFFF"/>
              </w:rPr>
              <w:t>Threshold</w:t>
            </w:r>
          </w:p>
        </w:tc>
        <w:tc>
          <w:tcPr>
            <w:tcW w:w="840" w:type="dxa"/>
            <w:vAlign w:val="bottom"/>
            <w:tcBorders>
              <w:right w:val="single" w:sz="8" w:color="000E5B"/>
            </w:tcBorders>
            <w:shd w:val="clear" w:color="auto" w:fill="1F3C7B"/>
          </w:tcPr>
          <w:p>
            <w:pPr>
              <w:jc w:val="right"/>
              <w:ind w:right="178"/>
              <w:spacing w:after="0" w:line="131" w:lineRule="exact"/>
              <w:rPr>
                <w:sz w:val="20"/>
                <w:szCs w:val="20"/>
                <w:color w:val="auto"/>
              </w:rPr>
            </w:pPr>
            <w:r>
              <w:rPr>
                <w:rFonts w:ascii="Arial" w:cs="Arial" w:eastAsia="Arial" w:hAnsi="Arial"/>
                <w:sz w:val="13"/>
                <w:szCs w:val="13"/>
                <w:b w:val="1"/>
                <w:bCs w:val="1"/>
                <w:color w:val="FFFFFF"/>
              </w:rPr>
              <w:t>Target</w:t>
            </w:r>
          </w:p>
        </w:tc>
        <w:tc>
          <w:tcPr>
            <w:tcW w:w="960" w:type="dxa"/>
            <w:vAlign w:val="bottom"/>
            <w:tcBorders>
              <w:right w:val="single" w:sz="8" w:color="000E5B"/>
            </w:tcBorders>
            <w:shd w:val="clear" w:color="auto" w:fill="1F3C7B"/>
          </w:tcPr>
          <w:p>
            <w:pPr>
              <w:jc w:val="right"/>
              <w:ind w:right="158"/>
              <w:spacing w:after="0" w:line="131" w:lineRule="exact"/>
              <w:rPr>
                <w:sz w:val="20"/>
                <w:szCs w:val="20"/>
                <w:color w:val="auto"/>
              </w:rPr>
            </w:pPr>
            <w:r>
              <w:rPr>
                <w:rFonts w:ascii="Arial" w:cs="Arial" w:eastAsia="Arial" w:hAnsi="Arial"/>
                <w:sz w:val="13"/>
                <w:szCs w:val="13"/>
                <w:b w:val="1"/>
                <w:bCs w:val="1"/>
                <w:color w:val="FFFFFF"/>
              </w:rPr>
              <w:t>Maximum</w:t>
            </w:r>
          </w:p>
        </w:tc>
        <w:tc>
          <w:tcPr>
            <w:tcW w:w="76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5"/>
              </w:rPr>
              <w:t>Threshold</w:t>
            </w:r>
          </w:p>
        </w:tc>
        <w:tc>
          <w:tcPr>
            <w:tcW w:w="84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0"/>
              </w:rPr>
              <w:t>Target</w:t>
            </w:r>
          </w:p>
        </w:tc>
        <w:tc>
          <w:tcPr>
            <w:tcW w:w="76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6"/>
              </w:rPr>
              <w:t>Maximum</w:t>
            </w:r>
          </w:p>
        </w:tc>
        <w:tc>
          <w:tcPr>
            <w:tcW w:w="84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3"/>
              </w:rPr>
              <w:t>options</w:t>
            </w:r>
          </w:p>
        </w:tc>
        <w:tc>
          <w:tcPr>
            <w:tcW w:w="940" w:type="dxa"/>
            <w:vAlign w:val="bottom"/>
            <w:tcBorders>
              <w:right w:val="single" w:sz="8" w:color="000E5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3"/>
              </w:rPr>
              <w:t>awards</w:t>
            </w:r>
          </w:p>
        </w:tc>
        <w:tc>
          <w:tcPr>
            <w:tcW w:w="840" w:type="dxa"/>
            <w:vAlign w:val="bottom"/>
            <w:tcBorders>
              <w:right w:val="single" w:sz="8" w:color="1F3C7B"/>
            </w:tcBorders>
            <w:shd w:val="clear" w:color="auto" w:fill="1F3C7B"/>
          </w:tcPr>
          <w:p>
            <w:pPr>
              <w:jc w:val="center"/>
              <w:spacing w:after="0" w:line="131" w:lineRule="exact"/>
              <w:rPr>
                <w:sz w:val="20"/>
                <w:szCs w:val="20"/>
                <w:color w:val="auto"/>
              </w:rPr>
            </w:pPr>
            <w:r>
              <w:rPr>
                <w:rFonts w:ascii="Arial" w:cs="Arial" w:eastAsia="Arial" w:hAnsi="Arial"/>
                <w:sz w:val="13"/>
                <w:szCs w:val="13"/>
                <w:b w:val="1"/>
                <w:bCs w:val="1"/>
                <w:color w:val="FFFFFF"/>
                <w:w w:val="95"/>
              </w:rPr>
              <w:t>Award</w:t>
            </w:r>
          </w:p>
        </w:tc>
        <w:tc>
          <w:tcPr>
            <w:tcW w:w="0" w:type="dxa"/>
            <w:vAlign w:val="bottom"/>
          </w:tcPr>
          <w:p>
            <w:pPr>
              <w:spacing w:after="0"/>
              <w:rPr>
                <w:sz w:val="1"/>
                <w:szCs w:val="1"/>
                <w:color w:val="auto"/>
              </w:rPr>
            </w:pPr>
          </w:p>
        </w:tc>
      </w:tr>
      <w:tr>
        <w:trPr>
          <w:trHeight w:val="174"/>
        </w:trPr>
        <w:tc>
          <w:tcPr>
            <w:tcW w:w="1120" w:type="dxa"/>
            <w:vAlign w:val="bottom"/>
            <w:tcBorders>
              <w:left w:val="single" w:sz="8" w:color="1F3C7B"/>
              <w:right w:val="single" w:sz="8" w:color="000E5B"/>
            </w:tcBorders>
            <w:shd w:val="clear" w:color="auto" w:fill="1F3C7B"/>
          </w:tcPr>
          <w:p>
            <w:pPr>
              <w:ind w:left="380"/>
              <w:spacing w:after="0"/>
              <w:rPr>
                <w:sz w:val="20"/>
                <w:szCs w:val="20"/>
                <w:color w:val="auto"/>
              </w:rPr>
            </w:pPr>
            <w:r>
              <w:rPr>
                <w:rFonts w:ascii="Arial" w:cs="Arial" w:eastAsia="Arial" w:hAnsi="Arial"/>
                <w:sz w:val="13"/>
                <w:szCs w:val="13"/>
                <w:b w:val="1"/>
                <w:bCs w:val="1"/>
                <w:color w:val="FFFFFF"/>
              </w:rPr>
              <w:t>Name</w:t>
            </w:r>
          </w:p>
        </w:tc>
        <w:tc>
          <w:tcPr>
            <w:tcW w:w="840" w:type="dxa"/>
            <w:vAlign w:val="bottom"/>
            <w:tcBorders>
              <w:right w:val="single" w:sz="8" w:color="000E5B"/>
            </w:tcBorders>
            <w:shd w:val="clear" w:color="auto" w:fill="1F3C7B"/>
          </w:tcPr>
          <w:p>
            <w:pPr>
              <w:ind w:left="80"/>
              <w:spacing w:after="0"/>
              <w:rPr>
                <w:sz w:val="20"/>
                <w:szCs w:val="20"/>
                <w:color w:val="auto"/>
              </w:rPr>
            </w:pPr>
            <w:r>
              <w:rPr>
                <w:rFonts w:ascii="Arial" w:cs="Arial" w:eastAsia="Arial" w:hAnsi="Arial"/>
                <w:sz w:val="13"/>
                <w:szCs w:val="13"/>
                <w:b w:val="1"/>
                <w:bCs w:val="1"/>
                <w:color w:val="FFFFFF"/>
              </w:rPr>
              <w:t>Grant Date</w:t>
            </w:r>
          </w:p>
        </w:tc>
        <w:tc>
          <w:tcPr>
            <w:tcW w:w="820" w:type="dxa"/>
            <w:vAlign w:val="bottom"/>
            <w:tcBorders>
              <w:right w:val="single" w:sz="8" w:color="000E5B"/>
            </w:tcBorders>
            <w:shd w:val="clear" w:color="auto" w:fill="1F3C7B"/>
          </w:tcPr>
          <w:p>
            <w:pPr>
              <w:jc w:val="right"/>
              <w:ind w:right="298"/>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0E5B"/>
            </w:tcBorders>
            <w:shd w:val="clear" w:color="auto" w:fill="1F3C7B"/>
          </w:tcPr>
          <w:p>
            <w:pPr>
              <w:jc w:val="right"/>
              <w:ind w:right="298"/>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000E5B"/>
            </w:tcBorders>
            <w:shd w:val="clear" w:color="auto" w:fill="1F3C7B"/>
          </w:tcPr>
          <w:p>
            <w:pPr>
              <w:jc w:val="right"/>
              <w:ind w:right="358"/>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right w:val="single" w:sz="8" w:color="000E5B"/>
            </w:tcBorders>
            <w:shd w:val="clear" w:color="auto" w:fill="1F3C7B"/>
          </w:tcPr>
          <w:p>
            <w:pPr>
              <w:jc w:val="right"/>
              <w:ind w:right="258"/>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right w:val="single" w:sz="8" w:color="000E5B"/>
            </w:tcBorders>
            <w:shd w:val="clear" w:color="auto" w:fill="1F3C7B"/>
          </w:tcPr>
          <w:p>
            <w:pPr>
              <w:jc w:val="right"/>
              <w:ind w:right="257"/>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0E5B"/>
            </w:tcBorders>
            <w:shd w:val="clear" w:color="auto" w:fill="1F3C7B"/>
          </w:tcPr>
          <w:p>
            <w:pPr>
              <w:jc w:val="center"/>
              <w:spacing w:after="0" w:line="175" w:lineRule="exact"/>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(2)</w:t>
            </w:r>
          </w:p>
        </w:tc>
        <w:tc>
          <w:tcPr>
            <w:tcW w:w="9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3"/>
                <w:szCs w:val="13"/>
                <w:b w:val="1"/>
                <w:bCs w:val="1"/>
                <w:color w:val="FFFFFF"/>
                <w:w w:val="94"/>
              </w:rPr>
              <w:t>($/Sh)</w:t>
            </w:r>
          </w:p>
        </w:tc>
        <w:tc>
          <w:tcPr>
            <w:tcW w:w="840" w:type="dxa"/>
            <w:vAlign w:val="bottom"/>
            <w:tcBorders>
              <w:right w:val="single" w:sz="8" w:color="1F3C7B"/>
            </w:tcBorders>
            <w:shd w:val="clear" w:color="auto" w:fill="1F3C7B"/>
          </w:tcPr>
          <w:p>
            <w:pPr>
              <w:jc w:val="center"/>
              <w:spacing w:after="0" w:line="175" w:lineRule="exact"/>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(3)</w:t>
            </w:r>
          </w:p>
        </w:tc>
        <w:tc>
          <w:tcPr>
            <w:tcW w:w="0" w:type="dxa"/>
            <w:vAlign w:val="bottom"/>
          </w:tcPr>
          <w:p>
            <w:pPr>
              <w:spacing w:after="0"/>
              <w:rPr>
                <w:sz w:val="1"/>
                <w:szCs w:val="1"/>
                <w:color w:val="auto"/>
              </w:rPr>
            </w:pPr>
          </w:p>
        </w:tc>
      </w:tr>
      <w:tr>
        <w:trPr>
          <w:trHeight w:val="162"/>
        </w:trPr>
        <w:tc>
          <w:tcPr>
            <w:tcW w:w="11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L. Reade Fahs</w:t>
            </w:r>
          </w:p>
        </w:tc>
        <w:tc>
          <w:tcPr>
            <w:tcW w:w="840" w:type="dxa"/>
            <w:vAlign w:val="bottom"/>
            <w:tcBorders>
              <w:right w:val="single" w:sz="8" w:color="000E5B"/>
            </w:tcBorders>
            <w:shd w:val="clear" w:color="auto" w:fill="CCEEFF"/>
          </w:tcPr>
          <w:p>
            <w:pPr>
              <w:spacing w:after="0"/>
              <w:rPr>
                <w:sz w:val="14"/>
                <w:szCs w:val="14"/>
                <w:color w:val="auto"/>
              </w:rPr>
            </w:pPr>
          </w:p>
        </w:tc>
        <w:tc>
          <w:tcPr>
            <w:tcW w:w="820" w:type="dxa"/>
            <w:vAlign w:val="bottom"/>
            <w:tcBorders>
              <w:right w:val="single" w:sz="8" w:color="000E5B"/>
            </w:tcBorders>
            <w:shd w:val="clear" w:color="auto" w:fill="CCEEFF"/>
          </w:tcPr>
          <w:p>
            <w:pPr>
              <w:jc w:val="right"/>
              <w:ind w:right="18"/>
              <w:spacing w:after="0" w:line="162" w:lineRule="exact"/>
              <w:rPr>
                <w:sz w:val="20"/>
                <w:szCs w:val="20"/>
                <w:color w:val="auto"/>
              </w:rPr>
            </w:pPr>
            <w:r>
              <w:rPr>
                <w:rFonts w:ascii="Arial" w:cs="Arial" w:eastAsia="Arial" w:hAnsi="Arial"/>
                <w:sz w:val="12"/>
                <w:szCs w:val="12"/>
                <w:color w:val="auto"/>
              </w:rPr>
              <w:t>265,712</w:t>
            </w:r>
            <w:r>
              <w:rPr>
                <w:rFonts w:ascii="Arial" w:cs="Arial" w:eastAsia="Arial" w:hAnsi="Arial"/>
                <w:sz w:val="18"/>
                <w:szCs w:val="18"/>
                <w:color w:val="auto"/>
                <w:vertAlign w:val="superscript"/>
              </w:rPr>
              <w:t>(4)</w:t>
            </w:r>
          </w:p>
        </w:tc>
        <w:tc>
          <w:tcPr>
            <w:tcW w:w="840" w:type="dxa"/>
            <w:vAlign w:val="bottom"/>
            <w:tcBorders>
              <w:right w:val="single" w:sz="8" w:color="000E5B"/>
            </w:tcBorders>
            <w:shd w:val="clear" w:color="auto" w:fill="CCEEFF"/>
          </w:tcPr>
          <w:p>
            <w:pPr>
              <w:jc w:val="right"/>
              <w:ind w:right="18"/>
              <w:spacing w:after="0" w:line="162" w:lineRule="exact"/>
              <w:rPr>
                <w:sz w:val="20"/>
                <w:szCs w:val="20"/>
                <w:color w:val="auto"/>
              </w:rPr>
            </w:pPr>
            <w:r>
              <w:rPr>
                <w:rFonts w:ascii="Arial" w:cs="Arial" w:eastAsia="Arial" w:hAnsi="Arial"/>
                <w:sz w:val="12"/>
                <w:szCs w:val="12"/>
                <w:color w:val="auto"/>
              </w:rPr>
              <w:t>531,423</w:t>
            </w:r>
            <w:r>
              <w:rPr>
                <w:rFonts w:ascii="Arial" w:cs="Arial" w:eastAsia="Arial" w:hAnsi="Arial"/>
                <w:sz w:val="18"/>
                <w:szCs w:val="18"/>
                <w:color w:val="auto"/>
                <w:vertAlign w:val="superscript"/>
              </w:rPr>
              <w:t>(4)</w:t>
            </w:r>
          </w:p>
        </w:tc>
        <w:tc>
          <w:tcPr>
            <w:tcW w:w="960" w:type="dxa"/>
            <w:vAlign w:val="bottom"/>
            <w:tcBorders>
              <w:right w:val="single" w:sz="8" w:color="000E5B"/>
            </w:tcBorders>
            <w:shd w:val="clear" w:color="auto" w:fill="CCEEFF"/>
          </w:tcPr>
          <w:p>
            <w:pPr>
              <w:jc w:val="right"/>
              <w:ind w:right="38"/>
              <w:spacing w:after="0" w:line="162" w:lineRule="exact"/>
              <w:rPr>
                <w:sz w:val="20"/>
                <w:szCs w:val="20"/>
                <w:color w:val="auto"/>
              </w:rPr>
            </w:pPr>
            <w:r>
              <w:rPr>
                <w:rFonts w:ascii="Arial" w:cs="Arial" w:eastAsia="Arial" w:hAnsi="Arial"/>
                <w:sz w:val="12"/>
                <w:szCs w:val="12"/>
                <w:color w:val="auto"/>
              </w:rPr>
              <w:t>1,021,665</w:t>
            </w:r>
            <w:r>
              <w:rPr>
                <w:rFonts w:ascii="Arial" w:cs="Arial" w:eastAsia="Arial" w:hAnsi="Arial"/>
                <w:sz w:val="18"/>
                <w:szCs w:val="18"/>
                <w:color w:val="auto"/>
                <w:vertAlign w:val="superscript"/>
              </w:rPr>
              <w:t>(4)</w:t>
            </w:r>
          </w:p>
        </w:tc>
        <w:tc>
          <w:tcPr>
            <w:tcW w:w="76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000E5B"/>
            </w:tcBorders>
            <w:shd w:val="clear" w:color="auto" w:fill="CCEEFF"/>
          </w:tcPr>
          <w:p>
            <w:pPr>
              <w:spacing w:after="0"/>
              <w:rPr>
                <w:sz w:val="14"/>
                <w:szCs w:val="14"/>
                <w:color w:val="auto"/>
              </w:rPr>
            </w:pPr>
          </w:p>
        </w:tc>
        <w:tc>
          <w:tcPr>
            <w:tcW w:w="76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000E5B"/>
            </w:tcBorders>
            <w:shd w:val="clear" w:color="auto" w:fill="CCEEFF"/>
          </w:tcPr>
          <w:p>
            <w:pPr>
              <w:spacing w:after="0"/>
              <w:rPr>
                <w:sz w:val="14"/>
                <w:szCs w:val="14"/>
                <w:color w:val="auto"/>
              </w:rPr>
            </w:pPr>
          </w:p>
        </w:tc>
        <w:tc>
          <w:tcPr>
            <w:tcW w:w="940" w:type="dxa"/>
            <w:vAlign w:val="bottom"/>
            <w:tcBorders>
              <w:right w:val="single" w:sz="8" w:color="000E5B"/>
            </w:tcBorders>
            <w:shd w:val="clear" w:color="auto" w:fill="CCEEFF"/>
          </w:tcPr>
          <w:p>
            <w:pPr>
              <w:spacing w:after="0"/>
              <w:rPr>
                <w:sz w:val="14"/>
                <w:szCs w:val="14"/>
                <w:color w:val="auto"/>
              </w:rPr>
            </w:pPr>
          </w:p>
        </w:tc>
        <w:tc>
          <w:tcPr>
            <w:tcW w:w="840" w:type="dxa"/>
            <w:vAlign w:val="bottom"/>
            <w:tcBorders>
              <w:right w:val="single" w:sz="8" w:color="1F3C7B"/>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Patrick R. Moore</w:t>
            </w:r>
          </w:p>
        </w:tc>
        <w:tc>
          <w:tcPr>
            <w:tcW w:w="840" w:type="dxa"/>
            <w:vAlign w:val="bottom"/>
            <w:tcBorders>
              <w:right w:val="single" w:sz="8" w:color="000E5B"/>
            </w:tcBorders>
            <w:shd w:val="clear" w:color="auto" w:fill="C6C8CA"/>
          </w:tcPr>
          <w:p>
            <w:pPr>
              <w:jc w:val="right"/>
              <w:ind w:right="77"/>
              <w:spacing w:after="0"/>
              <w:rPr>
                <w:sz w:val="20"/>
                <w:szCs w:val="20"/>
                <w:color w:val="auto"/>
              </w:rPr>
            </w:pPr>
            <w:r>
              <w:rPr>
                <w:rFonts w:ascii="Arial" w:cs="Arial" w:eastAsia="Arial" w:hAnsi="Arial"/>
                <w:sz w:val="13"/>
                <w:szCs w:val="13"/>
                <w:color w:val="auto"/>
              </w:rPr>
              <w:t>10/25/2017</w:t>
            </w:r>
          </w:p>
        </w:tc>
        <w:tc>
          <w:tcPr>
            <w:tcW w:w="82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960" w:type="dxa"/>
            <w:vAlign w:val="bottom"/>
            <w:tcBorders>
              <w:right w:val="single" w:sz="8" w:color="000E5B"/>
            </w:tcBorders>
            <w:shd w:val="clear" w:color="auto" w:fill="C6C8CA"/>
          </w:tcPr>
          <w:p>
            <w:pPr>
              <w:spacing w:after="0"/>
              <w:rPr>
                <w:sz w:val="14"/>
                <w:szCs w:val="14"/>
                <w:color w:val="auto"/>
              </w:rPr>
            </w:pPr>
          </w:p>
        </w:tc>
        <w:tc>
          <w:tcPr>
            <w:tcW w:w="76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76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92,443</w:t>
            </w:r>
          </w:p>
        </w:tc>
        <w:tc>
          <w:tcPr>
            <w:tcW w:w="9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22.00</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848,442</w:t>
            </w:r>
          </w:p>
        </w:tc>
        <w:tc>
          <w:tcPr>
            <w:tcW w:w="0" w:type="dxa"/>
            <w:vAlign w:val="bottom"/>
          </w:tcPr>
          <w:p>
            <w:pPr>
              <w:spacing w:after="0"/>
              <w:rPr>
                <w:sz w:val="1"/>
                <w:szCs w:val="1"/>
                <w:color w:val="auto"/>
              </w:rPr>
            </w:pPr>
          </w:p>
        </w:tc>
      </w:tr>
      <w:tr>
        <w:trPr>
          <w:trHeight w:val="161"/>
        </w:trPr>
        <w:tc>
          <w:tcPr>
            <w:tcW w:w="1120" w:type="dxa"/>
            <w:vAlign w:val="bottom"/>
            <w:tcBorders>
              <w:left w:val="single" w:sz="8" w:color="1F3C7B"/>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82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100,000</w:t>
            </w:r>
          </w:p>
        </w:tc>
        <w:tc>
          <w:tcPr>
            <w:tcW w:w="84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200,000</w:t>
            </w:r>
          </w:p>
        </w:tc>
        <w:tc>
          <w:tcPr>
            <w:tcW w:w="960" w:type="dxa"/>
            <w:vAlign w:val="bottom"/>
            <w:tcBorders>
              <w:right w:val="single" w:sz="8" w:color="000E5B"/>
            </w:tcBorders>
            <w:shd w:val="clear" w:color="auto" w:fill="CCEEFF"/>
          </w:tcPr>
          <w:p>
            <w:pPr>
              <w:jc w:val="right"/>
              <w:ind w:right="158"/>
              <w:spacing w:after="0"/>
              <w:rPr>
                <w:sz w:val="20"/>
                <w:szCs w:val="20"/>
                <w:color w:val="auto"/>
              </w:rPr>
            </w:pPr>
            <w:r>
              <w:rPr>
                <w:rFonts w:ascii="Arial" w:cs="Arial" w:eastAsia="Arial" w:hAnsi="Arial"/>
                <w:sz w:val="13"/>
                <w:szCs w:val="13"/>
                <w:color w:val="auto"/>
              </w:rPr>
              <w:t>445,000</w:t>
            </w: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94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1F3C7B"/>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Jeff McAllister</w:t>
            </w:r>
          </w:p>
        </w:tc>
        <w:tc>
          <w:tcPr>
            <w:tcW w:w="840" w:type="dxa"/>
            <w:vAlign w:val="bottom"/>
            <w:tcBorders>
              <w:right w:val="single" w:sz="8" w:color="000E5B"/>
            </w:tcBorders>
            <w:shd w:val="clear" w:color="auto" w:fill="C6C8CA"/>
          </w:tcPr>
          <w:p>
            <w:pPr>
              <w:jc w:val="right"/>
              <w:ind w:right="97"/>
              <w:spacing w:after="0"/>
              <w:rPr>
                <w:sz w:val="20"/>
                <w:szCs w:val="20"/>
                <w:color w:val="auto"/>
              </w:rPr>
            </w:pPr>
            <w:r>
              <w:rPr>
                <w:rFonts w:ascii="Arial" w:cs="Arial" w:eastAsia="Arial" w:hAnsi="Arial"/>
                <w:sz w:val="13"/>
                <w:szCs w:val="13"/>
                <w:color w:val="auto"/>
              </w:rPr>
              <w:t>8/14/2017</w:t>
            </w:r>
          </w:p>
        </w:tc>
        <w:tc>
          <w:tcPr>
            <w:tcW w:w="82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960" w:type="dxa"/>
            <w:vAlign w:val="bottom"/>
            <w:tcBorders>
              <w:right w:val="single" w:sz="8" w:color="000E5B"/>
            </w:tcBorders>
            <w:shd w:val="clear" w:color="auto" w:fill="C6C8CA"/>
          </w:tcPr>
          <w:p>
            <w:pPr>
              <w:spacing w:after="0"/>
              <w:rPr>
                <w:sz w:val="14"/>
                <w:szCs w:val="14"/>
                <w:color w:val="auto"/>
              </w:rPr>
            </w:pPr>
          </w:p>
        </w:tc>
        <w:tc>
          <w:tcPr>
            <w:tcW w:w="760" w:type="dxa"/>
            <w:vAlign w:val="bottom"/>
            <w:tcBorders>
              <w:right w:val="single" w:sz="8" w:color="000E5B"/>
            </w:tcBorders>
            <w:shd w:val="clear" w:color="auto" w:fill="C6C8CA"/>
          </w:tcPr>
          <w:p>
            <w:pPr>
              <w:jc w:val="right"/>
              <w:ind w:right="18"/>
              <w:spacing w:after="0" w:line="164" w:lineRule="exact"/>
              <w:rPr>
                <w:sz w:val="20"/>
                <w:szCs w:val="20"/>
                <w:color w:val="auto"/>
              </w:rPr>
            </w:pPr>
            <w:r>
              <w:rPr>
                <w:rFonts w:ascii="Arial" w:cs="Arial" w:eastAsia="Arial" w:hAnsi="Arial"/>
                <w:sz w:val="12"/>
                <w:szCs w:val="12"/>
                <w:color w:val="auto"/>
              </w:rPr>
              <w:t>43,478</w:t>
            </w:r>
            <w:r>
              <w:rPr>
                <w:rFonts w:ascii="Arial" w:cs="Arial" w:eastAsia="Arial" w:hAnsi="Arial"/>
                <w:sz w:val="18"/>
                <w:szCs w:val="18"/>
                <w:color w:val="auto"/>
                <w:vertAlign w:val="superscript"/>
              </w:rPr>
              <w:t>(5)</w:t>
            </w:r>
          </w:p>
        </w:tc>
        <w:tc>
          <w:tcPr>
            <w:tcW w:w="840" w:type="dxa"/>
            <w:vAlign w:val="bottom"/>
            <w:tcBorders>
              <w:right w:val="single" w:sz="8" w:color="000E5B"/>
            </w:tcBorders>
            <w:shd w:val="clear" w:color="auto" w:fill="C6C8CA"/>
          </w:tcPr>
          <w:p>
            <w:pPr>
              <w:jc w:val="right"/>
              <w:ind w:right="19"/>
              <w:spacing w:after="0" w:line="164" w:lineRule="exact"/>
              <w:rPr>
                <w:sz w:val="20"/>
                <w:szCs w:val="20"/>
                <w:color w:val="auto"/>
              </w:rPr>
            </w:pPr>
            <w:r>
              <w:rPr>
                <w:rFonts w:ascii="Arial" w:cs="Arial" w:eastAsia="Arial" w:hAnsi="Arial"/>
                <w:sz w:val="12"/>
                <w:szCs w:val="12"/>
                <w:color w:val="auto"/>
              </w:rPr>
              <w:t>217,390</w:t>
            </w:r>
            <w:r>
              <w:rPr>
                <w:rFonts w:ascii="Arial" w:cs="Arial" w:eastAsia="Arial" w:hAnsi="Arial"/>
                <w:sz w:val="18"/>
                <w:szCs w:val="18"/>
                <w:color w:val="auto"/>
                <w:vertAlign w:val="superscript"/>
              </w:rPr>
              <w:t>(5)</w:t>
            </w:r>
          </w:p>
        </w:tc>
        <w:tc>
          <w:tcPr>
            <w:tcW w:w="76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144,927</w:t>
            </w:r>
          </w:p>
        </w:tc>
        <w:tc>
          <w:tcPr>
            <w:tcW w:w="940" w:type="dxa"/>
            <w:vAlign w:val="bottom"/>
            <w:tcBorders>
              <w:right w:val="single" w:sz="8" w:color="000E5B"/>
            </w:tcBorders>
            <w:shd w:val="clear" w:color="auto" w:fill="C6C8CA"/>
          </w:tcPr>
          <w:p>
            <w:pPr>
              <w:jc w:val="right"/>
              <w:ind w:right="57"/>
              <w:spacing w:after="0"/>
              <w:rPr>
                <w:sz w:val="20"/>
                <w:szCs w:val="20"/>
                <w:color w:val="auto"/>
              </w:rPr>
            </w:pPr>
            <w:r>
              <w:rPr>
                <w:rFonts w:ascii="Arial" w:cs="Arial" w:eastAsia="Arial" w:hAnsi="Arial"/>
                <w:sz w:val="13"/>
                <w:szCs w:val="13"/>
                <w:color w:val="auto"/>
              </w:rPr>
              <w:t>15.74</w:t>
            </w:r>
          </w:p>
        </w:tc>
        <w:tc>
          <w:tcPr>
            <w:tcW w:w="840" w:type="dxa"/>
            <w:vAlign w:val="bottom"/>
            <w:tcBorders>
              <w:right w:val="single" w:sz="8" w:color="1F3C7B"/>
            </w:tcBorders>
            <w:shd w:val="clear" w:color="auto" w:fill="C6C8CA"/>
          </w:tcPr>
          <w:p>
            <w:pPr>
              <w:jc w:val="right"/>
              <w:ind w:right="57"/>
              <w:spacing w:after="0"/>
              <w:rPr>
                <w:sz w:val="20"/>
                <w:szCs w:val="20"/>
                <w:color w:val="auto"/>
              </w:rPr>
            </w:pPr>
            <w:r>
              <w:rPr>
                <w:rFonts w:ascii="Arial" w:cs="Arial" w:eastAsia="Arial" w:hAnsi="Arial"/>
                <w:sz w:val="13"/>
                <w:szCs w:val="13"/>
                <w:color w:val="auto"/>
              </w:rPr>
              <w:t>3,346,209</w:t>
            </w:r>
          </w:p>
        </w:tc>
        <w:tc>
          <w:tcPr>
            <w:tcW w:w="0" w:type="dxa"/>
            <w:vAlign w:val="bottom"/>
          </w:tcPr>
          <w:p>
            <w:pPr>
              <w:spacing w:after="0"/>
              <w:rPr>
                <w:sz w:val="1"/>
                <w:szCs w:val="1"/>
                <w:color w:val="auto"/>
              </w:rPr>
            </w:pPr>
          </w:p>
        </w:tc>
      </w:tr>
      <w:tr>
        <w:trPr>
          <w:trHeight w:val="161"/>
        </w:trPr>
        <w:tc>
          <w:tcPr>
            <w:tcW w:w="1120" w:type="dxa"/>
            <w:vAlign w:val="bottom"/>
            <w:tcBorders>
              <w:left w:val="single" w:sz="8" w:color="1F3C7B"/>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82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68,149</w:t>
            </w:r>
          </w:p>
        </w:tc>
        <w:tc>
          <w:tcPr>
            <w:tcW w:w="84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136,298</w:t>
            </w:r>
          </w:p>
        </w:tc>
        <w:tc>
          <w:tcPr>
            <w:tcW w:w="960" w:type="dxa"/>
            <w:vAlign w:val="bottom"/>
            <w:tcBorders>
              <w:right w:val="single" w:sz="8" w:color="000E5B"/>
            </w:tcBorders>
            <w:shd w:val="clear" w:color="auto" w:fill="CCEEFF"/>
          </w:tcPr>
          <w:p>
            <w:pPr>
              <w:jc w:val="right"/>
              <w:ind w:right="158"/>
              <w:spacing w:after="0"/>
              <w:rPr>
                <w:sz w:val="20"/>
                <w:szCs w:val="20"/>
                <w:color w:val="auto"/>
              </w:rPr>
            </w:pPr>
            <w:r>
              <w:rPr>
                <w:rFonts w:ascii="Arial" w:cs="Arial" w:eastAsia="Arial" w:hAnsi="Arial"/>
                <w:sz w:val="13"/>
                <w:szCs w:val="13"/>
                <w:color w:val="auto"/>
              </w:rPr>
              <w:t>295,313</w:t>
            </w: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94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1F3C7B"/>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2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w w:val="99"/>
              </w:rPr>
              <w:t>Mitchell Goodman</w:t>
            </w:r>
          </w:p>
        </w:tc>
        <w:tc>
          <w:tcPr>
            <w:tcW w:w="840" w:type="dxa"/>
            <w:vAlign w:val="bottom"/>
            <w:tcBorders>
              <w:right w:val="single" w:sz="8" w:color="000E5B"/>
            </w:tcBorders>
            <w:shd w:val="clear" w:color="auto" w:fill="C6C8CA"/>
          </w:tcPr>
          <w:p>
            <w:pPr>
              <w:spacing w:after="0"/>
              <w:rPr>
                <w:sz w:val="14"/>
                <w:szCs w:val="14"/>
                <w:color w:val="auto"/>
              </w:rPr>
            </w:pPr>
          </w:p>
        </w:tc>
        <w:tc>
          <w:tcPr>
            <w:tcW w:w="820" w:type="dxa"/>
            <w:vAlign w:val="bottom"/>
            <w:tcBorders>
              <w:right w:val="single" w:sz="8" w:color="000E5B"/>
            </w:tcBorders>
            <w:shd w:val="clear" w:color="auto" w:fill="C6C8CA"/>
          </w:tcPr>
          <w:p>
            <w:pPr>
              <w:jc w:val="right"/>
              <w:ind w:right="138"/>
              <w:spacing w:after="0"/>
              <w:rPr>
                <w:sz w:val="20"/>
                <w:szCs w:val="20"/>
                <w:color w:val="auto"/>
              </w:rPr>
            </w:pPr>
            <w:r>
              <w:rPr>
                <w:rFonts w:ascii="Arial" w:cs="Arial" w:eastAsia="Arial" w:hAnsi="Arial"/>
                <w:sz w:val="13"/>
                <w:szCs w:val="13"/>
                <w:color w:val="auto"/>
              </w:rPr>
              <w:t>86,154</w:t>
            </w:r>
          </w:p>
        </w:tc>
        <w:tc>
          <w:tcPr>
            <w:tcW w:w="840" w:type="dxa"/>
            <w:vAlign w:val="bottom"/>
            <w:tcBorders>
              <w:right w:val="single" w:sz="8" w:color="000E5B"/>
            </w:tcBorders>
            <w:shd w:val="clear" w:color="auto" w:fill="C6C8CA"/>
          </w:tcPr>
          <w:p>
            <w:pPr>
              <w:jc w:val="right"/>
              <w:ind w:right="138"/>
              <w:spacing w:after="0"/>
              <w:rPr>
                <w:sz w:val="20"/>
                <w:szCs w:val="20"/>
                <w:color w:val="auto"/>
              </w:rPr>
            </w:pPr>
            <w:r>
              <w:rPr>
                <w:rFonts w:ascii="Arial" w:cs="Arial" w:eastAsia="Arial" w:hAnsi="Arial"/>
                <w:sz w:val="13"/>
                <w:szCs w:val="13"/>
                <w:color w:val="auto"/>
              </w:rPr>
              <w:t>172,308</w:t>
            </w:r>
          </w:p>
        </w:tc>
        <w:tc>
          <w:tcPr>
            <w:tcW w:w="960" w:type="dxa"/>
            <w:vAlign w:val="bottom"/>
            <w:tcBorders>
              <w:right w:val="single" w:sz="8" w:color="000E5B"/>
            </w:tcBorders>
            <w:shd w:val="clear" w:color="auto" w:fill="C6C8CA"/>
          </w:tcPr>
          <w:p>
            <w:pPr>
              <w:jc w:val="right"/>
              <w:ind w:right="158"/>
              <w:spacing w:after="0"/>
              <w:rPr>
                <w:sz w:val="20"/>
                <w:szCs w:val="20"/>
                <w:color w:val="auto"/>
              </w:rPr>
            </w:pPr>
            <w:r>
              <w:rPr>
                <w:rFonts w:ascii="Arial" w:cs="Arial" w:eastAsia="Arial" w:hAnsi="Arial"/>
                <w:sz w:val="13"/>
                <w:szCs w:val="13"/>
                <w:color w:val="auto"/>
              </w:rPr>
              <w:t>383,385</w:t>
            </w:r>
          </w:p>
        </w:tc>
        <w:tc>
          <w:tcPr>
            <w:tcW w:w="76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76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000E5B"/>
            </w:tcBorders>
            <w:shd w:val="clear" w:color="auto" w:fill="C6C8CA"/>
          </w:tcPr>
          <w:p>
            <w:pPr>
              <w:spacing w:after="0"/>
              <w:rPr>
                <w:sz w:val="14"/>
                <w:szCs w:val="14"/>
                <w:color w:val="auto"/>
              </w:rPr>
            </w:pPr>
          </w:p>
        </w:tc>
        <w:tc>
          <w:tcPr>
            <w:tcW w:w="940" w:type="dxa"/>
            <w:vAlign w:val="bottom"/>
            <w:tcBorders>
              <w:right w:val="single" w:sz="8" w:color="000E5B"/>
            </w:tcBorders>
            <w:shd w:val="clear" w:color="auto" w:fill="C6C8CA"/>
          </w:tcPr>
          <w:p>
            <w:pPr>
              <w:spacing w:after="0"/>
              <w:rPr>
                <w:sz w:val="14"/>
                <w:szCs w:val="14"/>
                <w:color w:val="auto"/>
              </w:rPr>
            </w:pPr>
          </w:p>
        </w:tc>
        <w:tc>
          <w:tcPr>
            <w:tcW w:w="840" w:type="dxa"/>
            <w:vAlign w:val="bottom"/>
            <w:tcBorders>
              <w:right w:val="single" w:sz="8" w:color="1F3C7B"/>
            </w:tcBorders>
            <w:shd w:val="clear" w:color="auto" w:fill="C6C8CA"/>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3"/>
                <w:szCs w:val="13"/>
                <w:color w:val="auto"/>
              </w:rPr>
              <w:t>John Vaught</w:t>
            </w:r>
          </w:p>
        </w:tc>
        <w:tc>
          <w:tcPr>
            <w:tcW w:w="840" w:type="dxa"/>
            <w:vAlign w:val="bottom"/>
            <w:tcBorders>
              <w:right w:val="single" w:sz="8" w:color="000E5B"/>
            </w:tcBorders>
            <w:shd w:val="clear" w:color="auto" w:fill="CCEEFF"/>
          </w:tcPr>
          <w:p>
            <w:pPr>
              <w:spacing w:after="0"/>
              <w:rPr>
                <w:sz w:val="13"/>
                <w:szCs w:val="13"/>
                <w:color w:val="auto"/>
              </w:rPr>
            </w:pPr>
          </w:p>
        </w:tc>
        <w:tc>
          <w:tcPr>
            <w:tcW w:w="82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46,450</w:t>
            </w:r>
          </w:p>
        </w:tc>
        <w:tc>
          <w:tcPr>
            <w:tcW w:w="840" w:type="dxa"/>
            <w:vAlign w:val="bottom"/>
            <w:tcBorders>
              <w:right w:val="single" w:sz="8" w:color="000E5B"/>
            </w:tcBorders>
            <w:shd w:val="clear" w:color="auto" w:fill="CCEEFF"/>
          </w:tcPr>
          <w:p>
            <w:pPr>
              <w:jc w:val="right"/>
              <w:ind w:right="138"/>
              <w:spacing w:after="0"/>
              <w:rPr>
                <w:sz w:val="20"/>
                <w:szCs w:val="20"/>
                <w:color w:val="auto"/>
              </w:rPr>
            </w:pPr>
            <w:r>
              <w:rPr>
                <w:rFonts w:ascii="Arial" w:cs="Arial" w:eastAsia="Arial" w:hAnsi="Arial"/>
                <w:sz w:val="13"/>
                <w:szCs w:val="13"/>
                <w:color w:val="auto"/>
              </w:rPr>
              <w:t>92,900</w:t>
            </w:r>
          </w:p>
        </w:tc>
        <w:tc>
          <w:tcPr>
            <w:tcW w:w="960" w:type="dxa"/>
            <w:vAlign w:val="bottom"/>
            <w:tcBorders>
              <w:right w:val="single" w:sz="8" w:color="000E5B"/>
            </w:tcBorders>
            <w:shd w:val="clear" w:color="auto" w:fill="CCEEFF"/>
          </w:tcPr>
          <w:p>
            <w:pPr>
              <w:jc w:val="right"/>
              <w:ind w:right="158"/>
              <w:spacing w:after="0"/>
              <w:rPr>
                <w:sz w:val="20"/>
                <w:szCs w:val="20"/>
                <w:color w:val="auto"/>
              </w:rPr>
            </w:pPr>
            <w:r>
              <w:rPr>
                <w:rFonts w:ascii="Arial" w:cs="Arial" w:eastAsia="Arial" w:hAnsi="Arial"/>
                <w:sz w:val="13"/>
                <w:szCs w:val="13"/>
                <w:color w:val="auto"/>
              </w:rPr>
              <w:t>242,969</w:t>
            </w: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760" w:type="dxa"/>
            <w:vAlign w:val="bottom"/>
            <w:tcBorders>
              <w:right w:val="single" w:sz="8" w:color="000E5B"/>
            </w:tcBorders>
            <w:shd w:val="clear" w:color="auto" w:fill="CCEEFF"/>
          </w:tcPr>
          <w:p>
            <w:pPr>
              <w:spacing w:after="0"/>
              <w:rPr>
                <w:sz w:val="13"/>
                <w:szCs w:val="13"/>
                <w:color w:val="auto"/>
              </w:rPr>
            </w:pPr>
          </w:p>
        </w:tc>
        <w:tc>
          <w:tcPr>
            <w:tcW w:w="840" w:type="dxa"/>
            <w:vAlign w:val="bottom"/>
            <w:tcBorders>
              <w:right w:val="single" w:sz="8" w:color="000E5B"/>
            </w:tcBorders>
            <w:shd w:val="clear" w:color="auto" w:fill="CCEEFF"/>
          </w:tcPr>
          <w:p>
            <w:pPr>
              <w:spacing w:after="0"/>
              <w:rPr>
                <w:sz w:val="13"/>
                <w:szCs w:val="13"/>
                <w:color w:val="auto"/>
              </w:rPr>
            </w:pPr>
          </w:p>
        </w:tc>
        <w:tc>
          <w:tcPr>
            <w:tcW w:w="940" w:type="dxa"/>
            <w:vAlign w:val="bottom"/>
            <w:tcBorders>
              <w:right w:val="single" w:sz="8" w:color="000E5B"/>
            </w:tcBorders>
            <w:shd w:val="clear" w:color="auto" w:fill="CCEEFF"/>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1F3C7B"/>
              <w:bottom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3"/>
                <w:szCs w:val="13"/>
                <w:color w:val="auto"/>
              </w:rPr>
              <w:t>J. Bruce Steffey</w:t>
            </w:r>
          </w:p>
        </w:tc>
        <w:tc>
          <w:tcPr>
            <w:tcW w:w="840" w:type="dxa"/>
            <w:vAlign w:val="bottom"/>
            <w:tcBorders>
              <w:bottom w:val="single" w:sz="8" w:color="1F3C7B"/>
              <w:right w:val="single" w:sz="8" w:color="000E5B"/>
            </w:tcBorders>
            <w:shd w:val="clear" w:color="auto" w:fill="C6C8CA"/>
          </w:tcPr>
          <w:p>
            <w:pPr>
              <w:spacing w:after="0"/>
              <w:rPr>
                <w:sz w:val="14"/>
                <w:szCs w:val="14"/>
                <w:color w:val="auto"/>
              </w:rPr>
            </w:pPr>
          </w:p>
        </w:tc>
        <w:tc>
          <w:tcPr>
            <w:tcW w:w="820" w:type="dxa"/>
            <w:vAlign w:val="bottom"/>
            <w:tcBorders>
              <w:bottom w:val="single" w:sz="8" w:color="1F3C7B"/>
              <w:right w:val="single" w:sz="8" w:color="000E5B"/>
            </w:tcBorders>
            <w:shd w:val="clear" w:color="auto" w:fill="C6C8CA"/>
          </w:tcPr>
          <w:p>
            <w:pPr>
              <w:jc w:val="right"/>
              <w:ind w:right="138"/>
              <w:spacing w:after="0"/>
              <w:rPr>
                <w:sz w:val="20"/>
                <w:szCs w:val="20"/>
                <w:color w:val="auto"/>
              </w:rPr>
            </w:pPr>
            <w:r>
              <w:rPr>
                <w:rFonts w:ascii="Arial" w:cs="Arial" w:eastAsia="Arial" w:hAnsi="Arial"/>
                <w:sz w:val="13"/>
                <w:szCs w:val="13"/>
                <w:color w:val="auto"/>
              </w:rPr>
              <w:t>151,323</w:t>
            </w:r>
          </w:p>
        </w:tc>
        <w:tc>
          <w:tcPr>
            <w:tcW w:w="840" w:type="dxa"/>
            <w:vAlign w:val="bottom"/>
            <w:tcBorders>
              <w:bottom w:val="single" w:sz="8" w:color="1F3C7B"/>
              <w:right w:val="single" w:sz="8" w:color="000E5B"/>
            </w:tcBorders>
            <w:shd w:val="clear" w:color="auto" w:fill="C6C8CA"/>
          </w:tcPr>
          <w:p>
            <w:pPr>
              <w:jc w:val="right"/>
              <w:ind w:right="138"/>
              <w:spacing w:after="0"/>
              <w:rPr>
                <w:sz w:val="20"/>
                <w:szCs w:val="20"/>
                <w:color w:val="auto"/>
              </w:rPr>
            </w:pPr>
            <w:r>
              <w:rPr>
                <w:rFonts w:ascii="Arial" w:cs="Arial" w:eastAsia="Arial" w:hAnsi="Arial"/>
                <w:sz w:val="13"/>
                <w:szCs w:val="13"/>
                <w:color w:val="auto"/>
              </w:rPr>
              <w:t>302,665</w:t>
            </w:r>
          </w:p>
        </w:tc>
        <w:tc>
          <w:tcPr>
            <w:tcW w:w="960" w:type="dxa"/>
            <w:vAlign w:val="bottom"/>
            <w:tcBorders>
              <w:bottom w:val="single" w:sz="8" w:color="1F3C7B"/>
              <w:right w:val="single" w:sz="8" w:color="000E5B"/>
            </w:tcBorders>
            <w:shd w:val="clear" w:color="auto" w:fill="C6C8CA"/>
          </w:tcPr>
          <w:p>
            <w:pPr>
              <w:jc w:val="right"/>
              <w:ind w:right="158"/>
              <w:spacing w:after="0"/>
              <w:rPr>
                <w:sz w:val="20"/>
                <w:szCs w:val="20"/>
                <w:color w:val="auto"/>
              </w:rPr>
            </w:pPr>
            <w:r>
              <w:rPr>
                <w:rFonts w:ascii="Arial" w:cs="Arial" w:eastAsia="Arial" w:hAnsi="Arial"/>
                <w:sz w:val="13"/>
                <w:szCs w:val="13"/>
                <w:color w:val="auto"/>
              </w:rPr>
              <w:t>655,775</w:t>
            </w:r>
          </w:p>
        </w:tc>
        <w:tc>
          <w:tcPr>
            <w:tcW w:w="760" w:type="dxa"/>
            <w:vAlign w:val="bottom"/>
            <w:tcBorders>
              <w:bottom w:val="single" w:sz="8" w:color="1F3C7B"/>
              <w:right w:val="single" w:sz="8" w:color="000E5B"/>
            </w:tcBorders>
            <w:shd w:val="clear" w:color="auto" w:fill="C6C8CA"/>
          </w:tcPr>
          <w:p>
            <w:pPr>
              <w:spacing w:after="0"/>
              <w:rPr>
                <w:sz w:val="14"/>
                <w:szCs w:val="14"/>
                <w:color w:val="auto"/>
              </w:rPr>
            </w:pPr>
          </w:p>
        </w:tc>
        <w:tc>
          <w:tcPr>
            <w:tcW w:w="840" w:type="dxa"/>
            <w:vAlign w:val="bottom"/>
            <w:tcBorders>
              <w:bottom w:val="single" w:sz="8" w:color="1F3C7B"/>
              <w:right w:val="single" w:sz="8" w:color="000E5B"/>
            </w:tcBorders>
            <w:shd w:val="clear" w:color="auto" w:fill="C6C8CA"/>
          </w:tcPr>
          <w:p>
            <w:pPr>
              <w:spacing w:after="0"/>
              <w:rPr>
                <w:sz w:val="14"/>
                <w:szCs w:val="14"/>
                <w:color w:val="auto"/>
              </w:rPr>
            </w:pPr>
          </w:p>
        </w:tc>
        <w:tc>
          <w:tcPr>
            <w:tcW w:w="760" w:type="dxa"/>
            <w:vAlign w:val="bottom"/>
            <w:tcBorders>
              <w:bottom w:val="single" w:sz="8" w:color="1F3C7B"/>
              <w:right w:val="single" w:sz="8" w:color="000E5B"/>
            </w:tcBorders>
            <w:shd w:val="clear" w:color="auto" w:fill="C6C8CA"/>
          </w:tcPr>
          <w:p>
            <w:pPr>
              <w:spacing w:after="0"/>
              <w:rPr>
                <w:sz w:val="14"/>
                <w:szCs w:val="14"/>
                <w:color w:val="auto"/>
              </w:rPr>
            </w:pPr>
          </w:p>
        </w:tc>
        <w:tc>
          <w:tcPr>
            <w:tcW w:w="840" w:type="dxa"/>
            <w:vAlign w:val="bottom"/>
            <w:tcBorders>
              <w:bottom w:val="single" w:sz="8" w:color="1F3C7B"/>
              <w:right w:val="single" w:sz="8" w:color="000E5B"/>
            </w:tcBorders>
            <w:shd w:val="clear" w:color="auto" w:fill="C6C8CA"/>
          </w:tcPr>
          <w:p>
            <w:pPr>
              <w:spacing w:after="0"/>
              <w:rPr>
                <w:sz w:val="14"/>
                <w:szCs w:val="14"/>
                <w:color w:val="auto"/>
              </w:rPr>
            </w:pPr>
          </w:p>
        </w:tc>
        <w:tc>
          <w:tcPr>
            <w:tcW w:w="940" w:type="dxa"/>
            <w:vAlign w:val="bottom"/>
            <w:tcBorders>
              <w:bottom w:val="single" w:sz="8" w:color="1F3C7B"/>
              <w:right w:val="single" w:sz="8" w:color="000E5B"/>
            </w:tcBorders>
            <w:shd w:val="clear" w:color="auto" w:fill="C6C8CA"/>
          </w:tcPr>
          <w:p>
            <w:pPr>
              <w:spacing w:after="0"/>
              <w:rPr>
                <w:sz w:val="14"/>
                <w:szCs w:val="14"/>
                <w:color w:val="auto"/>
              </w:rPr>
            </w:pPr>
          </w:p>
        </w:tc>
        <w:tc>
          <w:tcPr>
            <w:tcW w:w="840" w:type="dxa"/>
            <w:vAlign w:val="bottom"/>
            <w:tcBorders>
              <w:bottom w:val="single" w:sz="8" w:color="1F3C7B"/>
              <w:right w:val="single" w:sz="8" w:color="1F3C7B"/>
            </w:tcBorders>
            <w:shd w:val="clear" w:color="auto" w:fill="C6C8CA"/>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-831215</wp:posOffset>
            </wp:positionV>
            <wp:extent cx="606298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62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-625475</wp:posOffset>
            </wp:positionV>
            <wp:extent cx="606298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62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-419735</wp:posOffset>
            </wp:positionV>
            <wp:extent cx="606298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6298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-213995</wp:posOffset>
            </wp:positionV>
            <wp:extent cx="552259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22595"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wp:posOffset>
            </wp:positionV>
            <wp:extent cx="1209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6" w:lineRule="exact"/>
        <w:rPr>
          <w:sz w:val="20"/>
          <w:szCs w:val="20"/>
          <w:color w:val="auto"/>
        </w:rPr>
      </w:pPr>
    </w:p>
    <w:p>
      <w:pPr>
        <w:ind w:left="347" w:right="80" w:hanging="347"/>
        <w:spacing w:after="0" w:line="228" w:lineRule="auto"/>
        <w:tabs>
          <w:tab w:leader="none" w:pos="3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possible payouts of cash incentive compensation under the MIP. See “Compensation Discussion and Analysis-Compensation Elements-Management Incentive Plan” above for a description of the MIP. The actual amounts paid are described in the “Non-Equity Incentive Plan Compensation” column of the “Summary Compensation Table.”</w:t>
      </w:r>
    </w:p>
    <w:p>
      <w:pPr>
        <w:spacing w:after="0" w:line="94" w:lineRule="exact"/>
        <w:rPr>
          <w:rFonts w:ascii="Arial" w:cs="Arial" w:eastAsia="Arial" w:hAnsi="Arial"/>
          <w:sz w:val="14"/>
          <w:szCs w:val="14"/>
          <w:color w:val="auto"/>
        </w:rPr>
      </w:pPr>
    </w:p>
    <w:p>
      <w:pPr>
        <w:ind w:left="347" w:right="360" w:hanging="347"/>
        <w:spacing w:after="0" w:line="231" w:lineRule="auto"/>
        <w:tabs>
          <w:tab w:leader="none" w:pos="3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Mr. Moore, reflects 2017 Post-IPO Options and for Mr. McAllister, represents the time-vesting portion of the McAllister 2017 Options, the terms of which are summarized under “Narrative to Summary Compensation Table and 2017 Grants of Plan-Based Awards” below.</w:t>
      </w:r>
    </w:p>
    <w:p>
      <w:pPr>
        <w:spacing w:after="0" w:line="95" w:lineRule="exact"/>
        <w:rPr>
          <w:rFonts w:ascii="Arial" w:cs="Arial" w:eastAsia="Arial" w:hAnsi="Arial"/>
          <w:sz w:val="14"/>
          <w:szCs w:val="14"/>
          <w:color w:val="auto"/>
        </w:rPr>
      </w:pPr>
    </w:p>
    <w:p>
      <w:pPr>
        <w:ind w:left="347" w:right="60" w:hanging="347"/>
        <w:spacing w:after="0" w:line="231" w:lineRule="auto"/>
        <w:tabs>
          <w:tab w:leader="none" w:pos="3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grant date fair value of the time-vesting options computed in accordance with Topic 718 and utilizing the assumptions discussed in Note 5 to our consolidated financial statements for the year ended December 31, 2017 in the Form 10-K.</w:t>
      </w:r>
    </w:p>
    <w:p>
      <w:pPr>
        <w:spacing w:after="0" w:line="95" w:lineRule="exact"/>
        <w:rPr>
          <w:rFonts w:ascii="Arial" w:cs="Arial" w:eastAsia="Arial" w:hAnsi="Arial"/>
          <w:sz w:val="14"/>
          <w:szCs w:val="14"/>
          <w:color w:val="auto"/>
        </w:rPr>
      </w:pPr>
    </w:p>
    <w:p>
      <w:pPr>
        <w:ind w:left="347" w:right="20" w:hanging="347"/>
        <w:spacing w:after="0" w:line="300" w:lineRule="auto"/>
        <w:tabs>
          <w:tab w:leader="none" w:pos="347"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Amounts shown reflect the net proration of Mr. Fahs’ possible payouts under the MIP based on the increase in his target bonus percentage that took effect on September 1, 2017. See “Compensation Discussion and Analysis - Compensation Elements - Management Incentive Plan” for additional information.</w:t>
      </w:r>
    </w:p>
    <w:p>
      <w:pPr>
        <w:spacing w:after="0" w:line="60" w:lineRule="exact"/>
        <w:rPr>
          <w:rFonts w:ascii="Arial" w:cs="Arial" w:eastAsia="Arial" w:hAnsi="Arial"/>
          <w:sz w:val="12"/>
          <w:szCs w:val="12"/>
          <w:color w:val="auto"/>
        </w:rPr>
      </w:pPr>
    </w:p>
    <w:p>
      <w:pPr>
        <w:ind w:left="347" w:right="80" w:hanging="347"/>
        <w:spacing w:after="0" w:line="231" w:lineRule="auto"/>
        <w:tabs>
          <w:tab w:leader="none" w:pos="3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performance-vesting portion of the McAllister 2017 Options, the terms of which are summarized under “Narrative to Summary Compensation Table and 2017 Grants of Plan-Based Awards”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95250</wp:posOffset>
            </wp:positionV>
            <wp:extent cx="20574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rPr>
          <w:sz w:val="20"/>
          <w:szCs w:val="20"/>
          <w:color w:val="auto"/>
        </w:rPr>
      </w:pPr>
      <w:r>
        <w:rPr>
          <w:rFonts w:ascii="Arial" w:cs="Arial" w:eastAsia="Arial" w:hAnsi="Arial"/>
          <w:sz w:val="18"/>
          <w:szCs w:val="18"/>
          <w:b w:val="1"/>
          <w:bCs w:val="1"/>
          <w:color w:val="auto"/>
        </w:rPr>
        <w:t>Narrative to Summary Compensation Table and 2017 Grants of Plan-Based Awards</w:t>
      </w:r>
    </w:p>
    <w:p>
      <w:pPr>
        <w:spacing w:after="0" w:line="8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Each of our NEOs is party to a Management Stockholder’s Agreement with us.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along with an Option Agreement and, with respect to Mr. Vaught, an Option Rollover Agreement, generally govern each NEO’s rights with respect to shares of common stock of the Company held by such NEO, such NEO’s stock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Vesting Terms. </w:t>
      </w:r>
      <w:r>
        <w:rPr>
          <w:rFonts w:ascii="Arial" w:cs="Arial" w:eastAsia="Arial" w:hAnsi="Arial"/>
          <w:sz w:val="18"/>
          <w:szCs w:val="18"/>
          <w:color w:val="auto"/>
        </w:rPr>
        <w:t>The Pre-IPO Options consist of 40% time-based and 60% performance-based options.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2014 Options, the time-based 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Pre-IPO Options are eligible to vest upon (i) a change in control (as defined in our 2014 Stock Incentive Plan), (ii) extraordinary dividend payment(s), (iii) a sale of shares by affiliates of KKR Sponsor into the public market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101" w:lineRule="exact"/>
        <w:rPr>
          <w:sz w:val="20"/>
          <w:szCs w:val="20"/>
          <w:color w:val="auto"/>
        </w:rPr>
      </w:pPr>
    </w:p>
    <w:p>
      <w:pPr>
        <w:ind w:left="1060" w:right="20" w:hanging="351"/>
        <w:spacing w:after="0" w:line="246"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multiple of invested capital, or MOIC, achieved is less than two times, no portion of the performance-based options will vest;</w:t>
      </w:r>
    </w:p>
    <w:p>
      <w:pPr>
        <w:spacing w:after="0" w:line="88" w:lineRule="exact"/>
        <w:rPr>
          <w:rFonts w:ascii="Arial" w:cs="Arial" w:eastAsia="Arial" w:hAnsi="Arial"/>
          <w:sz w:val="18"/>
          <w:szCs w:val="18"/>
          <w:color w:val="auto"/>
        </w:rPr>
      </w:pPr>
    </w:p>
    <w:p>
      <w:pPr>
        <w:ind w:left="1060" w:hanging="35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MOIC achieved is equal to two times, then 25% of the performance-based options will vest; and</w:t>
      </w:r>
    </w:p>
    <w:p>
      <w:pPr>
        <w:spacing w:after="0" w:line="103" w:lineRule="exact"/>
        <w:rPr>
          <w:rFonts w:ascii="Arial" w:cs="Arial" w:eastAsia="Arial" w:hAnsi="Arial"/>
          <w:sz w:val="18"/>
          <w:szCs w:val="18"/>
          <w:color w:val="auto"/>
        </w:rPr>
      </w:pPr>
    </w:p>
    <w:p>
      <w:pPr>
        <w:ind w:left="1060" w:hanging="351"/>
        <w:spacing w:after="0" w:line="257"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8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With respect to the McAllister 2017 Options, the time-based options vest as to 20% of the shares subject to such option on each anniversary of the grant date, such that all of the shares subject to such time-based options will be vested and exercisable on the fifth anniversary of the grant date, subject to the holder continuing to provide services through the vesting date. The performance-based McAllister 2017 Options are eligible to vest as to 20% of the shares subject to such option on each of the first five concluded fiscal years following the grant date (each, an “Option Tranche”) if the Company achieves the applicable management EBITDA target for the respective fiscal year under the MIP (the “Target”) established by the Board of Directors as follows:</w:t>
      </w:r>
    </w:p>
    <w:p>
      <w:pPr>
        <w:spacing w:after="0" w:line="99" w:lineRule="exact"/>
        <w:rPr>
          <w:sz w:val="20"/>
          <w:szCs w:val="20"/>
          <w:color w:val="auto"/>
        </w:rPr>
      </w:pPr>
    </w:p>
    <w:p>
      <w:pPr>
        <w:ind w:left="1060" w:right="480" w:hanging="351"/>
        <w:spacing w:after="0" w:line="246"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2017 fiscal year, the Target shall be deemed to have been met and 100% of the 2017 Option Tranche will vest;</w:t>
      </w:r>
    </w:p>
    <w:p>
      <w:pPr>
        <w:spacing w:after="0" w:line="88" w:lineRule="exact"/>
        <w:rPr>
          <w:rFonts w:ascii="Arial" w:cs="Arial" w:eastAsia="Arial" w:hAnsi="Arial"/>
          <w:sz w:val="18"/>
          <w:szCs w:val="18"/>
          <w:color w:val="auto"/>
        </w:rPr>
      </w:pPr>
    </w:p>
    <w:p>
      <w:pPr>
        <w:ind w:left="1060" w:right="80" w:hanging="351"/>
        <w:spacing w:after="0" w:line="23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each of the subsequent four fiscal years, if the management EBITDA achieved in the applicable fiscal year: (i) is less than 95% of the Target, then no portion of the applicable Option Tranche will vest, (ii) is 95% of the Target, then 50% of the applicable Option Tranche will vest, (iii) exceeds 95% of the Target, then 50% plus an additional percentage of the applicable Option Tranche will vest, up to 50%, calculated linearly and (iv) is 100%, then 100% of the applicable Option Tranche will vest.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time-based and performance-based McAllister 2017 Options fully vest upon a change in control, subject to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McAllister remaining employed with the Company on the date of such change in control.</w:t>
      </w:r>
    </w:p>
    <w:p>
      <w:pPr>
        <w:spacing w:after="0" w:line="144"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205740" cy="1543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2017 Post-IPO Options are time based options that will vest in three substantially equal installments on each of the first, second and third anniversaries of the grant date, subject to continued employment through the applicable vesting date. Mr. Vaught’s rollover options were fully vested as of their date of grant.</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Put Rights. </w:t>
      </w:r>
      <w:r>
        <w:rPr>
          <w:rFonts w:ascii="Arial" w:cs="Arial" w:eastAsia="Arial" w:hAnsi="Arial"/>
          <w:sz w:val="18"/>
          <w:szCs w:val="18"/>
          <w:color w:val="auto"/>
        </w:rPr>
        <w:t>Prior to the later of (1) March 13, 2019 and (2) a change of control (as defined in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if an NEO’s employment is terminated as a result of death or disability, then such NEO has a right, subject to specified limitations and for a specified period following such termination, to cause the Company to repurchase all or any vested Pre-IPO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8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Call Rights Regarding the NEOs’ Vested Pre-IPO Options. </w:t>
      </w:r>
      <w:r>
        <w:rPr>
          <w:rFonts w:ascii="Arial" w:cs="Arial" w:eastAsia="Arial" w:hAnsi="Arial"/>
          <w:sz w:val="18"/>
          <w:szCs w:val="18"/>
          <w:color w:val="auto"/>
        </w:rPr>
        <w:t>Prior to the later of (1) March 13, 2019 and (2)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00" w:type="dxa"/>
            <w:vAlign w:val="bottom"/>
            <w:tcBorders>
              <w:left w:val="single" w:sz="8" w:color="1F3C7B"/>
              <w:right w:val="single" w:sz="8" w:color="000E5B"/>
            </w:tcBorders>
            <w:shd w:val="clear" w:color="auto" w:fill="1F3C7B"/>
          </w:tcPr>
          <w:p>
            <w:pPr>
              <w:ind w:left="1600"/>
              <w:spacing w:after="0"/>
              <w:rPr>
                <w:sz w:val="20"/>
                <w:szCs w:val="20"/>
                <w:color w:val="auto"/>
              </w:rPr>
            </w:pPr>
            <w:r>
              <w:rPr>
                <w:rFonts w:ascii="Arial" w:cs="Arial" w:eastAsia="Arial" w:hAnsi="Arial"/>
                <w:sz w:val="18"/>
                <w:szCs w:val="18"/>
                <w:b w:val="1"/>
                <w:bCs w:val="1"/>
                <w:color w:val="FFFFFF"/>
              </w:rPr>
              <w:t>Triggering Event</w:t>
            </w:r>
          </w:p>
        </w:tc>
        <w:tc>
          <w:tcPr>
            <w:tcW w:w="4860" w:type="dxa"/>
            <w:vAlign w:val="bottom"/>
            <w:tcBorders>
              <w:right w:val="single" w:sz="8" w:color="1F3C7B"/>
            </w:tcBorders>
            <w:shd w:val="clear" w:color="auto" w:fill="1F3C7B"/>
          </w:tcPr>
          <w:p>
            <w:pPr>
              <w:ind w:left="2040"/>
              <w:spacing w:after="0"/>
              <w:rPr>
                <w:sz w:val="20"/>
                <w:szCs w:val="20"/>
                <w:color w:val="auto"/>
              </w:rPr>
            </w:pPr>
            <w:r>
              <w:rPr>
                <w:rFonts w:ascii="Arial" w:cs="Arial" w:eastAsia="Arial" w:hAnsi="Arial"/>
                <w:sz w:val="18"/>
                <w:szCs w:val="18"/>
                <w:b w:val="1"/>
                <w:bCs w:val="1"/>
                <w:color w:val="FFFFFF"/>
              </w:rPr>
              <w:t>Call Price</w:t>
            </w:r>
          </w:p>
        </w:tc>
      </w:tr>
      <w:tr>
        <w:trPr>
          <w:trHeight w:val="230"/>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Death or Disability</w:t>
            </w:r>
          </w:p>
        </w:tc>
        <w:tc>
          <w:tcPr>
            <w:tcW w:w="4860" w:type="dxa"/>
            <w:vAlign w:val="bottom"/>
            <w:tcBorders>
              <w:right w:val="single" w:sz="8" w:color="1F3C7B"/>
            </w:tcBorders>
          </w:tcPr>
          <w:p>
            <w:pPr>
              <w:ind w:left="100"/>
              <w:spacing w:after="0"/>
              <w:rPr>
                <w:sz w:val="20"/>
                <w:szCs w:val="20"/>
                <w:color w:val="auto"/>
              </w:rPr>
            </w:pPr>
            <w:r>
              <w:rPr>
                <w:rFonts w:ascii="Arial" w:cs="Arial" w:eastAsia="Arial" w:hAnsi="Arial"/>
                <w:sz w:val="18"/>
                <w:szCs w:val="18"/>
                <w:color w:val="auto"/>
              </w:rPr>
              <w:t>Option Formula</w:t>
            </w:r>
          </w:p>
        </w:tc>
      </w:tr>
      <w:tr>
        <w:trPr>
          <w:trHeight w:val="230"/>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Termination for Cause</w:t>
            </w:r>
          </w:p>
        </w:tc>
        <w:tc>
          <w:tcPr>
            <w:tcW w:w="4860" w:type="dxa"/>
            <w:vAlign w:val="bottom"/>
            <w:tcBorders>
              <w:right w:val="single" w:sz="8" w:color="1F3C7B"/>
            </w:tcBorders>
            <w:shd w:val="clear" w:color="auto" w:fill="C6C8CA"/>
          </w:tcPr>
          <w:p>
            <w:pPr>
              <w:ind w:left="100"/>
              <w:spacing w:after="0"/>
              <w:rPr>
                <w:sz w:val="20"/>
                <w:szCs w:val="20"/>
                <w:color w:val="auto"/>
              </w:rPr>
            </w:pPr>
            <w:r>
              <w:rPr>
                <w:rFonts w:ascii="Arial" w:cs="Arial" w:eastAsia="Arial" w:hAnsi="Arial"/>
                <w:sz w:val="18"/>
                <w:szCs w:val="18"/>
                <w:color w:val="auto"/>
              </w:rPr>
              <w:t>Options are terminated without payment</w:t>
            </w:r>
          </w:p>
        </w:tc>
      </w:tr>
      <w:tr>
        <w:trPr>
          <w:trHeight w:val="230"/>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Termination Without Cause or for Good Reason</w:t>
            </w:r>
          </w:p>
        </w:tc>
        <w:tc>
          <w:tcPr>
            <w:tcW w:w="4860" w:type="dxa"/>
            <w:vAlign w:val="bottom"/>
            <w:tcBorders>
              <w:right w:val="single" w:sz="8" w:color="1F3C7B"/>
            </w:tcBorders>
          </w:tcPr>
          <w:p>
            <w:pPr>
              <w:ind w:left="100"/>
              <w:spacing w:after="0"/>
              <w:rPr>
                <w:sz w:val="20"/>
                <w:szCs w:val="20"/>
                <w:color w:val="auto"/>
              </w:rPr>
            </w:pPr>
            <w:r>
              <w:rPr>
                <w:rFonts w:ascii="Arial" w:cs="Arial" w:eastAsia="Arial" w:hAnsi="Arial"/>
                <w:sz w:val="18"/>
                <w:szCs w:val="18"/>
                <w:color w:val="auto"/>
              </w:rPr>
              <w:t>Option Formula</w:t>
            </w:r>
          </w:p>
        </w:tc>
      </w:tr>
      <w:tr>
        <w:trPr>
          <w:trHeight w:val="215"/>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Termination Without Good Reason Prior to March 13,</w:t>
            </w:r>
          </w:p>
        </w:tc>
        <w:tc>
          <w:tcPr>
            <w:tcW w:w="4860" w:type="dxa"/>
            <w:vAlign w:val="bottom"/>
            <w:tcBorders>
              <w:right w:val="single" w:sz="8" w:color="1F3C7B"/>
            </w:tcBorders>
            <w:shd w:val="clear" w:color="auto" w:fill="C6C8CA"/>
          </w:tcPr>
          <w:p>
            <w:pPr>
              <w:spacing w:after="0"/>
              <w:rPr>
                <w:sz w:val="18"/>
                <w:szCs w:val="18"/>
                <w:color w:val="auto"/>
              </w:rPr>
            </w:pPr>
          </w:p>
        </w:tc>
      </w:tr>
      <w:tr>
        <w:trPr>
          <w:trHeight w:val="217"/>
        </w:trPr>
        <w:tc>
          <w:tcPr>
            <w:tcW w:w="4700" w:type="dxa"/>
            <w:vAlign w:val="bottom"/>
            <w:tcBorders>
              <w:left w:val="single" w:sz="8" w:color="1F3C7B"/>
              <w:right w:val="single" w:sz="8" w:color="000E5B"/>
            </w:tcBorders>
            <w:shd w:val="clear" w:color="auto" w:fill="C6C8CA"/>
          </w:tcPr>
          <w:p>
            <w:pPr>
              <w:ind w:left="240"/>
              <w:spacing w:after="0"/>
              <w:rPr>
                <w:sz w:val="20"/>
                <w:szCs w:val="20"/>
                <w:color w:val="auto"/>
              </w:rPr>
            </w:pPr>
            <w:r>
              <w:rPr>
                <w:rFonts w:ascii="Arial" w:cs="Arial" w:eastAsia="Arial" w:hAnsi="Arial"/>
                <w:sz w:val="18"/>
                <w:szCs w:val="18"/>
                <w:color w:val="auto"/>
              </w:rPr>
              <w:t>2017 (other than due to death or Disability)</w:t>
            </w:r>
          </w:p>
        </w:tc>
        <w:tc>
          <w:tcPr>
            <w:tcW w:w="4860" w:type="dxa"/>
            <w:vAlign w:val="bottom"/>
            <w:tcBorders>
              <w:right w:val="single" w:sz="8" w:color="1F3C7B"/>
            </w:tcBorders>
            <w:shd w:val="clear" w:color="auto" w:fill="C6C8CA"/>
          </w:tcPr>
          <w:p>
            <w:pPr>
              <w:ind w:left="100"/>
              <w:spacing w:after="0"/>
              <w:rPr>
                <w:sz w:val="20"/>
                <w:szCs w:val="20"/>
                <w:color w:val="auto"/>
              </w:rPr>
            </w:pPr>
            <w:r>
              <w:rPr>
                <w:rFonts w:ascii="Arial" w:cs="Arial" w:eastAsia="Arial" w:hAnsi="Arial"/>
                <w:sz w:val="18"/>
                <w:szCs w:val="18"/>
                <w:color w:val="auto"/>
              </w:rPr>
              <w:t>Options are terminated without payment</w:t>
            </w:r>
          </w:p>
        </w:tc>
      </w:tr>
      <w:tr>
        <w:trPr>
          <w:trHeight w:val="215"/>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Termination Without Good Reason on or After March 13,</w:t>
            </w:r>
          </w:p>
        </w:tc>
        <w:tc>
          <w:tcPr>
            <w:tcW w:w="4860" w:type="dxa"/>
            <w:vAlign w:val="bottom"/>
            <w:tcBorders>
              <w:right w:val="single" w:sz="8" w:color="1F3C7B"/>
            </w:tcBorders>
          </w:tcPr>
          <w:p>
            <w:pPr>
              <w:spacing w:after="0"/>
              <w:rPr>
                <w:sz w:val="18"/>
                <w:szCs w:val="18"/>
                <w:color w:val="auto"/>
              </w:rPr>
            </w:pPr>
          </w:p>
        </w:tc>
      </w:tr>
      <w:tr>
        <w:trPr>
          <w:trHeight w:val="217"/>
        </w:trPr>
        <w:tc>
          <w:tcPr>
            <w:tcW w:w="4700" w:type="dxa"/>
            <w:vAlign w:val="bottom"/>
            <w:tcBorders>
              <w:left w:val="single" w:sz="8" w:color="1F3C7B"/>
              <w:right w:val="single" w:sz="8" w:color="000E5B"/>
            </w:tcBorders>
          </w:tcPr>
          <w:p>
            <w:pPr>
              <w:ind w:left="240"/>
              <w:spacing w:after="0"/>
              <w:rPr>
                <w:sz w:val="20"/>
                <w:szCs w:val="20"/>
                <w:color w:val="auto"/>
              </w:rPr>
            </w:pPr>
            <w:r>
              <w:rPr>
                <w:rFonts w:ascii="Arial" w:cs="Arial" w:eastAsia="Arial" w:hAnsi="Arial"/>
                <w:sz w:val="18"/>
                <w:szCs w:val="18"/>
                <w:color w:val="auto"/>
              </w:rPr>
              <w:t>2017 (other than due to death or Disability)</w:t>
            </w:r>
          </w:p>
        </w:tc>
        <w:tc>
          <w:tcPr>
            <w:tcW w:w="4860" w:type="dxa"/>
            <w:vAlign w:val="bottom"/>
            <w:tcBorders>
              <w:right w:val="single" w:sz="8" w:color="1F3C7B"/>
            </w:tcBorders>
          </w:tcPr>
          <w:p>
            <w:pPr>
              <w:ind w:left="100"/>
              <w:spacing w:after="0"/>
              <w:rPr>
                <w:sz w:val="20"/>
                <w:szCs w:val="20"/>
                <w:color w:val="auto"/>
              </w:rPr>
            </w:pPr>
            <w:r>
              <w:rPr>
                <w:rFonts w:ascii="Arial" w:cs="Arial" w:eastAsia="Arial" w:hAnsi="Arial"/>
                <w:sz w:val="18"/>
                <w:szCs w:val="18"/>
                <w:color w:val="auto"/>
              </w:rPr>
              <w:t>Option Formula</w:t>
            </w:r>
          </w:p>
        </w:tc>
      </w:tr>
      <w:tr>
        <w:trPr>
          <w:trHeight w:val="215"/>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Material Breach of Management Stockholder’s</w:t>
            </w:r>
          </w:p>
        </w:tc>
        <w:tc>
          <w:tcPr>
            <w:tcW w:w="4860" w:type="dxa"/>
            <w:vAlign w:val="bottom"/>
            <w:tcBorders>
              <w:right w:val="single" w:sz="8" w:color="1F3C7B"/>
            </w:tcBorders>
            <w:shd w:val="clear" w:color="auto" w:fill="C6C8CA"/>
          </w:tcPr>
          <w:p>
            <w:pPr>
              <w:spacing w:after="0"/>
              <w:rPr>
                <w:sz w:val="18"/>
                <w:szCs w:val="18"/>
                <w:color w:val="auto"/>
              </w:rPr>
            </w:pPr>
          </w:p>
        </w:tc>
      </w:tr>
      <w:tr>
        <w:trPr>
          <w:trHeight w:val="217"/>
        </w:trPr>
        <w:tc>
          <w:tcPr>
            <w:tcW w:w="4700" w:type="dxa"/>
            <w:vAlign w:val="bottom"/>
            <w:tcBorders>
              <w:left w:val="single" w:sz="8" w:color="1F3C7B"/>
              <w:bottom w:val="single" w:sz="8" w:color="1F3C7B"/>
              <w:right w:val="single" w:sz="8" w:color="000E5B"/>
            </w:tcBorders>
            <w:shd w:val="clear" w:color="auto" w:fill="C6C8CA"/>
          </w:tcPr>
          <w:p>
            <w:pPr>
              <w:ind w:left="240"/>
              <w:spacing w:after="0"/>
              <w:rPr>
                <w:sz w:val="20"/>
                <w:szCs w:val="20"/>
                <w:color w:val="auto"/>
              </w:rPr>
            </w:pPr>
            <w:r>
              <w:rPr>
                <w:rFonts w:ascii="Arial" w:cs="Arial" w:eastAsia="Arial" w:hAnsi="Arial"/>
                <w:sz w:val="18"/>
                <w:szCs w:val="18"/>
                <w:color w:val="auto"/>
              </w:rPr>
              <w:t>Agreement</w:t>
            </w:r>
          </w:p>
        </w:tc>
        <w:tc>
          <w:tcPr>
            <w:tcW w:w="4860" w:type="dxa"/>
            <w:vAlign w:val="bottom"/>
            <w:tcBorders>
              <w:bottom w:val="single" w:sz="8" w:color="1F3C7B"/>
              <w:right w:val="single" w:sz="8" w:color="1F3C7B"/>
            </w:tcBorders>
            <w:shd w:val="clear" w:color="auto" w:fill="C6C8CA"/>
          </w:tcPr>
          <w:p>
            <w:pPr>
              <w:ind w:left="100"/>
              <w:spacing w:after="0"/>
              <w:rPr>
                <w:sz w:val="20"/>
                <w:szCs w:val="20"/>
                <w:color w:val="auto"/>
              </w:rPr>
            </w:pPr>
            <w:r>
              <w:rPr>
                <w:rFonts w:ascii="Arial" w:cs="Arial" w:eastAsia="Arial" w:hAnsi="Arial"/>
                <w:sz w:val="18"/>
                <w:szCs w:val="18"/>
                <w:color w:val="auto"/>
              </w:rPr>
              <w:t>Options are terminated without payment</w:t>
            </w:r>
          </w:p>
        </w:tc>
      </w:tr>
    </w:tbl>
    <w:p>
      <w:pPr>
        <w:spacing w:after="0" w:line="197"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i w:val="1"/>
          <w:iCs w:val="1"/>
          <w:color w:val="auto"/>
        </w:rPr>
        <w:t xml:space="preserve">Call Rights Regarding Mr. Vaught’s Rollover Options. </w:t>
      </w:r>
      <w:r>
        <w:rPr>
          <w:rFonts w:ascii="Arial" w:cs="Arial" w:eastAsia="Arial" w:hAnsi="Arial"/>
          <w:sz w:val="18"/>
          <w:szCs w:val="18"/>
          <w:color w:val="auto"/>
        </w:rPr>
        <w:t>Prior to the later of (1) March 13, 2019 and (2)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00" w:type="dxa"/>
            <w:vAlign w:val="bottom"/>
            <w:tcBorders>
              <w:left w:val="single" w:sz="8" w:color="1F3C7B"/>
              <w:right w:val="single" w:sz="8" w:color="000E5B"/>
            </w:tcBorders>
            <w:shd w:val="clear" w:color="auto" w:fill="1F3C7B"/>
          </w:tcPr>
          <w:p>
            <w:pPr>
              <w:ind w:left="1600"/>
              <w:spacing w:after="0"/>
              <w:rPr>
                <w:sz w:val="20"/>
                <w:szCs w:val="20"/>
                <w:color w:val="auto"/>
              </w:rPr>
            </w:pPr>
            <w:r>
              <w:rPr>
                <w:rFonts w:ascii="Arial" w:cs="Arial" w:eastAsia="Arial" w:hAnsi="Arial"/>
                <w:sz w:val="18"/>
                <w:szCs w:val="18"/>
                <w:b w:val="1"/>
                <w:bCs w:val="1"/>
                <w:color w:val="FFFFFF"/>
              </w:rPr>
              <w:t>Triggering Event</w:t>
            </w:r>
          </w:p>
        </w:tc>
        <w:tc>
          <w:tcPr>
            <w:tcW w:w="4180" w:type="dxa"/>
            <w:vAlign w:val="bottom"/>
            <w:shd w:val="clear" w:color="auto" w:fill="1F3C7B"/>
          </w:tcPr>
          <w:p>
            <w:pPr>
              <w:ind w:left="2040"/>
              <w:spacing w:after="0"/>
              <w:rPr>
                <w:sz w:val="20"/>
                <w:szCs w:val="20"/>
                <w:color w:val="auto"/>
              </w:rPr>
            </w:pPr>
            <w:r>
              <w:rPr>
                <w:rFonts w:ascii="Arial" w:cs="Arial" w:eastAsia="Arial" w:hAnsi="Arial"/>
                <w:sz w:val="18"/>
                <w:szCs w:val="18"/>
                <w:b w:val="1"/>
                <w:bCs w:val="1"/>
                <w:color w:val="FFFFFF"/>
              </w:rPr>
              <w:t>Call Price</w:t>
            </w:r>
          </w:p>
        </w:tc>
        <w:tc>
          <w:tcPr>
            <w:tcW w:w="680" w:type="dxa"/>
            <w:vAlign w:val="bottom"/>
            <w:tcBorders>
              <w:right w:val="single" w:sz="8" w:color="1F3C7B"/>
            </w:tcBorders>
            <w:shd w:val="clear" w:color="auto" w:fill="1F3C7B"/>
          </w:tcPr>
          <w:p>
            <w:pPr>
              <w:spacing w:after="0"/>
              <w:rPr>
                <w:sz w:val="21"/>
                <w:szCs w:val="21"/>
                <w:color w:val="auto"/>
              </w:rPr>
            </w:pPr>
          </w:p>
        </w:tc>
      </w:tr>
      <w:tr>
        <w:trPr>
          <w:trHeight w:val="230"/>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Death or Disability</w:t>
            </w:r>
          </w:p>
        </w:tc>
        <w:tc>
          <w:tcPr>
            <w:tcW w:w="4180" w:type="dxa"/>
            <w:vAlign w:val="bottom"/>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right w:val="single" w:sz="8" w:color="1F3C7B"/>
            </w:tcBorders>
          </w:tcPr>
          <w:p>
            <w:pPr>
              <w:spacing w:after="0"/>
              <w:rPr>
                <w:sz w:val="19"/>
                <w:szCs w:val="19"/>
                <w:color w:val="auto"/>
              </w:rPr>
            </w:pPr>
          </w:p>
        </w:tc>
      </w:tr>
      <w:tr>
        <w:trPr>
          <w:trHeight w:val="230"/>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Termination for Cause</w:t>
            </w:r>
          </w:p>
        </w:tc>
        <w:tc>
          <w:tcPr>
            <w:tcW w:w="4180" w:type="dxa"/>
            <w:vAlign w:val="bottom"/>
            <w:shd w:val="clear" w:color="auto" w:fill="C6C8CA"/>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right w:val="single" w:sz="8" w:color="1F3C7B"/>
            </w:tcBorders>
            <w:shd w:val="clear" w:color="auto" w:fill="C6C8CA"/>
          </w:tcPr>
          <w:p>
            <w:pPr>
              <w:spacing w:after="0"/>
              <w:rPr>
                <w:sz w:val="19"/>
                <w:szCs w:val="19"/>
                <w:color w:val="auto"/>
              </w:rPr>
            </w:pPr>
          </w:p>
        </w:tc>
      </w:tr>
      <w:tr>
        <w:trPr>
          <w:trHeight w:val="230"/>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Termination Without Cause or for Good Reason</w:t>
            </w:r>
          </w:p>
        </w:tc>
        <w:tc>
          <w:tcPr>
            <w:tcW w:w="4180" w:type="dxa"/>
            <w:vAlign w:val="bottom"/>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right w:val="single" w:sz="8" w:color="1F3C7B"/>
            </w:tcBorders>
          </w:tcPr>
          <w:p>
            <w:pPr>
              <w:spacing w:after="0"/>
              <w:rPr>
                <w:sz w:val="19"/>
                <w:szCs w:val="19"/>
                <w:color w:val="auto"/>
              </w:rPr>
            </w:pPr>
          </w:p>
        </w:tc>
      </w:tr>
      <w:tr>
        <w:trPr>
          <w:trHeight w:val="215"/>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Termination Without Good Reason Prior to March 13,</w:t>
            </w:r>
          </w:p>
        </w:tc>
        <w:tc>
          <w:tcPr>
            <w:tcW w:w="4180" w:type="dxa"/>
            <w:vAlign w:val="bottom"/>
            <w:shd w:val="clear" w:color="auto" w:fill="C6C8CA"/>
          </w:tcPr>
          <w:p>
            <w:pPr>
              <w:spacing w:after="0"/>
              <w:rPr>
                <w:sz w:val="18"/>
                <w:szCs w:val="18"/>
                <w:color w:val="auto"/>
              </w:rPr>
            </w:pPr>
          </w:p>
        </w:tc>
        <w:tc>
          <w:tcPr>
            <w:tcW w:w="680" w:type="dxa"/>
            <w:vAlign w:val="bottom"/>
            <w:tcBorders>
              <w:right w:val="single" w:sz="8" w:color="1F3C7B"/>
            </w:tcBorders>
            <w:shd w:val="clear" w:color="auto" w:fill="C6C8CA"/>
          </w:tcPr>
          <w:p>
            <w:pPr>
              <w:spacing w:after="0"/>
              <w:rPr>
                <w:sz w:val="18"/>
                <w:szCs w:val="18"/>
                <w:color w:val="auto"/>
              </w:rPr>
            </w:pPr>
          </w:p>
        </w:tc>
      </w:tr>
      <w:tr>
        <w:trPr>
          <w:trHeight w:val="217"/>
        </w:trPr>
        <w:tc>
          <w:tcPr>
            <w:tcW w:w="4700" w:type="dxa"/>
            <w:vAlign w:val="bottom"/>
            <w:tcBorders>
              <w:left w:val="single" w:sz="8" w:color="1F3C7B"/>
              <w:right w:val="single" w:sz="8" w:color="000E5B"/>
            </w:tcBorders>
            <w:shd w:val="clear" w:color="auto" w:fill="C6C8CA"/>
          </w:tcPr>
          <w:p>
            <w:pPr>
              <w:ind w:left="240"/>
              <w:spacing w:after="0"/>
              <w:rPr>
                <w:sz w:val="20"/>
                <w:szCs w:val="20"/>
                <w:color w:val="auto"/>
              </w:rPr>
            </w:pPr>
            <w:r>
              <w:rPr>
                <w:rFonts w:ascii="Arial" w:cs="Arial" w:eastAsia="Arial" w:hAnsi="Arial"/>
                <w:sz w:val="18"/>
                <w:szCs w:val="18"/>
                <w:color w:val="auto"/>
              </w:rPr>
              <w:t>2017 (other than due to death or Disability)</w:t>
            </w:r>
          </w:p>
        </w:tc>
        <w:tc>
          <w:tcPr>
            <w:tcW w:w="4180" w:type="dxa"/>
            <w:vAlign w:val="bottom"/>
            <w:shd w:val="clear" w:color="auto" w:fill="C6C8CA"/>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right w:val="single" w:sz="8" w:color="1F3C7B"/>
            </w:tcBorders>
            <w:shd w:val="clear" w:color="auto" w:fill="C6C8CA"/>
          </w:tcPr>
          <w:p>
            <w:pPr>
              <w:spacing w:after="0"/>
              <w:rPr>
                <w:sz w:val="18"/>
                <w:szCs w:val="18"/>
                <w:color w:val="auto"/>
              </w:rPr>
            </w:pPr>
          </w:p>
        </w:tc>
      </w:tr>
      <w:tr>
        <w:trPr>
          <w:trHeight w:val="215"/>
        </w:trPr>
        <w:tc>
          <w:tcPr>
            <w:tcW w:w="4700" w:type="dxa"/>
            <w:vAlign w:val="bottom"/>
            <w:tcBorders>
              <w:left w:val="single" w:sz="8" w:color="1F3C7B"/>
              <w:right w:val="single" w:sz="8" w:color="000E5B"/>
            </w:tcBorders>
          </w:tcPr>
          <w:p>
            <w:pPr>
              <w:ind w:left="60"/>
              <w:spacing w:after="0"/>
              <w:rPr>
                <w:sz w:val="20"/>
                <w:szCs w:val="20"/>
                <w:color w:val="auto"/>
              </w:rPr>
            </w:pPr>
            <w:r>
              <w:rPr>
                <w:rFonts w:ascii="Arial" w:cs="Arial" w:eastAsia="Arial" w:hAnsi="Arial"/>
                <w:sz w:val="18"/>
                <w:szCs w:val="18"/>
                <w:color w:val="auto"/>
              </w:rPr>
              <w:t>Termination Without Good Reason on or After March 13,</w:t>
            </w:r>
          </w:p>
        </w:tc>
        <w:tc>
          <w:tcPr>
            <w:tcW w:w="4180" w:type="dxa"/>
            <w:vAlign w:val="bottom"/>
          </w:tcPr>
          <w:p>
            <w:pPr>
              <w:spacing w:after="0"/>
              <w:rPr>
                <w:sz w:val="18"/>
                <w:szCs w:val="18"/>
                <w:color w:val="auto"/>
              </w:rPr>
            </w:pPr>
          </w:p>
        </w:tc>
        <w:tc>
          <w:tcPr>
            <w:tcW w:w="680" w:type="dxa"/>
            <w:vAlign w:val="bottom"/>
            <w:tcBorders>
              <w:right w:val="single" w:sz="8" w:color="1F3C7B"/>
            </w:tcBorders>
          </w:tcPr>
          <w:p>
            <w:pPr>
              <w:spacing w:after="0"/>
              <w:rPr>
                <w:sz w:val="18"/>
                <w:szCs w:val="18"/>
                <w:color w:val="auto"/>
              </w:rPr>
            </w:pPr>
          </w:p>
        </w:tc>
      </w:tr>
      <w:tr>
        <w:trPr>
          <w:trHeight w:val="217"/>
        </w:trPr>
        <w:tc>
          <w:tcPr>
            <w:tcW w:w="4700" w:type="dxa"/>
            <w:vAlign w:val="bottom"/>
            <w:tcBorders>
              <w:left w:val="single" w:sz="8" w:color="1F3C7B"/>
              <w:right w:val="single" w:sz="8" w:color="000E5B"/>
            </w:tcBorders>
          </w:tcPr>
          <w:p>
            <w:pPr>
              <w:ind w:left="240"/>
              <w:spacing w:after="0"/>
              <w:rPr>
                <w:sz w:val="20"/>
                <w:szCs w:val="20"/>
                <w:color w:val="auto"/>
              </w:rPr>
            </w:pPr>
            <w:r>
              <w:rPr>
                <w:rFonts w:ascii="Arial" w:cs="Arial" w:eastAsia="Arial" w:hAnsi="Arial"/>
                <w:sz w:val="18"/>
                <w:szCs w:val="18"/>
                <w:color w:val="auto"/>
              </w:rPr>
              <w:t>2017 (other than due to death or Disability)</w:t>
            </w:r>
          </w:p>
        </w:tc>
        <w:tc>
          <w:tcPr>
            <w:tcW w:w="4180" w:type="dxa"/>
            <w:vAlign w:val="bottom"/>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right w:val="single" w:sz="8" w:color="1F3C7B"/>
            </w:tcBorders>
          </w:tcPr>
          <w:p>
            <w:pPr>
              <w:spacing w:after="0"/>
              <w:rPr>
                <w:sz w:val="18"/>
                <w:szCs w:val="18"/>
                <w:color w:val="auto"/>
              </w:rPr>
            </w:pPr>
          </w:p>
        </w:tc>
      </w:tr>
      <w:tr>
        <w:trPr>
          <w:trHeight w:val="215"/>
        </w:trPr>
        <w:tc>
          <w:tcPr>
            <w:tcW w:w="4700" w:type="dxa"/>
            <w:vAlign w:val="bottom"/>
            <w:tcBorders>
              <w:left w:val="single" w:sz="8" w:color="1F3C7B"/>
              <w:right w:val="single" w:sz="8" w:color="000E5B"/>
            </w:tcBorders>
            <w:shd w:val="clear" w:color="auto" w:fill="C6C8CA"/>
          </w:tcPr>
          <w:p>
            <w:pPr>
              <w:ind w:left="60"/>
              <w:spacing w:after="0"/>
              <w:rPr>
                <w:sz w:val="20"/>
                <w:szCs w:val="20"/>
                <w:color w:val="auto"/>
              </w:rPr>
            </w:pPr>
            <w:r>
              <w:rPr>
                <w:rFonts w:ascii="Arial" w:cs="Arial" w:eastAsia="Arial" w:hAnsi="Arial"/>
                <w:sz w:val="18"/>
                <w:szCs w:val="18"/>
                <w:color w:val="auto"/>
              </w:rPr>
              <w:t>Material Breach of Management Stockholder’s</w:t>
            </w:r>
          </w:p>
        </w:tc>
        <w:tc>
          <w:tcPr>
            <w:tcW w:w="4180" w:type="dxa"/>
            <w:vAlign w:val="bottom"/>
            <w:shd w:val="clear" w:color="auto" w:fill="C6C8CA"/>
          </w:tcPr>
          <w:p>
            <w:pPr>
              <w:spacing w:after="0"/>
              <w:rPr>
                <w:sz w:val="18"/>
                <w:szCs w:val="18"/>
                <w:color w:val="auto"/>
              </w:rPr>
            </w:pPr>
          </w:p>
        </w:tc>
        <w:tc>
          <w:tcPr>
            <w:tcW w:w="680" w:type="dxa"/>
            <w:vAlign w:val="bottom"/>
            <w:tcBorders>
              <w:right w:val="single" w:sz="8" w:color="1F3C7B"/>
            </w:tcBorders>
            <w:shd w:val="clear" w:color="auto" w:fill="C6C8CA"/>
          </w:tcPr>
          <w:p>
            <w:pPr>
              <w:spacing w:after="0"/>
              <w:rPr>
                <w:sz w:val="18"/>
                <w:szCs w:val="18"/>
                <w:color w:val="auto"/>
              </w:rPr>
            </w:pPr>
          </w:p>
        </w:tc>
      </w:tr>
      <w:tr>
        <w:trPr>
          <w:trHeight w:val="217"/>
        </w:trPr>
        <w:tc>
          <w:tcPr>
            <w:tcW w:w="4700" w:type="dxa"/>
            <w:vAlign w:val="bottom"/>
            <w:tcBorders>
              <w:left w:val="single" w:sz="8" w:color="1F3C7B"/>
              <w:bottom w:val="single" w:sz="8" w:color="1F3C7B"/>
              <w:right w:val="single" w:sz="8" w:color="000E5B"/>
            </w:tcBorders>
            <w:shd w:val="clear" w:color="auto" w:fill="C6C8CA"/>
          </w:tcPr>
          <w:p>
            <w:pPr>
              <w:ind w:left="240"/>
              <w:spacing w:after="0"/>
              <w:rPr>
                <w:sz w:val="20"/>
                <w:szCs w:val="20"/>
                <w:color w:val="auto"/>
              </w:rPr>
            </w:pPr>
            <w:r>
              <w:rPr>
                <w:rFonts w:ascii="Arial" w:cs="Arial" w:eastAsia="Arial" w:hAnsi="Arial"/>
                <w:sz w:val="18"/>
                <w:szCs w:val="18"/>
                <w:color w:val="auto"/>
              </w:rPr>
              <w:t>Agreement</w:t>
            </w:r>
          </w:p>
        </w:tc>
        <w:tc>
          <w:tcPr>
            <w:tcW w:w="4180" w:type="dxa"/>
            <w:vAlign w:val="bottom"/>
            <w:tcBorders>
              <w:bottom w:val="single" w:sz="8" w:color="1F3C7B"/>
            </w:tcBorders>
            <w:shd w:val="clear" w:color="auto" w:fill="C6C8CA"/>
          </w:tcPr>
          <w:p>
            <w:pPr>
              <w:ind w:left="100"/>
              <w:spacing w:after="0"/>
              <w:rPr>
                <w:sz w:val="20"/>
                <w:szCs w:val="20"/>
                <w:color w:val="auto"/>
              </w:rPr>
            </w:pPr>
            <w:r>
              <w:rPr>
                <w:rFonts w:ascii="Arial" w:cs="Arial" w:eastAsia="Arial" w:hAnsi="Arial"/>
                <w:sz w:val="18"/>
                <w:szCs w:val="18"/>
                <w:color w:val="auto"/>
              </w:rPr>
              <w:t>Option Formula</w:t>
            </w:r>
          </w:p>
        </w:tc>
        <w:tc>
          <w:tcPr>
            <w:tcW w:w="680" w:type="dxa"/>
            <w:vAlign w:val="bottom"/>
            <w:tcBorders>
              <w:bottom w:val="single" w:sz="8" w:color="1F3C7B"/>
              <w:right w:val="single" w:sz="8" w:color="1F3C7B"/>
            </w:tcBorders>
            <w:shd w:val="clear" w:color="auto" w:fill="C6C8CA"/>
          </w:tcPr>
          <w:p>
            <w:pPr>
              <w:spacing w:after="0"/>
              <w:rPr>
                <w:sz w:val="18"/>
                <w:szCs w:val="18"/>
                <w:color w:val="auto"/>
              </w:rPr>
            </w:pPr>
          </w:p>
        </w:tc>
      </w:tr>
      <w:tr>
        <w:trPr>
          <w:trHeight w:val="400"/>
        </w:trPr>
        <w:tc>
          <w:tcPr>
            <w:tcW w:w="4700" w:type="dxa"/>
            <w:vAlign w:val="bottom"/>
          </w:tcPr>
          <w:p>
            <w:pPr>
              <w:spacing w:after="0"/>
              <w:rPr>
                <w:sz w:val="24"/>
                <w:szCs w:val="24"/>
                <w:color w:val="auto"/>
              </w:rPr>
            </w:pPr>
          </w:p>
        </w:tc>
        <w:tc>
          <w:tcPr>
            <w:tcW w:w="4180" w:type="dxa"/>
            <w:vAlign w:val="bottom"/>
          </w:tcPr>
          <w:p>
            <w:pPr>
              <w:ind w:left="22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471"/>
        </w:trPr>
        <w:tc>
          <w:tcPr>
            <w:tcW w:w="4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4700" w:type="dxa"/>
            <w:vAlign w:val="bottom"/>
            <w:tcBorders>
              <w:left w:val="single" w:sz="8" w:color="auto"/>
              <w:right w:val="single" w:sz="8" w:color="auto"/>
            </w:tcBorders>
            <w:shd w:val="clear" w:color="auto" w:fill="000000"/>
          </w:tcPr>
          <w:p>
            <w:pPr>
              <w:spacing w:after="0"/>
              <w:rPr>
                <w:sz w:val="5"/>
                <w:szCs w:val="5"/>
                <w:color w:val="auto"/>
              </w:rPr>
            </w:pPr>
          </w:p>
        </w:tc>
        <w:tc>
          <w:tcPr>
            <w:tcW w:w="418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-496570</wp:posOffset>
            </wp:positionV>
            <wp:extent cx="20574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spacing w:after="0" w:line="177" w:lineRule="exact"/>
        <w:rPr>
          <w:sz w:val="20"/>
          <w:szCs w:val="20"/>
          <w:color w:val="auto"/>
        </w:rPr>
      </w:pPr>
    </w:p>
    <w:p>
      <w:pPr>
        <w:ind w:left="7" w:right="460"/>
        <w:spacing w:after="0" w:line="261"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In addition, our NEOs have agreed to specified restrictive covenants, including an indefinite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confidentiality covenant, and covenants related to non-disparagement, non-competition and non-solicitation of our employees, consultants and independent contractors at all times during the NEO’s employment, and for eighteen months thereafter.</w:t>
      </w:r>
    </w:p>
    <w:p>
      <w:pPr>
        <w:spacing w:after="0" w:line="90" w:lineRule="exact"/>
        <w:rPr>
          <w:sz w:val="20"/>
          <w:szCs w:val="20"/>
          <w:color w:val="auto"/>
        </w:rPr>
      </w:pPr>
    </w:p>
    <w:p>
      <w:pPr>
        <w:ind w:left="7" w:right="60"/>
        <w:spacing w:after="0" w:line="254" w:lineRule="auto"/>
        <w:rPr>
          <w:sz w:val="20"/>
          <w:szCs w:val="20"/>
          <w:color w:val="auto"/>
        </w:rPr>
      </w:pPr>
      <w:r>
        <w:rPr>
          <w:rFonts w:ascii="Arial" w:cs="Arial" w:eastAsia="Arial" w:hAnsi="Arial"/>
          <w:sz w:val="18"/>
          <w:szCs w:val="18"/>
          <w:color w:val="auto"/>
        </w:rPr>
        <w:t>Additional terms regarding the equity awards are summarized above under “Compensation Discussion and Analysis— Compensation Elements—Long-Term Incentive Awards” and under “Potential Payments upon Termination or Change in Control” below. See also “Transactions with Related Persons” for additional information regarding the Management Stockholder’s Agreements.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126" w:lineRule="exact"/>
        <w:rPr>
          <w:sz w:val="20"/>
          <w:szCs w:val="20"/>
          <w:color w:val="auto"/>
        </w:rPr>
      </w:pPr>
    </w:p>
    <w:p>
      <w:pPr>
        <w:ind w:left="7" w:right="220"/>
        <w:spacing w:after="0" w:line="262" w:lineRule="auto"/>
        <w:rPr>
          <w:sz w:val="20"/>
          <w:szCs w:val="20"/>
          <w:color w:val="auto"/>
        </w:rPr>
      </w:pPr>
      <w:r>
        <w:rPr>
          <w:rFonts w:ascii="Arial" w:cs="Arial" w:eastAsia="Arial" w:hAnsi="Arial"/>
          <w:sz w:val="18"/>
          <w:szCs w:val="18"/>
          <w:color w:val="auto"/>
        </w:rPr>
        <w:t>The following table sets forth information regarding outstanding equity awards made to our NEOs as of December 30, 2017.</w:t>
      </w:r>
    </w:p>
    <w:p>
      <w:pPr>
        <w:spacing w:after="0" w:line="35"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spacing w:after="0"/>
              <w:rPr>
                <w:sz w:val="17"/>
                <w:szCs w:val="17"/>
                <w:color w:val="auto"/>
              </w:rPr>
            </w:pPr>
          </w:p>
        </w:tc>
        <w:tc>
          <w:tcPr>
            <w:tcW w:w="1620" w:type="dxa"/>
            <w:vAlign w:val="bottom"/>
            <w:tcBorders>
              <w:right w:val="single" w:sz="8" w:color="000E5B"/>
            </w:tcBorders>
            <w:shd w:val="clear" w:color="auto" w:fill="1F3C7B"/>
          </w:tcPr>
          <w:p>
            <w:pPr>
              <w:spacing w:after="0"/>
              <w:rPr>
                <w:sz w:val="17"/>
                <w:szCs w:val="17"/>
                <w:color w:val="auto"/>
              </w:rPr>
            </w:pPr>
          </w:p>
        </w:tc>
        <w:tc>
          <w:tcPr>
            <w:tcW w:w="13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8"/>
              </w:rPr>
              <w:t>Equity</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spacing w:after="0"/>
              <w:rPr>
                <w:sz w:val="17"/>
                <w:szCs w:val="17"/>
                <w:color w:val="auto"/>
              </w:rPr>
            </w:pPr>
          </w:p>
        </w:tc>
        <w:tc>
          <w:tcPr>
            <w:tcW w:w="1620" w:type="dxa"/>
            <w:vAlign w:val="bottom"/>
            <w:tcBorders>
              <w:right w:val="single" w:sz="8" w:color="000E5B"/>
            </w:tcBorders>
            <w:shd w:val="clear" w:color="auto" w:fill="1F3C7B"/>
          </w:tcPr>
          <w:p>
            <w:pPr>
              <w:spacing w:after="0"/>
              <w:rPr>
                <w:sz w:val="17"/>
                <w:szCs w:val="17"/>
                <w:color w:val="auto"/>
              </w:rPr>
            </w:pP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Incentive</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spacing w:after="0"/>
              <w:rPr>
                <w:sz w:val="17"/>
                <w:szCs w:val="17"/>
                <w:color w:val="auto"/>
              </w:rPr>
            </w:pPr>
          </w:p>
        </w:tc>
        <w:tc>
          <w:tcPr>
            <w:tcW w:w="1620" w:type="dxa"/>
            <w:vAlign w:val="bottom"/>
            <w:tcBorders>
              <w:right w:val="single" w:sz="8" w:color="000E5B"/>
            </w:tcBorders>
            <w:shd w:val="clear" w:color="auto" w:fill="1F3C7B"/>
          </w:tcPr>
          <w:p>
            <w:pPr>
              <w:spacing w:after="0"/>
              <w:rPr>
                <w:sz w:val="17"/>
                <w:szCs w:val="17"/>
                <w:color w:val="auto"/>
              </w:rPr>
            </w:pP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Plan Awards:</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spacing w:after="0"/>
              <w:rPr>
                <w:sz w:val="17"/>
                <w:szCs w:val="17"/>
                <w:color w:val="auto"/>
              </w:rPr>
            </w:pPr>
          </w:p>
        </w:tc>
        <w:tc>
          <w:tcPr>
            <w:tcW w:w="1620" w:type="dxa"/>
            <w:vAlign w:val="bottom"/>
            <w:tcBorders>
              <w:right w:val="single" w:sz="8" w:color="000E5B"/>
            </w:tcBorders>
            <w:shd w:val="clear" w:color="auto" w:fill="1F3C7B"/>
          </w:tcPr>
          <w:p>
            <w:pPr>
              <w:spacing w:after="0"/>
              <w:rPr>
                <w:sz w:val="17"/>
                <w:szCs w:val="17"/>
                <w:color w:val="auto"/>
              </w:rPr>
            </w:pP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Number of</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Number of</w:t>
            </w:r>
          </w:p>
        </w:tc>
        <w:tc>
          <w:tcPr>
            <w:tcW w:w="16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Number of</w:t>
            </w: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Securities</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Securities</w:t>
            </w:r>
          </w:p>
        </w:tc>
        <w:tc>
          <w:tcPr>
            <w:tcW w:w="16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Securities</w:t>
            </w: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Underlying</w:t>
            </w:r>
          </w:p>
        </w:tc>
        <w:tc>
          <w:tcPr>
            <w:tcW w:w="960" w:type="dxa"/>
            <w:vAlign w:val="bottom"/>
            <w:tcBorders>
              <w:right w:val="single" w:sz="8" w:color="000E5B"/>
            </w:tcBorders>
            <w:shd w:val="clear" w:color="auto" w:fill="1F3C7B"/>
          </w:tcPr>
          <w:p>
            <w:pPr>
              <w:spacing w:after="0"/>
              <w:rPr>
                <w:sz w:val="17"/>
                <w:szCs w:val="17"/>
                <w:color w:val="auto"/>
              </w:rPr>
            </w:pP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Underlying</w:t>
            </w:r>
          </w:p>
        </w:tc>
        <w:tc>
          <w:tcPr>
            <w:tcW w:w="16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Underlying</w:t>
            </w: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Unexercised</w:t>
            </w:r>
          </w:p>
        </w:tc>
        <w:tc>
          <w:tcPr>
            <w:tcW w:w="96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Option</w:t>
            </w:r>
          </w:p>
        </w:tc>
        <w:tc>
          <w:tcPr>
            <w:tcW w:w="1180" w:type="dxa"/>
            <w:vAlign w:val="bottom"/>
            <w:tcBorders>
              <w:right w:val="single" w:sz="8" w:color="1F3C7B"/>
            </w:tcBorders>
            <w:shd w:val="clear" w:color="auto" w:fill="1F3C7B"/>
          </w:tcPr>
          <w:p>
            <w:pPr>
              <w:spacing w:after="0"/>
              <w:rPr>
                <w:sz w:val="17"/>
                <w:szCs w:val="17"/>
                <w:color w:val="auto"/>
              </w:rPr>
            </w:pPr>
          </w:p>
        </w:tc>
      </w:tr>
      <w:tr>
        <w:trPr>
          <w:trHeight w:val="203"/>
        </w:trPr>
        <w:tc>
          <w:tcPr>
            <w:tcW w:w="1740" w:type="dxa"/>
            <w:vAlign w:val="bottom"/>
            <w:tcBorders>
              <w:left w:val="single" w:sz="8" w:color="1F3C7B"/>
              <w:right w:val="single" w:sz="8" w:color="000E5B"/>
            </w:tcBorders>
            <w:shd w:val="clear" w:color="auto" w:fill="1F3C7B"/>
          </w:tcPr>
          <w:p>
            <w:pPr>
              <w:spacing w:after="0"/>
              <w:rPr>
                <w:sz w:val="17"/>
                <w:szCs w:val="17"/>
                <w:color w:val="auto"/>
              </w:rPr>
            </w:pPr>
          </w:p>
        </w:tc>
        <w:tc>
          <w:tcPr>
            <w:tcW w:w="160" w:type="dxa"/>
            <w:vAlign w:val="bottom"/>
            <w:shd w:val="clear" w:color="auto" w:fill="1F3C7B"/>
          </w:tcPr>
          <w:p>
            <w:pPr>
              <w:spacing w:after="0"/>
              <w:rPr>
                <w:sz w:val="17"/>
                <w:szCs w:val="17"/>
                <w:color w:val="auto"/>
              </w:rPr>
            </w:pPr>
          </w:p>
        </w:tc>
        <w:tc>
          <w:tcPr>
            <w:tcW w:w="1140" w:type="dxa"/>
            <w:vAlign w:val="bottom"/>
            <w:tcBorders>
              <w:right w:val="single" w:sz="8" w:color="000E5B"/>
            </w:tcBorders>
            <w:shd w:val="clear" w:color="auto" w:fill="1F3C7B"/>
          </w:tcPr>
          <w:p>
            <w:pPr>
              <w:spacing w:after="0"/>
              <w:rPr>
                <w:sz w:val="17"/>
                <w:szCs w:val="17"/>
                <w:color w:val="auto"/>
              </w:rPr>
            </w:pPr>
          </w:p>
        </w:tc>
        <w:tc>
          <w:tcPr>
            <w:tcW w:w="14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Unexercised</w:t>
            </w:r>
          </w:p>
        </w:tc>
        <w:tc>
          <w:tcPr>
            <w:tcW w:w="162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Unexercised</w:t>
            </w:r>
          </w:p>
        </w:tc>
        <w:tc>
          <w:tcPr>
            <w:tcW w:w="13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Unearned</w:t>
            </w:r>
          </w:p>
        </w:tc>
        <w:tc>
          <w:tcPr>
            <w:tcW w:w="96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Exercise</w:t>
            </w:r>
          </w:p>
        </w:tc>
        <w:tc>
          <w:tcPr>
            <w:tcW w:w="118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Option</w:t>
            </w:r>
          </w:p>
        </w:tc>
      </w:tr>
      <w:tr>
        <w:trPr>
          <w:trHeight w:val="193"/>
        </w:trPr>
        <w:tc>
          <w:tcPr>
            <w:tcW w:w="1740" w:type="dxa"/>
            <w:vAlign w:val="bottom"/>
            <w:tcBorders>
              <w:left w:val="single" w:sz="8" w:color="1F3C7B"/>
              <w:right w:val="single" w:sz="8" w:color="000E5B"/>
            </w:tcBorders>
            <w:shd w:val="clear" w:color="auto" w:fill="1F3C7B"/>
          </w:tcPr>
          <w:p>
            <w:pPr>
              <w:spacing w:after="0"/>
              <w:rPr>
                <w:sz w:val="16"/>
                <w:szCs w:val="16"/>
                <w:color w:val="auto"/>
              </w:rPr>
            </w:pPr>
          </w:p>
        </w:tc>
        <w:tc>
          <w:tcPr>
            <w:tcW w:w="160" w:type="dxa"/>
            <w:vAlign w:val="bottom"/>
            <w:shd w:val="clear" w:color="auto" w:fill="1F3C7B"/>
          </w:tcPr>
          <w:p>
            <w:pPr>
              <w:spacing w:after="0"/>
              <w:rPr>
                <w:sz w:val="16"/>
                <w:szCs w:val="16"/>
                <w:color w:val="auto"/>
              </w:rPr>
            </w:pPr>
          </w:p>
        </w:tc>
        <w:tc>
          <w:tcPr>
            <w:tcW w:w="1140" w:type="dxa"/>
            <w:vAlign w:val="bottom"/>
            <w:tcBorders>
              <w:right w:val="single" w:sz="8" w:color="000E5B"/>
            </w:tcBorders>
            <w:shd w:val="clear" w:color="auto" w:fill="1F3C7B"/>
          </w:tcPr>
          <w:p>
            <w:pPr>
              <w:jc w:val="right"/>
              <w:ind w:right="330"/>
              <w:spacing w:after="0" w:line="194" w:lineRule="exact"/>
              <w:rPr>
                <w:sz w:val="20"/>
                <w:szCs w:val="20"/>
                <w:color w:val="auto"/>
              </w:rPr>
            </w:pPr>
            <w:r>
              <w:rPr>
                <w:rFonts w:ascii="Arial" w:cs="Arial" w:eastAsia="Arial" w:hAnsi="Arial"/>
                <w:sz w:val="18"/>
                <w:szCs w:val="18"/>
                <w:b w:val="1"/>
                <w:bCs w:val="1"/>
                <w:color w:val="FFFFFF"/>
              </w:rPr>
              <w:t>Grant</w:t>
            </w:r>
          </w:p>
        </w:tc>
        <w:tc>
          <w:tcPr>
            <w:tcW w:w="142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8"/>
              </w:rPr>
              <w:t>Options (#)</w:t>
            </w:r>
          </w:p>
        </w:tc>
        <w:tc>
          <w:tcPr>
            <w:tcW w:w="162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8"/>
              </w:rPr>
              <w:t>Options (#)</w:t>
            </w:r>
          </w:p>
        </w:tc>
        <w:tc>
          <w:tcPr>
            <w:tcW w:w="134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Options</w:t>
            </w:r>
          </w:p>
        </w:tc>
        <w:tc>
          <w:tcPr>
            <w:tcW w:w="96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Price</w:t>
            </w:r>
          </w:p>
        </w:tc>
        <w:tc>
          <w:tcPr>
            <w:tcW w:w="1180" w:type="dxa"/>
            <w:vAlign w:val="bottom"/>
            <w:tcBorders>
              <w:right w:val="single" w:sz="8" w:color="1F3C7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Expiration</w:t>
            </w:r>
          </w:p>
        </w:tc>
      </w:tr>
      <w:tr>
        <w:trPr>
          <w:trHeight w:val="248"/>
        </w:trPr>
        <w:tc>
          <w:tcPr>
            <w:tcW w:w="1740" w:type="dxa"/>
            <w:vAlign w:val="bottom"/>
            <w:tcBorders>
              <w:left w:val="single" w:sz="8" w:color="1F3C7B"/>
              <w:right w:val="single" w:sz="8" w:color="000E5B"/>
            </w:tcBorders>
            <w:shd w:val="clear" w:color="auto" w:fill="1F3C7B"/>
          </w:tcPr>
          <w:p>
            <w:pPr>
              <w:ind w:left="620"/>
              <w:spacing w:after="0"/>
              <w:rPr>
                <w:sz w:val="20"/>
                <w:szCs w:val="20"/>
                <w:color w:val="auto"/>
              </w:rPr>
            </w:pPr>
            <w:r>
              <w:rPr>
                <w:rFonts w:ascii="Arial" w:cs="Arial" w:eastAsia="Arial" w:hAnsi="Arial"/>
                <w:sz w:val="18"/>
                <w:szCs w:val="18"/>
                <w:b w:val="1"/>
                <w:bCs w:val="1"/>
                <w:color w:val="FFFFFF"/>
              </w:rPr>
              <w:t>Name</w:t>
            </w:r>
          </w:p>
        </w:tc>
        <w:tc>
          <w:tcPr>
            <w:tcW w:w="160" w:type="dxa"/>
            <w:vAlign w:val="bottom"/>
            <w:shd w:val="clear" w:color="auto" w:fill="1F3C7B"/>
          </w:tcPr>
          <w:p>
            <w:pPr>
              <w:spacing w:after="0"/>
              <w:rPr>
                <w:sz w:val="21"/>
                <w:szCs w:val="21"/>
                <w:color w:val="auto"/>
              </w:rPr>
            </w:pPr>
          </w:p>
        </w:tc>
        <w:tc>
          <w:tcPr>
            <w:tcW w:w="1140" w:type="dxa"/>
            <w:vAlign w:val="bottom"/>
            <w:tcBorders>
              <w:right w:val="single" w:sz="8" w:color="000E5B"/>
            </w:tcBorders>
            <w:shd w:val="clear" w:color="auto" w:fill="1F3C7B"/>
          </w:tcPr>
          <w:p>
            <w:pPr>
              <w:jc w:val="right"/>
              <w:ind w:right="390"/>
              <w:spacing w:after="0"/>
              <w:rPr>
                <w:sz w:val="20"/>
                <w:szCs w:val="20"/>
                <w:color w:val="auto"/>
              </w:rPr>
            </w:pPr>
            <w:r>
              <w:rPr>
                <w:rFonts w:ascii="Arial" w:cs="Arial" w:eastAsia="Arial" w:hAnsi="Arial"/>
                <w:sz w:val="18"/>
                <w:szCs w:val="18"/>
                <w:b w:val="1"/>
                <w:bCs w:val="1"/>
                <w:color w:val="FFFFFF"/>
              </w:rPr>
              <w:t>Date</w:t>
            </w:r>
          </w:p>
        </w:tc>
        <w:tc>
          <w:tcPr>
            <w:tcW w:w="142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rPr>
              <w:t>Exercisable</w:t>
            </w:r>
            <w:r>
              <w:rPr>
                <w:rFonts w:ascii="Arial" w:cs="Arial" w:eastAsia="Arial" w:hAnsi="Arial"/>
                <w:sz w:val="28"/>
                <w:szCs w:val="28"/>
                <w:b w:val="1"/>
                <w:bCs w:val="1"/>
                <w:color w:val="FFFFFF"/>
                <w:vertAlign w:val="superscript"/>
              </w:rPr>
              <w:t>(1)</w:t>
            </w:r>
          </w:p>
        </w:tc>
        <w:tc>
          <w:tcPr>
            <w:tcW w:w="162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rPr>
              <w:t>Unexercisable</w:t>
            </w:r>
            <w:r>
              <w:rPr>
                <w:rFonts w:ascii="Arial" w:cs="Arial" w:eastAsia="Arial" w:hAnsi="Arial"/>
                <w:sz w:val="28"/>
                <w:szCs w:val="28"/>
                <w:b w:val="1"/>
                <w:bCs w:val="1"/>
                <w:color w:val="FFFFFF"/>
                <w:vertAlign w:val="superscript"/>
              </w:rPr>
              <w:t>(2)</w:t>
            </w:r>
          </w:p>
        </w:tc>
        <w:tc>
          <w:tcPr>
            <w:tcW w:w="134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(3)</w:t>
            </w:r>
          </w:p>
        </w:tc>
        <w:tc>
          <w:tcPr>
            <w:tcW w:w="96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(4)</w:t>
            </w:r>
          </w:p>
        </w:tc>
        <w:tc>
          <w:tcPr>
            <w:tcW w:w="1180" w:type="dxa"/>
            <w:vAlign w:val="bottom"/>
            <w:tcBorders>
              <w:right w:val="single" w:sz="8" w:color="1F3C7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7"/>
              </w:rPr>
              <w:t>Date</w:t>
            </w:r>
            <w:r>
              <w:rPr>
                <w:rFonts w:ascii="Arial" w:cs="Arial" w:eastAsia="Arial" w:hAnsi="Arial"/>
                <w:sz w:val="28"/>
                <w:szCs w:val="28"/>
                <w:b w:val="1"/>
                <w:bCs w:val="1"/>
                <w:color w:val="FFFFFF"/>
                <w:w w:val="97"/>
                <w:vertAlign w:val="superscript"/>
              </w:rPr>
              <w:t>(5)</w:t>
            </w:r>
          </w:p>
        </w:tc>
      </w:tr>
      <w:tr>
        <w:trPr>
          <w:trHeight w:val="214"/>
        </w:trPr>
        <w:tc>
          <w:tcPr>
            <w:tcW w:w="174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7"/>
                <w:szCs w:val="17"/>
                <w:color w:val="auto"/>
              </w:rPr>
              <w:t>L. Reade Fahs</w:t>
            </w: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244,117</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915,438</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4.27</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8"/>
        </w:trPr>
        <w:tc>
          <w:tcPr>
            <w:tcW w:w="174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7"/>
                <w:szCs w:val="17"/>
                <w:color w:val="auto"/>
              </w:rPr>
              <w:t>Patrick R. Moore</w:t>
            </w: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9/16/2014</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21,360</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42,720</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160,201</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4.27</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9/16/2024</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9/16/2014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21,360</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7.25</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9/16/2024</w:t>
            </w:r>
          </w:p>
        </w:tc>
      </w:tr>
      <w:tr>
        <w:trPr>
          <w:trHeight w:val="218"/>
        </w:trPr>
        <w:tc>
          <w:tcPr>
            <w:tcW w:w="1740" w:type="dxa"/>
            <w:vAlign w:val="bottom"/>
            <w:tcBorders>
              <w:left w:val="single" w:sz="8" w:color="1F3C7B"/>
              <w:right w:val="single" w:sz="8" w:color="000E5B"/>
            </w:tcBorders>
            <w:shd w:val="clear" w:color="auto" w:fill="C6C8CA"/>
          </w:tcPr>
          <w:p>
            <w:pPr>
              <w:spacing w:after="0"/>
              <w:rPr>
                <w:sz w:val="18"/>
                <w:szCs w:val="18"/>
                <w:color w:val="auto"/>
              </w:rPr>
            </w:pP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9/16/2014</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9,154</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8.23</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9/16/2024</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10/25/2017</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92,443</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22.00</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10/25/2027</w:t>
            </w:r>
          </w:p>
        </w:tc>
      </w:tr>
      <w:tr>
        <w:trPr>
          <w:trHeight w:val="218"/>
        </w:trPr>
        <w:tc>
          <w:tcPr>
            <w:tcW w:w="174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7"/>
                <w:szCs w:val="17"/>
                <w:color w:val="auto"/>
              </w:rPr>
              <w:t>Jeff McAllister</w:t>
            </w: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8/14/2017</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43,478</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144,927</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173,912</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15.74</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8/14/2027</w:t>
            </w:r>
          </w:p>
        </w:tc>
      </w:tr>
      <w:tr>
        <w:trPr>
          <w:trHeight w:val="214"/>
        </w:trPr>
        <w:tc>
          <w:tcPr>
            <w:tcW w:w="174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7"/>
                <w:szCs w:val="17"/>
                <w:color w:val="auto"/>
              </w:rPr>
              <w:t>Mitchell Goodman</w:t>
            </w: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28,480</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56,960</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213,602</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4.27</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8"/>
        </w:trPr>
        <w:tc>
          <w:tcPr>
            <w:tcW w:w="1740" w:type="dxa"/>
            <w:vAlign w:val="bottom"/>
            <w:tcBorders>
              <w:left w:val="single" w:sz="8" w:color="1F3C7B"/>
              <w:right w:val="single" w:sz="8" w:color="000E5B"/>
            </w:tcBorders>
            <w:shd w:val="clear" w:color="auto" w:fill="C6C8CA"/>
          </w:tcPr>
          <w:p>
            <w:pPr>
              <w:spacing w:after="0"/>
              <w:rPr>
                <w:sz w:val="18"/>
                <w:szCs w:val="18"/>
                <w:color w:val="auto"/>
              </w:rPr>
            </w:pP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28,480</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7.25</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3/13/2024</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28,480</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8.23</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8"/>
        </w:trPr>
        <w:tc>
          <w:tcPr>
            <w:tcW w:w="174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7"/>
                <w:szCs w:val="17"/>
                <w:color w:val="auto"/>
              </w:rPr>
              <w:t>John Vaught</w:t>
            </w:r>
          </w:p>
        </w:tc>
        <w:tc>
          <w:tcPr>
            <w:tcW w:w="1300" w:type="dxa"/>
            <w:vAlign w:val="bottom"/>
            <w:tcBorders>
              <w:right w:val="single" w:sz="8" w:color="000E5B"/>
            </w:tcBorders>
            <w:gridSpan w:val="2"/>
            <w:shd w:val="clear" w:color="auto" w:fill="C6C8CA"/>
          </w:tcPr>
          <w:p>
            <w:pPr>
              <w:jc w:val="right"/>
              <w:ind w:right="10"/>
              <w:spacing w:after="0" w:line="218" w:lineRule="exact"/>
              <w:rPr>
                <w:sz w:val="20"/>
                <w:szCs w:val="20"/>
                <w:color w:val="auto"/>
              </w:rPr>
            </w:pPr>
            <w:r>
              <w:rPr>
                <w:rFonts w:ascii="Arial" w:cs="Arial" w:eastAsia="Arial" w:hAnsi="Arial"/>
                <w:sz w:val="16"/>
                <w:szCs w:val="16"/>
                <w:color w:val="auto"/>
              </w:rPr>
              <w:t>4/11/2013</w:t>
            </w:r>
            <w:r>
              <w:rPr>
                <w:rFonts w:ascii="Arial" w:cs="Arial" w:eastAsia="Arial" w:hAnsi="Arial"/>
                <w:sz w:val="25"/>
                <w:szCs w:val="25"/>
                <w:color w:val="auto"/>
                <w:vertAlign w:val="superscript"/>
              </w:rPr>
              <w:t>(6)</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13,490</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1.66</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4/11/2023</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13,426</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26,853</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100,698</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4.27</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8"/>
        </w:trPr>
        <w:tc>
          <w:tcPr>
            <w:tcW w:w="1740" w:type="dxa"/>
            <w:vAlign w:val="bottom"/>
            <w:tcBorders>
              <w:left w:val="single" w:sz="8" w:color="1F3C7B"/>
              <w:right w:val="single" w:sz="8" w:color="000E5B"/>
            </w:tcBorders>
            <w:shd w:val="clear" w:color="auto" w:fill="C6C8CA"/>
          </w:tcPr>
          <w:p>
            <w:pPr>
              <w:spacing w:after="0"/>
              <w:rPr>
                <w:sz w:val="18"/>
                <w:szCs w:val="18"/>
                <w:color w:val="auto"/>
              </w:rPr>
            </w:pP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13,426</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7.25</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3/13/2024</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13,426</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8.23</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8"/>
        </w:trPr>
        <w:tc>
          <w:tcPr>
            <w:tcW w:w="174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7"/>
                <w:szCs w:val="17"/>
                <w:color w:val="auto"/>
              </w:rPr>
              <w:t>J. Bruce Steffey</w:t>
            </w:r>
          </w:p>
        </w:tc>
        <w:tc>
          <w:tcPr>
            <w:tcW w:w="1300" w:type="dxa"/>
            <w:vAlign w:val="bottom"/>
            <w:tcBorders>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61,029</w:t>
            </w:r>
          </w:p>
        </w:tc>
        <w:tc>
          <w:tcPr>
            <w:tcW w:w="162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122,058</w:t>
            </w:r>
          </w:p>
        </w:tc>
        <w:tc>
          <w:tcPr>
            <w:tcW w:w="1340" w:type="dxa"/>
            <w:vAlign w:val="bottom"/>
            <w:tcBorders>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457,719</w:t>
            </w:r>
          </w:p>
        </w:tc>
        <w:tc>
          <w:tcPr>
            <w:tcW w:w="960" w:type="dxa"/>
            <w:vAlign w:val="bottom"/>
            <w:tcBorders>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4.27</w:t>
            </w:r>
          </w:p>
        </w:tc>
        <w:tc>
          <w:tcPr>
            <w:tcW w:w="1180" w:type="dxa"/>
            <w:vAlign w:val="bottom"/>
            <w:tcBorders>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3/13/2024</w:t>
            </w:r>
          </w:p>
        </w:tc>
      </w:tr>
      <w:tr>
        <w:trPr>
          <w:trHeight w:val="214"/>
        </w:trPr>
        <w:tc>
          <w:tcPr>
            <w:tcW w:w="1740" w:type="dxa"/>
            <w:vAlign w:val="bottom"/>
            <w:tcBorders>
              <w:left w:val="single" w:sz="8" w:color="1F3C7B"/>
              <w:right w:val="single" w:sz="8" w:color="000E5B"/>
            </w:tcBorders>
            <w:shd w:val="clear" w:color="auto" w:fill="CCEEFF"/>
          </w:tcPr>
          <w:p>
            <w:pPr>
              <w:spacing w:after="0"/>
              <w:rPr>
                <w:sz w:val="18"/>
                <w:szCs w:val="18"/>
                <w:color w:val="auto"/>
              </w:rPr>
            </w:pPr>
          </w:p>
        </w:tc>
        <w:tc>
          <w:tcPr>
            <w:tcW w:w="1300" w:type="dxa"/>
            <w:vAlign w:val="bottom"/>
            <w:tcBorders>
              <w:right w:val="single" w:sz="8" w:color="000E5B"/>
            </w:tcBorders>
            <w:gridSpan w:val="2"/>
            <w:shd w:val="clear" w:color="auto" w:fill="CCEEFF"/>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61,029</w:t>
            </w:r>
          </w:p>
        </w:tc>
        <w:tc>
          <w:tcPr>
            <w:tcW w:w="162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000E5B"/>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000E5B"/>
            </w:tcBorders>
            <w:shd w:val="clear" w:color="auto" w:fill="CCEEFF"/>
          </w:tcPr>
          <w:p>
            <w:pPr>
              <w:jc w:val="right"/>
              <w:ind w:right="34"/>
              <w:spacing w:after="0"/>
              <w:rPr>
                <w:sz w:val="20"/>
                <w:szCs w:val="20"/>
                <w:color w:val="auto"/>
              </w:rPr>
            </w:pPr>
            <w:r>
              <w:rPr>
                <w:rFonts w:ascii="Arial" w:cs="Arial" w:eastAsia="Arial" w:hAnsi="Arial"/>
                <w:sz w:val="17"/>
                <w:szCs w:val="17"/>
                <w:color w:val="auto"/>
              </w:rPr>
              <w:t>7.25</w:t>
            </w:r>
          </w:p>
        </w:tc>
        <w:tc>
          <w:tcPr>
            <w:tcW w:w="1180" w:type="dxa"/>
            <w:vAlign w:val="bottom"/>
            <w:tcBorders>
              <w:right w:val="single" w:sz="8" w:color="1F3C7B"/>
            </w:tcBorders>
            <w:shd w:val="clear" w:color="auto" w:fill="CCEEFF"/>
          </w:tcPr>
          <w:p>
            <w:pPr>
              <w:jc w:val="right"/>
              <w:ind w:right="34"/>
              <w:spacing w:after="0"/>
              <w:rPr>
                <w:sz w:val="20"/>
                <w:szCs w:val="20"/>
                <w:color w:val="auto"/>
              </w:rPr>
            </w:pPr>
            <w:r>
              <w:rPr>
                <w:rFonts w:ascii="Arial" w:cs="Arial" w:eastAsia="Arial" w:hAnsi="Arial"/>
                <w:sz w:val="17"/>
                <w:szCs w:val="17"/>
                <w:color w:val="auto"/>
              </w:rPr>
              <w:t>3/13/2024</w:t>
            </w:r>
          </w:p>
        </w:tc>
      </w:tr>
      <w:tr>
        <w:trPr>
          <w:trHeight w:val="216"/>
        </w:trPr>
        <w:tc>
          <w:tcPr>
            <w:tcW w:w="1740" w:type="dxa"/>
            <w:vAlign w:val="bottom"/>
            <w:tcBorders>
              <w:left w:val="single" w:sz="8" w:color="1F3C7B"/>
              <w:bottom w:val="single" w:sz="8" w:color="1F3C7B"/>
              <w:right w:val="single" w:sz="8" w:color="000E5B"/>
            </w:tcBorders>
            <w:shd w:val="clear" w:color="auto" w:fill="C6C8CA"/>
          </w:tcPr>
          <w:p>
            <w:pPr>
              <w:spacing w:after="0"/>
              <w:rPr>
                <w:sz w:val="18"/>
                <w:szCs w:val="18"/>
                <w:color w:val="auto"/>
              </w:rPr>
            </w:pPr>
          </w:p>
        </w:tc>
        <w:tc>
          <w:tcPr>
            <w:tcW w:w="1300" w:type="dxa"/>
            <w:vAlign w:val="bottom"/>
            <w:tcBorders>
              <w:bottom w:val="single" w:sz="8" w:color="1F3C7B"/>
              <w:right w:val="single" w:sz="8" w:color="000E5B"/>
            </w:tcBorders>
            <w:gridSpan w:val="2"/>
            <w:shd w:val="clear" w:color="auto" w:fill="C6C8CA"/>
          </w:tcPr>
          <w:p>
            <w:pPr>
              <w:jc w:val="right"/>
              <w:ind w:right="170"/>
              <w:spacing w:after="0"/>
              <w:rPr>
                <w:sz w:val="20"/>
                <w:szCs w:val="20"/>
                <w:color w:val="auto"/>
              </w:rPr>
            </w:pPr>
            <w:r>
              <w:rPr>
                <w:rFonts w:ascii="Arial" w:cs="Arial" w:eastAsia="Arial" w:hAnsi="Arial"/>
                <w:sz w:val="17"/>
                <w:szCs w:val="17"/>
                <w:color w:val="auto"/>
              </w:rPr>
              <w:t>3/13/2014</w:t>
            </w:r>
          </w:p>
        </w:tc>
        <w:tc>
          <w:tcPr>
            <w:tcW w:w="1420" w:type="dxa"/>
            <w:vAlign w:val="bottom"/>
            <w:tcBorders>
              <w:bottom w:val="single" w:sz="8" w:color="1F3C7B"/>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61,029</w:t>
            </w:r>
          </w:p>
        </w:tc>
        <w:tc>
          <w:tcPr>
            <w:tcW w:w="1620" w:type="dxa"/>
            <w:vAlign w:val="bottom"/>
            <w:tcBorders>
              <w:bottom w:val="single" w:sz="8" w:color="1F3C7B"/>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1F3C7B"/>
              <w:right w:val="single" w:sz="8" w:color="000E5B"/>
            </w:tcBorders>
            <w:shd w:val="clear" w:color="auto" w:fill="C6C8CA"/>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1F3C7B"/>
              <w:right w:val="single" w:sz="8" w:color="000E5B"/>
            </w:tcBorders>
            <w:shd w:val="clear" w:color="auto" w:fill="C6C8CA"/>
          </w:tcPr>
          <w:p>
            <w:pPr>
              <w:jc w:val="right"/>
              <w:ind w:right="34"/>
              <w:spacing w:after="0"/>
              <w:rPr>
                <w:sz w:val="20"/>
                <w:szCs w:val="20"/>
                <w:color w:val="auto"/>
              </w:rPr>
            </w:pPr>
            <w:r>
              <w:rPr>
                <w:rFonts w:ascii="Arial" w:cs="Arial" w:eastAsia="Arial" w:hAnsi="Arial"/>
                <w:sz w:val="17"/>
                <w:szCs w:val="17"/>
                <w:color w:val="auto"/>
              </w:rPr>
              <w:t>8.23</w:t>
            </w:r>
          </w:p>
        </w:tc>
        <w:tc>
          <w:tcPr>
            <w:tcW w:w="1180" w:type="dxa"/>
            <w:vAlign w:val="bottom"/>
            <w:tcBorders>
              <w:bottom w:val="single" w:sz="8" w:color="1F3C7B"/>
              <w:right w:val="single" w:sz="8" w:color="1F3C7B"/>
            </w:tcBorders>
            <w:shd w:val="clear" w:color="auto" w:fill="C6C8CA"/>
          </w:tcPr>
          <w:p>
            <w:pPr>
              <w:jc w:val="right"/>
              <w:ind w:right="34"/>
              <w:spacing w:after="0"/>
              <w:rPr>
                <w:sz w:val="20"/>
                <w:szCs w:val="20"/>
                <w:color w:val="auto"/>
              </w:rPr>
            </w:pPr>
            <w:r>
              <w:rPr>
                <w:rFonts w:ascii="Arial" w:cs="Arial" w:eastAsia="Arial" w:hAnsi="Arial"/>
                <w:sz w:val="17"/>
                <w:szCs w:val="17"/>
                <w:color w:val="auto"/>
              </w:rPr>
              <w:t>3/13/2024</w:t>
            </w:r>
          </w:p>
        </w:tc>
      </w:tr>
      <w:tr>
        <w:trPr>
          <w:trHeight w:val="171"/>
        </w:trPr>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-2323465</wp:posOffset>
            </wp:positionV>
            <wp:extent cx="606298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-2049145</wp:posOffset>
            </wp:positionV>
            <wp:extent cx="606298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-1774825</wp:posOffset>
            </wp:positionV>
            <wp:extent cx="606298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-1499870</wp:posOffset>
            </wp:positionV>
            <wp:extent cx="606298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-1225550</wp:posOffset>
            </wp:positionV>
            <wp:extent cx="606298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-951230</wp:posOffset>
            </wp:positionV>
            <wp:extent cx="606298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-676910</wp:posOffset>
            </wp:positionV>
            <wp:extent cx="606298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62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-402590</wp:posOffset>
            </wp:positionV>
            <wp:extent cx="606298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62980" cy="137160"/>
                    </a:xfrm>
                    <a:prstGeom prst="rect">
                      <a:avLst/>
                    </a:prstGeom>
                    <a:noFill/>
                  </pic:spPr>
                </pic:pic>
              </a:graphicData>
            </a:graphic>
          </wp:anchor>
        </w:drawing>
      </w:r>
    </w:p>
    <w:p>
      <w:pPr>
        <w:spacing w:after="0" w:line="87" w:lineRule="exact"/>
        <w:rPr>
          <w:sz w:val="20"/>
          <w:szCs w:val="20"/>
          <w:color w:val="auto"/>
        </w:rPr>
      </w:pPr>
    </w:p>
    <w:p>
      <w:pPr>
        <w:ind w:left="347" w:right="80" w:hanging="347"/>
        <w:spacing w:after="0" w:line="231" w:lineRule="auto"/>
        <w:tabs>
          <w:tab w:leader="none" w:pos="3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numbers in this column represent vested and exercisable time-based and performance-based options and, for Mr. Vaught, also represent vested and exercisable rollover options.</w:t>
      </w:r>
    </w:p>
    <w:p>
      <w:pPr>
        <w:spacing w:after="0" w:line="95" w:lineRule="exact"/>
        <w:rPr>
          <w:rFonts w:ascii="Arial" w:cs="Arial" w:eastAsia="Arial" w:hAnsi="Arial"/>
          <w:sz w:val="14"/>
          <w:szCs w:val="14"/>
          <w:color w:val="auto"/>
        </w:rPr>
      </w:pPr>
    </w:p>
    <w:p>
      <w:pPr>
        <w:ind w:left="347" w:right="80" w:hanging="347"/>
        <w:spacing w:after="0" w:line="224" w:lineRule="auto"/>
        <w:tabs>
          <w:tab w:leader="none" w:pos="3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time-based options. The time-based 2014 Options vest as to 20% of the shares subject to such option on each anniversary of the closing date of our acquisition by affiliates of KKR Sponsor, subject to the holder continuing to provide services through such vesting date. The time-based McAllister 2017 Options vest as to 20% of the shares subject to such option on each anniversary of the grant date, subject to the holder continuing to provide services through such vesting date. The 2017 Post-IPO Options will vest in three substantially equal installments on each of the first, second and third anniversaries of the grant date, subject to continued employment through the applicable vesting date. See “Narrative to Summary Compensation Table and 2017 Grants of Plan-Based Awards-Equity Awards-Vesting Terms.” Vesting of the time-based options will be accelerated upon a change in control that occurs while the executive is still employed by us, as described under “Potential Payments upon Termination or Change in Control” below.</w:t>
      </w:r>
    </w:p>
    <w:p>
      <w:pPr>
        <w:spacing w:after="0" w:line="119"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205740" cy="1631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5" w:name="page36"/>
    <w:bookmarkEnd w:id="3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ind w:left="347" w:hanging="347"/>
        <w:spacing w:after="0" w:line="262" w:lineRule="auto"/>
        <w:tabs>
          <w:tab w:leader="none" w:pos="347"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numbers in this column represent unvested outstanding performance-based options. The performance-based pre-IPO Options are eligible to vest upon a Realization Event as follows: (i) If the MOIC achieved is less than two times, no portion of the performance-based options will vest; (ii) If the MOIC achieved is equal to two times, then 25% of the performance-based options will vest; and (iii) 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 The performance-based McAllister 2017 Options are eligible to vest as to each Option Tranche (20% of the shares subject to such option) on each of the first five concluded fiscal years following the grant date if the Company achieves the applicable management EBITDA Target established by the Board of Directors as follows: (i) for the 2017 fiscal year, the Target shall be deemed to have been met and 100% of the 2017 Option Tranche will vest; (ii) for each of the subsequent four fiscal years, if the management EBITDA achieved in the applicable fiscal year: (i) is less than 95% of the Target, then no portion of the applicable Option Tranche will vest, (ii) is 95% of the Target, then 50% of the applicable Option Tranche will vest, (iii) exceeds 95% of the Target, then 50% plus an additional percentage of the applicable Option Tranche will vest, up to 50%, calculated linearly and (iv) is 100%, then 100% of the applicable Option Tranche will vest. See “Narrative to Summary Compensation Table and 2017 Grants of Plan-Based Awards-Equity Awards-Vesting Terms.” None of the outstanding performance-based options have vested.</w:t>
      </w:r>
    </w:p>
    <w:p>
      <w:pPr>
        <w:spacing w:after="0" w:line="231" w:lineRule="exact"/>
        <w:rPr>
          <w:rFonts w:ascii="Arial" w:cs="Arial" w:eastAsia="Arial" w:hAnsi="Arial"/>
          <w:sz w:val="12"/>
          <w:szCs w:val="12"/>
          <w:color w:val="auto"/>
        </w:rPr>
      </w:pPr>
    </w:p>
    <w:p>
      <w:pPr>
        <w:ind w:left="347" w:right="80" w:hanging="347"/>
        <w:spacing w:after="0" w:line="224" w:lineRule="auto"/>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connection with our acquisition by affiliates of KKR Sponsor, the exercise price of Mr. Vaught’s rollover options was adjusted to $2.42 per option. The exercise price for Mr. Vaught’s rollover options was further adjusted in 2015 as a result of an extraordinary dividend payment to $1.66 per option. The exercise prices for outstanding time-based and performance-based options were also adjusted as a result of the 2015 extraordinary dividend payment as follows: unvested time-based and performance-based options were adjusted to $7.25 per option and vested time-based options were adjusted to $8.23 per option. In February 2017, the exercise prices for outstanding unvested time-based and performance-based options were further adjusted to $4.27 per option as a result of an extraordinary dividend payment.</w:t>
      </w:r>
    </w:p>
    <w:p>
      <w:pPr>
        <w:spacing w:after="0" w:line="97" w:lineRule="exact"/>
        <w:rPr>
          <w:rFonts w:ascii="Arial" w:cs="Arial" w:eastAsia="Arial" w:hAnsi="Arial"/>
          <w:sz w:val="14"/>
          <w:szCs w:val="14"/>
          <w:color w:val="auto"/>
        </w:rPr>
      </w:pPr>
    </w:p>
    <w:p>
      <w:pPr>
        <w:ind w:left="347" w:right="40" w:hanging="347"/>
        <w:spacing w:after="0" w:line="228" w:lineRule="auto"/>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94" w:lineRule="exact"/>
        <w:rPr>
          <w:rFonts w:ascii="Arial" w:cs="Arial" w:eastAsia="Arial" w:hAnsi="Arial"/>
          <w:sz w:val="14"/>
          <w:szCs w:val="14"/>
          <w:color w:val="auto"/>
        </w:rPr>
      </w:pPr>
    </w:p>
    <w:p>
      <w:pPr>
        <w:ind w:left="347" w:right="340" w:hanging="347"/>
        <w:spacing w:after="0" w:line="231" w:lineRule="auto"/>
        <w:tabs>
          <w:tab w:leader="none" w:pos="3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original grant date of Mr. Vaught’s rollover options. See “Compensation Discussion and Analysis-Compensation Elements-Long-Term Incentive Awards.”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Option Exercises and Stock Vested</w:t>
      </w:r>
    </w:p>
    <w:p>
      <w:pPr>
        <w:spacing w:after="0" w:line="126" w:lineRule="exact"/>
        <w:rPr>
          <w:sz w:val="20"/>
          <w:szCs w:val="20"/>
          <w:color w:val="auto"/>
        </w:rPr>
      </w:pPr>
    </w:p>
    <w:p>
      <w:pPr>
        <w:ind w:left="7" w:right="800"/>
        <w:spacing w:after="0" w:line="262" w:lineRule="auto"/>
        <w:rPr>
          <w:sz w:val="20"/>
          <w:szCs w:val="20"/>
          <w:color w:val="auto"/>
        </w:rPr>
      </w:pPr>
      <w:r>
        <w:rPr>
          <w:rFonts w:ascii="Arial" w:cs="Arial" w:eastAsia="Arial" w:hAnsi="Arial"/>
          <w:sz w:val="18"/>
          <w:szCs w:val="18"/>
          <w:color w:val="auto"/>
        </w:rPr>
        <w:t>The following table provides information regarding options exercised by the NEOs during the fiscal year ended December 30, 2017.</w:t>
      </w:r>
    </w:p>
    <w:p>
      <w:pPr>
        <w:spacing w:after="0" w:line="35"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1900" w:type="dxa"/>
            <w:vAlign w:val="bottom"/>
            <w:tcBorders>
              <w:left w:val="single" w:sz="8" w:color="1F3C7B"/>
            </w:tcBorders>
            <w:shd w:val="clear" w:color="auto" w:fill="1F3C7B"/>
          </w:tcPr>
          <w:p>
            <w:pPr>
              <w:spacing w:after="0"/>
              <w:rPr>
                <w:sz w:val="21"/>
                <w:szCs w:val="21"/>
                <w:color w:val="auto"/>
              </w:rPr>
            </w:pPr>
          </w:p>
        </w:tc>
        <w:tc>
          <w:tcPr>
            <w:tcW w:w="2080" w:type="dxa"/>
            <w:vAlign w:val="bottom"/>
            <w:tcBorders>
              <w:right w:val="single" w:sz="8" w:color="000E5B"/>
            </w:tcBorders>
            <w:shd w:val="clear" w:color="auto" w:fill="1F3C7B"/>
          </w:tcPr>
          <w:p>
            <w:pPr>
              <w:spacing w:after="0"/>
              <w:rPr>
                <w:sz w:val="21"/>
                <w:szCs w:val="21"/>
                <w:color w:val="auto"/>
              </w:rPr>
            </w:pPr>
          </w:p>
        </w:tc>
        <w:tc>
          <w:tcPr>
            <w:tcW w:w="5580" w:type="dxa"/>
            <w:vAlign w:val="bottom"/>
            <w:tcBorders>
              <w:right w:val="single" w:sz="8" w:color="000E5B"/>
            </w:tcBorders>
            <w:gridSpan w:val="2"/>
            <w:shd w:val="clear" w:color="auto" w:fill="1F3C7B"/>
          </w:tcPr>
          <w:p>
            <w:pPr>
              <w:jc w:val="right"/>
              <w:ind w:right="2090"/>
              <w:spacing w:after="0"/>
              <w:rPr>
                <w:sz w:val="20"/>
                <w:szCs w:val="20"/>
                <w:color w:val="auto"/>
              </w:rPr>
            </w:pPr>
            <w:r>
              <w:rPr>
                <w:rFonts w:ascii="Arial" w:cs="Arial" w:eastAsia="Arial" w:hAnsi="Arial"/>
                <w:sz w:val="18"/>
                <w:szCs w:val="18"/>
                <w:b w:val="1"/>
                <w:bCs w:val="1"/>
                <w:color w:val="FFFFFF"/>
              </w:rPr>
              <w:t>Option Awards</w:t>
            </w:r>
          </w:p>
        </w:tc>
      </w:tr>
      <w:tr>
        <w:trPr>
          <w:trHeight w:val="184"/>
        </w:trPr>
        <w:tc>
          <w:tcPr>
            <w:tcW w:w="1900" w:type="dxa"/>
            <w:vAlign w:val="bottom"/>
            <w:tcBorders>
              <w:left w:val="single" w:sz="8" w:color="1F3C7B"/>
            </w:tcBorders>
            <w:shd w:val="clear" w:color="auto" w:fill="1F3C7B"/>
          </w:tcPr>
          <w:p>
            <w:pPr>
              <w:spacing w:after="0"/>
              <w:rPr>
                <w:sz w:val="15"/>
                <w:szCs w:val="15"/>
                <w:color w:val="auto"/>
              </w:rPr>
            </w:pPr>
          </w:p>
        </w:tc>
        <w:tc>
          <w:tcPr>
            <w:tcW w:w="2080" w:type="dxa"/>
            <w:vAlign w:val="bottom"/>
            <w:tcBorders>
              <w:right w:val="single" w:sz="8" w:color="000E5B"/>
            </w:tcBorders>
            <w:shd w:val="clear" w:color="auto" w:fill="1F3C7B"/>
          </w:tcPr>
          <w:p>
            <w:pPr>
              <w:spacing w:after="0"/>
              <w:rPr>
                <w:sz w:val="15"/>
                <w:szCs w:val="15"/>
                <w:color w:val="auto"/>
              </w:rPr>
            </w:pPr>
          </w:p>
        </w:tc>
        <w:tc>
          <w:tcPr>
            <w:tcW w:w="2780" w:type="dxa"/>
            <w:vAlign w:val="bottom"/>
            <w:tcBorders>
              <w:right w:val="single" w:sz="8" w:color="000E5B"/>
            </w:tcBorders>
            <w:shd w:val="clear" w:color="auto" w:fill="1F3C7B"/>
          </w:tcPr>
          <w:p>
            <w:pPr>
              <w:jc w:val="right"/>
              <w:ind w:right="130"/>
              <w:spacing w:after="0" w:line="184" w:lineRule="exact"/>
              <w:rPr>
                <w:sz w:val="20"/>
                <w:szCs w:val="20"/>
                <w:color w:val="auto"/>
              </w:rPr>
            </w:pPr>
            <w:r>
              <w:rPr>
                <w:rFonts w:ascii="Arial" w:cs="Arial" w:eastAsia="Arial" w:hAnsi="Arial"/>
                <w:sz w:val="18"/>
                <w:szCs w:val="18"/>
                <w:b w:val="1"/>
                <w:bCs w:val="1"/>
                <w:color w:val="FFFFFF"/>
              </w:rPr>
              <w:t>Number of Shares Acquired</w:t>
            </w:r>
          </w:p>
        </w:tc>
        <w:tc>
          <w:tcPr>
            <w:tcW w:w="2800" w:type="dxa"/>
            <w:vAlign w:val="bottom"/>
            <w:tcBorders>
              <w:right w:val="single" w:sz="8" w:color="1F3C7B"/>
            </w:tcBorders>
            <w:shd w:val="clear" w:color="auto" w:fill="1F3C7B"/>
          </w:tcPr>
          <w:p>
            <w:pPr>
              <w:jc w:val="right"/>
              <w:ind w:right="570"/>
              <w:spacing w:after="0" w:line="184" w:lineRule="exact"/>
              <w:rPr>
                <w:sz w:val="20"/>
                <w:szCs w:val="20"/>
                <w:color w:val="auto"/>
              </w:rPr>
            </w:pPr>
            <w:r>
              <w:rPr>
                <w:rFonts w:ascii="Arial" w:cs="Arial" w:eastAsia="Arial" w:hAnsi="Arial"/>
                <w:sz w:val="18"/>
                <w:szCs w:val="18"/>
                <w:b w:val="1"/>
                <w:bCs w:val="1"/>
                <w:color w:val="FFFFFF"/>
              </w:rPr>
              <w:t>Value Realized on</w:t>
            </w:r>
          </w:p>
        </w:tc>
      </w:tr>
      <w:tr>
        <w:trPr>
          <w:trHeight w:val="248"/>
        </w:trPr>
        <w:tc>
          <w:tcPr>
            <w:tcW w:w="3980" w:type="dxa"/>
            <w:vAlign w:val="bottom"/>
            <w:tcBorders>
              <w:left w:val="single" w:sz="8" w:color="1F3C7B"/>
              <w:right w:val="single" w:sz="8" w:color="000E5B"/>
            </w:tcBorders>
            <w:gridSpan w:val="2"/>
            <w:shd w:val="clear" w:color="auto" w:fill="1F3C7B"/>
          </w:tcPr>
          <w:p>
            <w:pPr>
              <w:ind w:left="1740"/>
              <w:spacing w:after="0"/>
              <w:rPr>
                <w:sz w:val="20"/>
                <w:szCs w:val="20"/>
                <w:color w:val="auto"/>
              </w:rPr>
            </w:pPr>
            <w:r>
              <w:rPr>
                <w:rFonts w:ascii="Arial" w:cs="Arial" w:eastAsia="Arial" w:hAnsi="Arial"/>
                <w:sz w:val="18"/>
                <w:szCs w:val="18"/>
                <w:b w:val="1"/>
                <w:bCs w:val="1"/>
                <w:color w:val="FFFFFF"/>
              </w:rPr>
              <w:t>Name</w:t>
            </w:r>
          </w:p>
        </w:tc>
        <w:tc>
          <w:tcPr>
            <w:tcW w:w="2780" w:type="dxa"/>
            <w:vAlign w:val="bottom"/>
            <w:tcBorders>
              <w:right w:val="single" w:sz="8" w:color="000E5B"/>
            </w:tcBorders>
            <w:shd w:val="clear" w:color="auto" w:fill="1F3C7B"/>
          </w:tcPr>
          <w:p>
            <w:pPr>
              <w:jc w:val="right"/>
              <w:ind w:right="690"/>
              <w:spacing w:after="0"/>
              <w:rPr>
                <w:sz w:val="20"/>
                <w:szCs w:val="20"/>
                <w:color w:val="auto"/>
              </w:rPr>
            </w:pPr>
            <w:r>
              <w:rPr>
                <w:rFonts w:ascii="Arial" w:cs="Arial" w:eastAsia="Arial" w:hAnsi="Arial"/>
                <w:sz w:val="18"/>
                <w:szCs w:val="18"/>
                <w:b w:val="1"/>
                <w:bCs w:val="1"/>
                <w:color w:val="FFFFFF"/>
              </w:rPr>
              <w:t>on Exercise (#)</w:t>
            </w:r>
          </w:p>
        </w:tc>
        <w:tc>
          <w:tcPr>
            <w:tcW w:w="2800" w:type="dxa"/>
            <w:vAlign w:val="bottom"/>
            <w:tcBorders>
              <w:right w:val="single" w:sz="8" w:color="1F3C7B"/>
            </w:tcBorders>
            <w:shd w:val="clear" w:color="auto" w:fill="1F3C7B"/>
          </w:tcPr>
          <w:p>
            <w:pPr>
              <w:jc w:val="right"/>
              <w:ind w:right="730"/>
              <w:spacing w:after="0" w:line="249" w:lineRule="exact"/>
              <w:rPr>
                <w:sz w:val="20"/>
                <w:szCs w:val="20"/>
                <w:color w:val="auto"/>
              </w:rPr>
            </w:pPr>
            <w:r>
              <w:rPr>
                <w:rFonts w:ascii="Arial" w:cs="Arial" w:eastAsia="Arial" w:hAnsi="Arial"/>
                <w:sz w:val="17"/>
                <w:szCs w:val="17"/>
                <w:b w:val="1"/>
                <w:bCs w:val="1"/>
                <w:color w:val="FFFFFF"/>
              </w:rPr>
              <w:t>Exercise ($)</w:t>
            </w:r>
            <w:r>
              <w:rPr>
                <w:rFonts w:ascii="Arial" w:cs="Arial" w:eastAsia="Arial" w:hAnsi="Arial"/>
                <w:sz w:val="28"/>
                <w:szCs w:val="28"/>
                <w:b w:val="1"/>
                <w:bCs w:val="1"/>
                <w:color w:val="FFFFFF"/>
                <w:vertAlign w:val="superscript"/>
              </w:rPr>
              <w:t>(1)</w:t>
            </w:r>
          </w:p>
        </w:tc>
      </w:tr>
      <w:tr>
        <w:trPr>
          <w:trHeight w:val="230"/>
        </w:trPr>
        <w:tc>
          <w:tcPr>
            <w:tcW w:w="398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278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122,058</w:t>
            </w:r>
          </w:p>
        </w:tc>
        <w:tc>
          <w:tcPr>
            <w:tcW w:w="28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932,828</w:t>
            </w:r>
          </w:p>
        </w:tc>
      </w:tr>
      <w:tr>
        <w:trPr>
          <w:trHeight w:val="230"/>
        </w:trPr>
        <w:tc>
          <w:tcPr>
            <w:tcW w:w="398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Patrick R. Moore</w:t>
            </w:r>
          </w:p>
        </w:tc>
        <w:tc>
          <w:tcPr>
            <w:tcW w:w="278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278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Mitchell Goodman</w:t>
            </w:r>
          </w:p>
        </w:tc>
        <w:tc>
          <w:tcPr>
            <w:tcW w:w="278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278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left w:val="single" w:sz="8" w:color="1F3C7B"/>
              <w:bottom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J. Bruce Steffey</w:t>
            </w:r>
          </w:p>
        </w:tc>
        <w:tc>
          <w:tcPr>
            <w:tcW w:w="2780" w:type="dxa"/>
            <w:vAlign w:val="bottom"/>
            <w:tcBorders>
              <w:bottom w:val="single" w:sz="8" w:color="1F3C7B"/>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1F3C7B"/>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169"/>
        </w:trPr>
        <w:tc>
          <w:tcPr>
            <w:tcW w:w="1900" w:type="dxa"/>
            <w:vAlign w:val="bottom"/>
            <w:tcBorders>
              <w:bottom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-1002665</wp:posOffset>
            </wp:positionV>
            <wp:extent cx="606298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-711200</wp:posOffset>
            </wp:positionV>
            <wp:extent cx="606298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-419735</wp:posOffset>
            </wp:positionV>
            <wp:extent cx="606298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87" w:lineRule="exact"/>
        <w:rPr>
          <w:sz w:val="20"/>
          <w:szCs w:val="20"/>
          <w:color w:val="auto"/>
        </w:rPr>
      </w:pPr>
    </w:p>
    <w:p>
      <w:pPr>
        <w:ind w:left="347" w:right="220" w:hanging="347"/>
        <w:spacing w:after="0" w:line="231" w:lineRule="auto"/>
        <w:tabs>
          <w:tab w:leader="none" w:pos="3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difference between the fair market value of the shares acquired on exercise, on the exercise date multiplied by the exercise price of the option.</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Pension Benefits</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8"/>
          <w:szCs w:val="18"/>
          <w:color w:val="auto"/>
        </w:rPr>
        <w:t>We have no defined pension benefit plans for our executive officers.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Non-Qualified Deferred Compensation</w:t>
      </w:r>
    </w:p>
    <w:p>
      <w:pPr>
        <w:spacing w:after="0" w:line="126" w:lineRule="exact"/>
        <w:rPr>
          <w:sz w:val="20"/>
          <w:szCs w:val="20"/>
          <w:color w:val="auto"/>
        </w:rPr>
      </w:pPr>
    </w:p>
    <w:p>
      <w:pPr>
        <w:ind w:left="7" w:right="400"/>
        <w:spacing w:after="0" w:line="262"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6" w:lineRule="exact"/>
        <w:rPr>
          <w:sz w:val="20"/>
          <w:szCs w:val="20"/>
          <w:color w:val="auto"/>
        </w:rPr>
      </w:pPr>
    </w:p>
    <w:p>
      <w:pPr>
        <w:jc w:val="both"/>
        <w:ind w:left="7" w:right="200"/>
        <w:spacing w:after="0" w:line="254" w:lineRule="auto"/>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Consistent with SEC requirements, these estimated amounts have been calculated as if the NEO’s employment had been terminated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95885</wp:posOffset>
            </wp:positionV>
            <wp:extent cx="20574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last day of fiscal 2017, and using the closing market price of our Common Stock on December 29, 2017, the last trading day in 2017 ($40.61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Plan</w:t>
      </w:r>
    </w:p>
    <w:p>
      <w:pPr>
        <w:spacing w:after="0" w:line="12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 (3) 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101" w:lineRule="exact"/>
        <w:rPr>
          <w:sz w:val="20"/>
          <w:szCs w:val="20"/>
          <w:color w:val="auto"/>
        </w:rPr>
      </w:pPr>
    </w:p>
    <w:p>
      <w:pPr>
        <w:ind w:left="1060" w:right="220" w:hanging="351"/>
        <w:spacing w:after="0" w:line="246"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Severance in an amount equal to 12 months of the executive’s annual base salary, payable over the 12-month period following the date of such qualifying termination; and</w:t>
      </w:r>
    </w:p>
    <w:p>
      <w:pPr>
        <w:spacing w:after="0" w:line="88" w:lineRule="exact"/>
        <w:rPr>
          <w:rFonts w:ascii="Arial" w:cs="Arial" w:eastAsia="Arial" w:hAnsi="Arial"/>
          <w:sz w:val="18"/>
          <w:szCs w:val="18"/>
          <w:color w:val="auto"/>
        </w:rPr>
      </w:pPr>
    </w:p>
    <w:p>
      <w:pPr>
        <w:ind w:left="1060" w:right="40" w:hanging="351"/>
        <w:spacing w:after="0" w:line="239"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30, 2017, Messrs. Fahs, Goodman and Moore were eligible to participate in the Executive Supplement to the Severance Plan.</w:t>
      </w:r>
    </w:p>
    <w:p>
      <w:pPr>
        <w:spacing w:after="0" w:line="9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payments and benefits under the Executive Supplement to the Severance Plan in the event of a qualifying termination of employment include the following:</w:t>
      </w:r>
    </w:p>
    <w:p>
      <w:pPr>
        <w:spacing w:after="0" w:line="88" w:lineRule="exact"/>
        <w:rPr>
          <w:sz w:val="20"/>
          <w:szCs w:val="20"/>
          <w:color w:val="auto"/>
        </w:rPr>
      </w:pPr>
    </w:p>
    <w:p>
      <w:pPr>
        <w:ind w:left="1060" w:right="220" w:hanging="351"/>
        <w:spacing w:after="0" w:line="246"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Severance in an amount equal to 24 months of the executive’s annual base salary, payable over the 24-month period following the date of such qualifying termination;</w:t>
      </w:r>
    </w:p>
    <w:p>
      <w:pPr>
        <w:spacing w:after="0" w:line="88" w:lineRule="exact"/>
        <w:rPr>
          <w:rFonts w:ascii="Arial" w:cs="Arial" w:eastAsia="Arial" w:hAnsi="Arial"/>
          <w:sz w:val="18"/>
          <w:szCs w:val="18"/>
          <w:color w:val="auto"/>
        </w:rPr>
      </w:pPr>
    </w:p>
    <w:p>
      <w:pPr>
        <w:ind w:left="1060" w:right="740" w:hanging="351"/>
        <w:spacing w:after="0" w:line="246"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amount equal to 30% of the executive’s annual base salary, payable over the 24-month period following the date of such qualifying termination; and</w:t>
      </w:r>
    </w:p>
    <w:p>
      <w:pPr>
        <w:spacing w:after="0" w:line="88" w:lineRule="exact"/>
        <w:rPr>
          <w:rFonts w:ascii="Arial" w:cs="Arial" w:eastAsia="Arial" w:hAnsi="Arial"/>
          <w:sz w:val="18"/>
          <w:szCs w:val="18"/>
          <w:color w:val="auto"/>
        </w:rPr>
      </w:pPr>
    </w:p>
    <w:p>
      <w:pPr>
        <w:ind w:left="1060" w:hanging="351"/>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COBRA Benefit.</w:t>
      </w:r>
    </w:p>
    <w:p>
      <w:pPr>
        <w:spacing w:after="0" w:line="1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94" w:lineRule="exact"/>
        <w:rPr>
          <w:sz w:val="20"/>
          <w:szCs w:val="20"/>
          <w:color w:val="auto"/>
        </w:rPr>
      </w:pPr>
    </w:p>
    <w:p>
      <w:pPr>
        <w:ind w:left="1060" w:hanging="351"/>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Disparaging the Company or any officer, director or employee of the Company;</w:t>
      </w:r>
    </w:p>
    <w:p>
      <w:pPr>
        <w:spacing w:after="0" w:line="103" w:lineRule="exact"/>
        <w:rPr>
          <w:rFonts w:ascii="Arial" w:cs="Arial" w:eastAsia="Arial" w:hAnsi="Arial"/>
          <w:sz w:val="18"/>
          <w:szCs w:val="18"/>
          <w:color w:val="auto"/>
        </w:rPr>
      </w:pPr>
    </w:p>
    <w:p>
      <w:pPr>
        <w:ind w:left="1060" w:hanging="351"/>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Disclosing or using any confidential information or trade secrets of the Company; and</w:t>
      </w:r>
    </w:p>
    <w:p>
      <w:pPr>
        <w:spacing w:after="0" w:line="103" w:lineRule="exact"/>
        <w:rPr>
          <w:rFonts w:ascii="Arial" w:cs="Arial" w:eastAsia="Arial" w:hAnsi="Arial"/>
          <w:sz w:val="18"/>
          <w:szCs w:val="18"/>
          <w:color w:val="auto"/>
        </w:rPr>
      </w:pPr>
    </w:p>
    <w:p>
      <w:pPr>
        <w:ind w:left="1060" w:right="760" w:hanging="351"/>
        <w:spacing w:after="0" w:line="275"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Engaging in any activities, directly or indirectly, which have the effect of disrupting the Company’s operations or harming the Company’s reputation with its customers, suppliers or employees.</w:t>
      </w:r>
    </w:p>
    <w:p>
      <w:pPr>
        <w:spacing w:after="0" w:line="6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“Cause” generally means the following act(s) by an executive, after written notification to the executive by the Company of its demand for the executive to cure such act(s), and a failure by the executive to cure such act(s):</w:t>
      </w:r>
    </w:p>
    <w:p>
      <w:pPr>
        <w:spacing w:after="0" w:line="115"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205740" cy="15430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p>
      <w:pPr>
        <w:ind w:left="1060" w:right="440" w:hanging="351"/>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spacing w:after="0" w:line="94" w:lineRule="exact"/>
        <w:rPr>
          <w:rFonts w:ascii="Arial" w:cs="Arial" w:eastAsia="Arial" w:hAnsi="Arial"/>
          <w:sz w:val="18"/>
          <w:szCs w:val="18"/>
          <w:color w:val="auto"/>
        </w:rPr>
      </w:pPr>
    </w:p>
    <w:p>
      <w:pPr>
        <w:ind w:left="1060" w:right="240" w:hanging="351"/>
        <w:spacing w:after="0" w:line="246"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Commission of an act or acts constituting any felony or any criminal act involving moral turpitude, or any other criminal act involving dishonesty, disloyalty, fraud or theft with respect to the Company; or</w:t>
      </w:r>
    </w:p>
    <w:p>
      <w:pPr>
        <w:spacing w:after="0" w:line="88" w:lineRule="exact"/>
        <w:rPr>
          <w:rFonts w:ascii="Arial" w:cs="Arial" w:eastAsia="Arial" w:hAnsi="Arial"/>
          <w:sz w:val="18"/>
          <w:szCs w:val="18"/>
          <w:color w:val="auto"/>
        </w:rPr>
      </w:pPr>
    </w:p>
    <w:p>
      <w:pPr>
        <w:ind w:left="1060" w:right="20" w:hanging="351"/>
        <w:spacing w:after="0" w:line="246"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 breach of any agreement under which he or she has committed to confidentiality, nondisclosure or non-solicitation protections for the Company.</w:t>
      </w:r>
    </w:p>
    <w:p>
      <w:pPr>
        <w:spacing w:after="0" w:line="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96" w:lineRule="exact"/>
        <w:rPr>
          <w:sz w:val="20"/>
          <w:szCs w:val="20"/>
          <w:color w:val="auto"/>
        </w:rPr>
      </w:pPr>
    </w:p>
    <w:p>
      <w:pPr>
        <w:ind w:left="1060" w:hanging="351"/>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significant, adverse change by the Company in the executive’s employment responsibilities;</w:t>
      </w:r>
    </w:p>
    <w:p>
      <w:pPr>
        <w:spacing w:after="0" w:line="103" w:lineRule="exact"/>
        <w:rPr>
          <w:rFonts w:ascii="Arial" w:cs="Arial" w:eastAsia="Arial" w:hAnsi="Arial"/>
          <w:sz w:val="18"/>
          <w:szCs w:val="18"/>
          <w:color w:val="auto"/>
        </w:rPr>
      </w:pPr>
    </w:p>
    <w:p>
      <w:pPr>
        <w:ind w:left="1060" w:hanging="351"/>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reduction in base salary;</w:t>
      </w:r>
    </w:p>
    <w:p>
      <w:pPr>
        <w:spacing w:after="0" w:line="103" w:lineRule="exact"/>
        <w:rPr>
          <w:rFonts w:ascii="Arial" w:cs="Arial" w:eastAsia="Arial" w:hAnsi="Arial"/>
          <w:sz w:val="18"/>
          <w:szCs w:val="18"/>
          <w:color w:val="auto"/>
        </w:rPr>
      </w:pPr>
    </w:p>
    <w:p>
      <w:pPr>
        <w:ind w:left="1060" w:right="200" w:hanging="351"/>
        <w:spacing w:after="0" w:line="275"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Relocation without the executive’s consent to a location more than fifty (50) miles from the executive’s principal office in the Atlanta metropolitan area, except for required travel on the Company’s business; or</w:t>
      </w:r>
    </w:p>
    <w:p>
      <w:pPr>
        <w:spacing w:after="0" w:line="65" w:lineRule="exact"/>
        <w:rPr>
          <w:rFonts w:ascii="Arial" w:cs="Arial" w:eastAsia="Arial" w:hAnsi="Arial"/>
          <w:sz w:val="17"/>
          <w:szCs w:val="17"/>
          <w:color w:val="auto"/>
        </w:rPr>
      </w:pPr>
    </w:p>
    <w:p>
      <w:pPr>
        <w:jc w:val="both"/>
        <w:ind w:left="1060" w:right="400" w:hanging="351"/>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Options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Effect of Change in Control on Vesting of Time-Based and Performance-Based Options. </w:t>
      </w:r>
      <w:r>
        <w:rPr>
          <w:rFonts w:ascii="Arial" w:cs="Arial" w:eastAsia="Arial" w:hAnsi="Arial"/>
          <w:sz w:val="18"/>
          <w:szCs w:val="18"/>
          <w:color w:val="auto"/>
        </w:rPr>
        <w:t>Upon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90" w:lineRule="exact"/>
        <w:rPr>
          <w:sz w:val="20"/>
          <w:szCs w:val="20"/>
          <w:color w:val="auto"/>
        </w:rPr>
      </w:pPr>
    </w:p>
    <w:p>
      <w:pPr>
        <w:ind w:left="1060" w:hanging="351"/>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MOIC is less than two times, no portion of the performance-based options will vest;</w:t>
      </w:r>
    </w:p>
    <w:p>
      <w:pPr>
        <w:spacing w:after="0" w:line="103" w:lineRule="exact"/>
        <w:rPr>
          <w:rFonts w:ascii="Arial" w:cs="Arial" w:eastAsia="Arial" w:hAnsi="Arial"/>
          <w:sz w:val="18"/>
          <w:szCs w:val="18"/>
          <w:color w:val="auto"/>
        </w:rPr>
      </w:pPr>
    </w:p>
    <w:p>
      <w:pPr>
        <w:ind w:left="1060" w:right="160" w:hanging="351"/>
        <w:spacing w:after="0" w:line="246"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MOIC achieved is at least equal to two times, then 25% of the performance-based options will vest; and</w:t>
      </w:r>
    </w:p>
    <w:p>
      <w:pPr>
        <w:spacing w:after="0" w:line="88" w:lineRule="exact"/>
        <w:rPr>
          <w:rFonts w:ascii="Arial" w:cs="Arial" w:eastAsia="Arial" w:hAnsi="Arial"/>
          <w:sz w:val="18"/>
          <w:szCs w:val="18"/>
          <w:color w:val="auto"/>
        </w:rPr>
      </w:pPr>
    </w:p>
    <w:p>
      <w:pPr>
        <w:ind w:left="1060" w:right="40" w:hanging="351"/>
        <w:spacing w:after="0" w:line="239"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Any portion of the performance-based options that do not vest on a change in control will immediately expire on the date of such change in control.</w:t>
      </w:r>
    </w:p>
    <w:p>
      <w:pPr>
        <w:spacing w:after="0" w:line="7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 disability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92075</wp:posOffset>
            </wp:positionV>
            <wp:extent cx="20574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Post-IPO Options</w:t>
      </w:r>
    </w:p>
    <w:p>
      <w:pPr>
        <w:spacing w:after="0" w:line="10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below in the 2017 Omnibus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unvested time-based options would become immediately vested and exercisable.</w:t>
      </w:r>
    </w:p>
    <w:p>
      <w:pPr>
        <w:spacing w:after="0" w:line="54"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 disability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26"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The following table lists the payments and benefits that would have been triggered for each of our NEOs under the circumstances described below assuming that the applicable triggering event occurred on December 30, 2017.</w:t>
      </w: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0" w:type="dxa"/>
            <w:vAlign w:val="bottom"/>
            <w:tcBorders>
              <w:left w:val="single" w:sz="8" w:color="1F3C7B"/>
            </w:tcBorders>
            <w:shd w:val="clear" w:color="auto" w:fill="1F3C7B"/>
          </w:tcPr>
          <w:p>
            <w:pPr>
              <w:spacing w:after="0"/>
              <w:rPr>
                <w:sz w:val="17"/>
                <w:szCs w:val="17"/>
                <w:color w:val="auto"/>
              </w:rPr>
            </w:pPr>
          </w:p>
        </w:tc>
        <w:tc>
          <w:tcPr>
            <w:tcW w:w="3840" w:type="dxa"/>
            <w:vAlign w:val="bottom"/>
            <w:tcBorders>
              <w:right w:val="single" w:sz="8" w:color="000E5B"/>
            </w:tcBorders>
            <w:shd w:val="clear" w:color="auto" w:fill="1F3C7B"/>
          </w:tcPr>
          <w:p>
            <w:pPr>
              <w:spacing w:after="0"/>
              <w:rPr>
                <w:sz w:val="17"/>
                <w:szCs w:val="17"/>
                <w:color w:val="auto"/>
              </w:rPr>
            </w:pPr>
          </w:p>
        </w:tc>
        <w:tc>
          <w:tcPr>
            <w:tcW w:w="1440" w:type="dxa"/>
            <w:vAlign w:val="bottom"/>
            <w:tcBorders>
              <w:right w:val="single" w:sz="8" w:color="000E5B"/>
            </w:tcBorders>
            <w:shd w:val="clear" w:color="auto" w:fill="1F3C7B"/>
          </w:tcPr>
          <w:p>
            <w:pPr>
              <w:spacing w:after="0"/>
              <w:rPr>
                <w:sz w:val="17"/>
                <w:szCs w:val="17"/>
                <w:color w:val="auto"/>
              </w:rPr>
            </w:pPr>
          </w:p>
        </w:tc>
        <w:tc>
          <w:tcPr>
            <w:tcW w:w="1900" w:type="dxa"/>
            <w:vAlign w:val="bottom"/>
            <w:tcBorders>
              <w:right w:val="single" w:sz="8" w:color="000E5B"/>
            </w:tcBorders>
            <w:shd w:val="clear" w:color="auto" w:fill="1F3C7B"/>
          </w:tcPr>
          <w:p>
            <w:pPr>
              <w:spacing w:after="0"/>
              <w:rPr>
                <w:sz w:val="17"/>
                <w:szCs w:val="17"/>
                <w:color w:val="auto"/>
              </w:rPr>
            </w:pPr>
          </w:p>
        </w:tc>
        <w:tc>
          <w:tcPr>
            <w:tcW w:w="180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7"/>
              </w:rPr>
              <w:t>Value of</w:t>
            </w:r>
          </w:p>
        </w:tc>
      </w:tr>
      <w:tr>
        <w:trPr>
          <w:trHeight w:val="203"/>
        </w:trPr>
        <w:tc>
          <w:tcPr>
            <w:tcW w:w="580" w:type="dxa"/>
            <w:vAlign w:val="bottom"/>
            <w:tcBorders>
              <w:left w:val="single" w:sz="8" w:color="1F3C7B"/>
            </w:tcBorders>
            <w:shd w:val="clear" w:color="auto" w:fill="1F3C7B"/>
          </w:tcPr>
          <w:p>
            <w:pPr>
              <w:spacing w:after="0"/>
              <w:rPr>
                <w:sz w:val="17"/>
                <w:szCs w:val="17"/>
                <w:color w:val="auto"/>
              </w:rPr>
            </w:pPr>
          </w:p>
        </w:tc>
        <w:tc>
          <w:tcPr>
            <w:tcW w:w="3840" w:type="dxa"/>
            <w:vAlign w:val="bottom"/>
            <w:tcBorders>
              <w:right w:val="single" w:sz="8" w:color="000E5B"/>
            </w:tcBorders>
            <w:shd w:val="clear" w:color="auto" w:fill="1F3C7B"/>
          </w:tcPr>
          <w:p>
            <w:pPr>
              <w:spacing w:after="0"/>
              <w:rPr>
                <w:sz w:val="17"/>
                <w:szCs w:val="17"/>
                <w:color w:val="auto"/>
              </w:rPr>
            </w:pPr>
          </w:p>
        </w:tc>
        <w:tc>
          <w:tcPr>
            <w:tcW w:w="1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Severance</w:t>
            </w:r>
          </w:p>
        </w:tc>
        <w:tc>
          <w:tcPr>
            <w:tcW w:w="190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Continuation of</w:t>
            </w:r>
          </w:p>
        </w:tc>
        <w:tc>
          <w:tcPr>
            <w:tcW w:w="180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Accelerated</w:t>
            </w:r>
          </w:p>
        </w:tc>
      </w:tr>
      <w:tr>
        <w:trPr>
          <w:trHeight w:val="193"/>
        </w:trPr>
        <w:tc>
          <w:tcPr>
            <w:tcW w:w="580" w:type="dxa"/>
            <w:vAlign w:val="bottom"/>
            <w:tcBorders>
              <w:left w:val="single" w:sz="8" w:color="1F3C7B"/>
            </w:tcBorders>
            <w:shd w:val="clear" w:color="auto" w:fill="1F3C7B"/>
          </w:tcPr>
          <w:p>
            <w:pPr>
              <w:spacing w:after="0"/>
              <w:rPr>
                <w:sz w:val="16"/>
                <w:szCs w:val="16"/>
                <w:color w:val="auto"/>
              </w:rPr>
            </w:pPr>
          </w:p>
        </w:tc>
        <w:tc>
          <w:tcPr>
            <w:tcW w:w="3840" w:type="dxa"/>
            <w:vAlign w:val="bottom"/>
            <w:tcBorders>
              <w:right w:val="single" w:sz="8" w:color="000E5B"/>
            </w:tcBorders>
            <w:shd w:val="clear" w:color="auto" w:fill="1F3C7B"/>
          </w:tcPr>
          <w:p>
            <w:pPr>
              <w:spacing w:after="0"/>
              <w:rPr>
                <w:sz w:val="16"/>
                <w:szCs w:val="16"/>
                <w:color w:val="auto"/>
              </w:rPr>
            </w:pPr>
          </w:p>
        </w:tc>
        <w:tc>
          <w:tcPr>
            <w:tcW w:w="144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8"/>
              </w:rPr>
              <w:t>Benefit</w:t>
            </w:r>
          </w:p>
        </w:tc>
        <w:tc>
          <w:tcPr>
            <w:tcW w:w="190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Health Benefits</w:t>
            </w:r>
          </w:p>
        </w:tc>
        <w:tc>
          <w:tcPr>
            <w:tcW w:w="1800" w:type="dxa"/>
            <w:vAlign w:val="bottom"/>
            <w:tcBorders>
              <w:right w:val="single" w:sz="8" w:color="1F3C7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Stock Options</w:t>
            </w:r>
          </w:p>
        </w:tc>
      </w:tr>
      <w:tr>
        <w:trPr>
          <w:trHeight w:val="248"/>
        </w:trPr>
        <w:tc>
          <w:tcPr>
            <w:tcW w:w="580" w:type="dxa"/>
            <w:vAlign w:val="bottom"/>
            <w:tcBorders>
              <w:left w:val="single" w:sz="8" w:color="1F3C7B"/>
            </w:tcBorders>
            <w:shd w:val="clear" w:color="auto" w:fill="1F3C7B"/>
          </w:tcPr>
          <w:p>
            <w:pPr>
              <w:spacing w:after="0"/>
              <w:rPr>
                <w:sz w:val="21"/>
                <w:szCs w:val="21"/>
                <w:color w:val="auto"/>
              </w:rPr>
            </w:pPr>
          </w:p>
        </w:tc>
        <w:tc>
          <w:tcPr>
            <w:tcW w:w="3840" w:type="dxa"/>
            <w:vAlign w:val="bottom"/>
            <w:tcBorders>
              <w:right w:val="single" w:sz="8" w:color="000E5B"/>
            </w:tcBorders>
            <w:shd w:val="clear" w:color="auto" w:fill="1F3C7B"/>
          </w:tcPr>
          <w:p>
            <w:pPr>
              <w:ind w:left="520"/>
              <w:spacing w:after="0"/>
              <w:rPr>
                <w:sz w:val="20"/>
                <w:szCs w:val="20"/>
                <w:color w:val="auto"/>
              </w:rPr>
            </w:pPr>
            <w:r>
              <w:rPr>
                <w:rFonts w:ascii="Arial" w:cs="Arial" w:eastAsia="Arial" w:hAnsi="Arial"/>
                <w:sz w:val="18"/>
                <w:szCs w:val="18"/>
                <w:b w:val="1"/>
                <w:bCs w:val="1"/>
                <w:color w:val="FFFFFF"/>
              </w:rPr>
              <w:t>Named Executive Officer</w:t>
            </w:r>
          </w:p>
        </w:tc>
        <w:tc>
          <w:tcPr>
            <w:tcW w:w="144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3"/>
                <w:szCs w:val="13"/>
                <w:b w:val="1"/>
                <w:bCs w:val="1"/>
                <w:color w:val="FFFFFF"/>
              </w:rPr>
              <w:t>(1)</w:t>
            </w:r>
          </w:p>
        </w:tc>
        <w:tc>
          <w:tcPr>
            <w:tcW w:w="190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3"/>
                <w:szCs w:val="13"/>
                <w:b w:val="1"/>
                <w:bCs w:val="1"/>
                <w:color w:val="FFFFFF"/>
              </w:rPr>
              <w:t>(2)</w:t>
            </w:r>
          </w:p>
        </w:tc>
        <w:tc>
          <w:tcPr>
            <w:tcW w:w="1800" w:type="dxa"/>
            <w:vAlign w:val="bottom"/>
            <w:tcBorders>
              <w:right w:val="single" w:sz="8" w:color="1F3C7B"/>
            </w:tcBorders>
            <w:shd w:val="clear" w:color="auto" w:fill="1F3C7B"/>
          </w:tcPr>
          <w:p>
            <w:pPr>
              <w:jc w:val="center"/>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3"/>
                <w:szCs w:val="13"/>
                <w:b w:val="1"/>
                <w:bCs w:val="1"/>
                <w:color w:val="FFFFFF"/>
              </w:rPr>
              <w:t>(3)</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L. Reade Fahs</w:t>
            </w: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2,070,000</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8,871,212</w:t>
            </w: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4,435,606</w:t>
            </w:r>
          </w:p>
        </w:tc>
      </w:tr>
      <w:tr>
        <w:trPr>
          <w:trHeight w:val="230"/>
        </w:trPr>
        <w:tc>
          <w:tcPr>
            <w:tcW w:w="4420" w:type="dxa"/>
            <w:vAlign w:val="bottom"/>
            <w:tcBorders>
              <w:left w:val="single" w:sz="8" w:color="1F3C7B"/>
              <w:right w:val="single" w:sz="8" w:color="000E5B"/>
            </w:tcBorders>
            <w:gridSpan w:val="2"/>
            <w:shd w:val="clear" w:color="auto" w:fill="CCEEFF"/>
          </w:tcPr>
          <w:p>
            <w:pPr>
              <w:spacing w:after="0"/>
              <w:rPr>
                <w:sz w:val="19"/>
                <w:szCs w:val="19"/>
                <w:color w:val="auto"/>
              </w:rPr>
            </w:pP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Patrick R. Moore</w:t>
            </w:r>
          </w:p>
        </w:tc>
        <w:tc>
          <w:tcPr>
            <w:tcW w:w="1440" w:type="dxa"/>
            <w:vAlign w:val="bottom"/>
            <w:tcBorders>
              <w:right w:val="single" w:sz="8" w:color="000E5B"/>
            </w:tcBorders>
            <w:shd w:val="clear" w:color="auto" w:fill="C6C8CA"/>
          </w:tcPr>
          <w:p>
            <w:pPr>
              <w:spacing w:after="0"/>
              <w:rPr>
                <w:sz w:val="19"/>
                <w:szCs w:val="19"/>
                <w:color w:val="auto"/>
              </w:rPr>
            </w:pPr>
          </w:p>
        </w:tc>
        <w:tc>
          <w:tcPr>
            <w:tcW w:w="1900" w:type="dxa"/>
            <w:vAlign w:val="bottom"/>
            <w:tcBorders>
              <w:right w:val="single" w:sz="8" w:color="000E5B"/>
            </w:tcBorders>
            <w:shd w:val="clear" w:color="auto" w:fill="C6C8CA"/>
          </w:tcPr>
          <w:p>
            <w:pPr>
              <w:spacing w:after="0"/>
              <w:rPr>
                <w:sz w:val="19"/>
                <w:szCs w:val="19"/>
                <w:color w:val="auto"/>
              </w:rPr>
            </w:pPr>
          </w:p>
        </w:tc>
        <w:tc>
          <w:tcPr>
            <w:tcW w:w="1800" w:type="dxa"/>
            <w:vAlign w:val="bottom"/>
            <w:tcBorders>
              <w:right w:val="single" w:sz="8" w:color="1F3C7B"/>
            </w:tcBorders>
            <w:shd w:val="clear" w:color="auto" w:fill="C6C8CA"/>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920,000</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3,272,809</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1,349,677</w:t>
            </w:r>
          </w:p>
        </w:tc>
      </w:tr>
      <w:tr>
        <w:trPr>
          <w:trHeight w:val="230"/>
        </w:trPr>
        <w:tc>
          <w:tcPr>
            <w:tcW w:w="4420" w:type="dxa"/>
            <w:vAlign w:val="bottom"/>
            <w:tcBorders>
              <w:left w:val="single" w:sz="8" w:color="1F3C7B"/>
              <w:right w:val="single" w:sz="8" w:color="000E5B"/>
            </w:tcBorders>
            <w:gridSpan w:val="2"/>
            <w:shd w:val="clear" w:color="auto" w:fill="C6C8CA"/>
          </w:tcPr>
          <w:p>
            <w:pPr>
              <w:spacing w:after="0"/>
              <w:rPr>
                <w:sz w:val="19"/>
                <w:szCs w:val="19"/>
                <w:color w:val="auto"/>
              </w:rPr>
            </w:pPr>
          </w:p>
        </w:tc>
        <w:tc>
          <w:tcPr>
            <w:tcW w:w="1440" w:type="dxa"/>
            <w:vAlign w:val="bottom"/>
            <w:tcBorders>
              <w:right w:val="single" w:sz="8" w:color="000E5B"/>
            </w:tcBorders>
            <w:shd w:val="clear" w:color="auto" w:fill="C6C8CA"/>
          </w:tcPr>
          <w:p>
            <w:pPr>
              <w:spacing w:after="0"/>
              <w:rPr>
                <w:sz w:val="19"/>
                <w:szCs w:val="19"/>
                <w:color w:val="auto"/>
              </w:rPr>
            </w:pPr>
          </w:p>
        </w:tc>
        <w:tc>
          <w:tcPr>
            <w:tcW w:w="1900" w:type="dxa"/>
            <w:vAlign w:val="bottom"/>
            <w:tcBorders>
              <w:right w:val="single" w:sz="8" w:color="000E5B"/>
            </w:tcBorders>
            <w:shd w:val="clear" w:color="auto" w:fill="C6C8CA"/>
          </w:tcPr>
          <w:p>
            <w:pPr>
              <w:spacing w:after="0"/>
              <w:rPr>
                <w:sz w:val="19"/>
                <w:szCs w:val="19"/>
                <w:color w:val="auto"/>
              </w:rPr>
            </w:pPr>
          </w:p>
        </w:tc>
        <w:tc>
          <w:tcPr>
            <w:tcW w:w="1800" w:type="dxa"/>
            <w:vAlign w:val="bottom"/>
            <w:tcBorders>
              <w:right w:val="single" w:sz="8" w:color="1F3C7B"/>
            </w:tcBorders>
            <w:shd w:val="clear" w:color="auto" w:fill="C6C8CA"/>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1,293,675</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3,849</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3,604,334</w:t>
            </w: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720,867</w:t>
            </w:r>
          </w:p>
        </w:tc>
      </w:tr>
      <w:tr>
        <w:trPr>
          <w:trHeight w:val="230"/>
        </w:trPr>
        <w:tc>
          <w:tcPr>
            <w:tcW w:w="4420" w:type="dxa"/>
            <w:vAlign w:val="bottom"/>
            <w:tcBorders>
              <w:left w:val="single" w:sz="8" w:color="1F3C7B"/>
              <w:right w:val="single" w:sz="8" w:color="000E5B"/>
            </w:tcBorders>
            <w:gridSpan w:val="2"/>
            <w:shd w:val="clear" w:color="auto" w:fill="CCEEFF"/>
          </w:tcPr>
          <w:p>
            <w:pPr>
              <w:spacing w:after="0"/>
              <w:rPr>
                <w:sz w:val="19"/>
                <w:szCs w:val="19"/>
                <w:color w:val="auto"/>
              </w:rPr>
            </w:pP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Mitchell Goodman</w:t>
            </w:r>
          </w:p>
        </w:tc>
        <w:tc>
          <w:tcPr>
            <w:tcW w:w="1440" w:type="dxa"/>
            <w:vAlign w:val="bottom"/>
            <w:tcBorders>
              <w:right w:val="single" w:sz="8" w:color="000E5B"/>
            </w:tcBorders>
            <w:shd w:val="clear" w:color="auto" w:fill="C6C8CA"/>
          </w:tcPr>
          <w:p>
            <w:pPr>
              <w:spacing w:after="0"/>
              <w:rPr>
                <w:sz w:val="19"/>
                <w:szCs w:val="19"/>
                <w:color w:val="auto"/>
              </w:rPr>
            </w:pPr>
          </w:p>
        </w:tc>
        <w:tc>
          <w:tcPr>
            <w:tcW w:w="1900" w:type="dxa"/>
            <w:vAlign w:val="bottom"/>
            <w:tcBorders>
              <w:right w:val="single" w:sz="8" w:color="000E5B"/>
            </w:tcBorders>
            <w:shd w:val="clear" w:color="auto" w:fill="C6C8CA"/>
          </w:tcPr>
          <w:p>
            <w:pPr>
              <w:spacing w:after="0"/>
              <w:rPr>
                <w:sz w:val="19"/>
                <w:szCs w:val="19"/>
                <w:color w:val="auto"/>
              </w:rPr>
            </w:pPr>
          </w:p>
        </w:tc>
        <w:tc>
          <w:tcPr>
            <w:tcW w:w="1800" w:type="dxa"/>
            <w:vAlign w:val="bottom"/>
            <w:tcBorders>
              <w:right w:val="single" w:sz="8" w:color="1F3C7B"/>
            </w:tcBorders>
            <w:shd w:val="clear" w:color="auto" w:fill="C6C8CA"/>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805,000</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15,397</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2,069,926</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1,034,963</w:t>
            </w:r>
          </w:p>
        </w:tc>
      </w:tr>
      <w:tr>
        <w:trPr>
          <w:trHeight w:val="230"/>
        </w:trPr>
        <w:tc>
          <w:tcPr>
            <w:tcW w:w="4420" w:type="dxa"/>
            <w:vAlign w:val="bottom"/>
            <w:tcBorders>
              <w:left w:val="single" w:sz="8" w:color="1F3C7B"/>
              <w:right w:val="single" w:sz="8" w:color="000E5B"/>
            </w:tcBorders>
            <w:gridSpan w:val="2"/>
            <w:shd w:val="clear" w:color="auto" w:fill="C6C8CA"/>
          </w:tcPr>
          <w:p>
            <w:pPr>
              <w:spacing w:after="0"/>
              <w:rPr>
                <w:sz w:val="19"/>
                <w:szCs w:val="19"/>
                <w:color w:val="auto"/>
              </w:rPr>
            </w:pPr>
          </w:p>
        </w:tc>
        <w:tc>
          <w:tcPr>
            <w:tcW w:w="1440" w:type="dxa"/>
            <w:vAlign w:val="bottom"/>
            <w:tcBorders>
              <w:right w:val="single" w:sz="8" w:color="000E5B"/>
            </w:tcBorders>
            <w:shd w:val="clear" w:color="auto" w:fill="C6C8CA"/>
          </w:tcPr>
          <w:p>
            <w:pPr>
              <w:spacing w:after="0"/>
              <w:rPr>
                <w:sz w:val="19"/>
                <w:szCs w:val="19"/>
                <w:color w:val="auto"/>
              </w:rPr>
            </w:pPr>
          </w:p>
        </w:tc>
        <w:tc>
          <w:tcPr>
            <w:tcW w:w="1900" w:type="dxa"/>
            <w:vAlign w:val="bottom"/>
            <w:tcBorders>
              <w:right w:val="single" w:sz="8" w:color="000E5B"/>
            </w:tcBorders>
            <w:shd w:val="clear" w:color="auto" w:fill="C6C8CA"/>
          </w:tcPr>
          <w:p>
            <w:pPr>
              <w:spacing w:after="0"/>
              <w:rPr>
                <w:sz w:val="19"/>
                <w:szCs w:val="19"/>
                <w:color w:val="auto"/>
              </w:rPr>
            </w:pPr>
          </w:p>
        </w:tc>
        <w:tc>
          <w:tcPr>
            <w:tcW w:w="1800" w:type="dxa"/>
            <w:vAlign w:val="bottom"/>
            <w:tcBorders>
              <w:right w:val="single" w:sz="8" w:color="1F3C7B"/>
            </w:tcBorders>
            <w:shd w:val="clear" w:color="auto" w:fill="C6C8CA"/>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288,000</w:t>
            </w:r>
          </w:p>
        </w:tc>
        <w:tc>
          <w:tcPr>
            <w:tcW w:w="1900" w:type="dxa"/>
            <w:vAlign w:val="bottom"/>
            <w:tcBorders>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15,397</w:t>
            </w:r>
          </w:p>
        </w:tc>
        <w:tc>
          <w:tcPr>
            <w:tcW w:w="1800" w:type="dxa"/>
            <w:vAlign w:val="bottom"/>
            <w:tcBorders>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1"/>
              <w:spacing w:after="0"/>
              <w:rPr>
                <w:sz w:val="20"/>
                <w:szCs w:val="20"/>
                <w:color w:val="auto"/>
              </w:rPr>
            </w:pPr>
            <w:r>
              <w:rPr>
                <w:rFonts w:ascii="Arial" w:cs="Arial" w:eastAsia="Arial" w:hAnsi="Arial"/>
                <w:sz w:val="18"/>
                <w:szCs w:val="18"/>
                <w:color w:val="auto"/>
              </w:rPr>
              <w:t>975,838</w:t>
            </w:r>
          </w:p>
        </w:tc>
      </w:tr>
      <w:tr>
        <w:trPr>
          <w:trHeight w:val="230"/>
        </w:trPr>
        <w:tc>
          <w:tcPr>
            <w:tcW w:w="4420" w:type="dxa"/>
            <w:vAlign w:val="bottom"/>
            <w:tcBorders>
              <w:left w:val="single" w:sz="8" w:color="1F3C7B"/>
              <w:bottom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bottom w:val="single" w:sz="8" w:color="1F3C7B"/>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1F3C7B"/>
              <w:right w:val="single" w:sz="8" w:color="000E5B"/>
            </w:tcBorders>
            <w:shd w:val="clear" w:color="auto" w:fill="C6C8CA"/>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1F3C7B"/>
              <w:right w:val="single" w:sz="8" w:color="1F3C7B"/>
            </w:tcBorders>
            <w:shd w:val="clear" w:color="auto" w:fill="C6C8CA"/>
          </w:tcPr>
          <w:p>
            <w:pPr>
              <w:jc w:val="right"/>
              <w:ind w:right="31"/>
              <w:spacing w:after="0"/>
              <w:rPr>
                <w:sz w:val="20"/>
                <w:szCs w:val="20"/>
                <w:color w:val="auto"/>
              </w:rPr>
            </w:pPr>
            <w:r>
              <w:rPr>
                <w:rFonts w:ascii="Arial" w:cs="Arial" w:eastAsia="Arial" w:hAnsi="Arial"/>
                <w:sz w:val="18"/>
                <w:szCs w:val="18"/>
                <w:color w:val="auto"/>
              </w:rPr>
              <w:t>487,919</w:t>
            </w:r>
          </w:p>
        </w:tc>
      </w:tr>
      <w:tr>
        <w:trPr>
          <w:trHeight w:val="400"/>
        </w:trPr>
        <w:tc>
          <w:tcPr>
            <w:tcW w:w="580" w:type="dxa"/>
            <w:vAlign w:val="bottom"/>
          </w:tcPr>
          <w:p>
            <w:pPr>
              <w:spacing w:after="0"/>
              <w:rPr>
                <w:sz w:val="20"/>
                <w:szCs w:val="20"/>
                <w:color w:val="auto"/>
              </w:rPr>
            </w:pPr>
            <w:r>
              <w:rPr>
                <w:rFonts w:ascii="Arial" w:cs="Arial" w:eastAsia="Arial" w:hAnsi="Arial"/>
                <w:sz w:val="14"/>
                <w:szCs w:val="14"/>
                <w:color w:val="auto"/>
              </w:rPr>
              <w:t>36</w:t>
            </w:r>
          </w:p>
        </w:tc>
        <w:tc>
          <w:tcPr>
            <w:tcW w:w="3840" w:type="dxa"/>
            <w:vAlign w:val="bottom"/>
          </w:tcPr>
          <w:p>
            <w:pPr>
              <w:ind w:left="440"/>
              <w:spacing w:after="0"/>
              <w:rPr>
                <w:sz w:val="20"/>
                <w:szCs w:val="20"/>
                <w:color w:val="auto"/>
              </w:rPr>
            </w:pPr>
            <w:r>
              <w:rPr>
                <w:rFonts w:ascii="Arial" w:cs="Arial" w:eastAsia="Arial" w:hAnsi="Arial"/>
                <w:sz w:val="14"/>
                <w:szCs w:val="14"/>
                <w:color w:val="auto"/>
              </w:rPr>
              <w:t>2018 Proxy Statement</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1"/>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8"/>
        </w:trPr>
        <w:tc>
          <w:tcPr>
            <w:tcW w:w="580" w:type="dxa"/>
            <w:vAlign w:val="bottom"/>
            <w:tcBorders>
              <w:left w:val="single" w:sz="8" w:color="auto"/>
            </w:tcBorders>
            <w:shd w:val="clear" w:color="auto" w:fill="000000"/>
          </w:tcPr>
          <w:p>
            <w:pPr>
              <w:spacing w:after="0"/>
              <w:rPr>
                <w:sz w:val="5"/>
                <w:szCs w:val="5"/>
                <w:color w:val="auto"/>
              </w:rPr>
            </w:pPr>
          </w:p>
        </w:tc>
        <w:tc>
          <w:tcPr>
            <w:tcW w:w="3840" w:type="dxa"/>
            <w:vAlign w:val="bottom"/>
            <w:tcBorders>
              <w:right w:val="single" w:sz="8" w:color="auto"/>
            </w:tcBorders>
            <w:shd w:val="clear" w:color="auto" w:fill="000000"/>
          </w:tcPr>
          <w:p>
            <w:pPr>
              <w:spacing w:after="0"/>
              <w:rPr>
                <w:sz w:val="5"/>
                <w:szCs w:val="5"/>
                <w:color w:val="auto"/>
              </w:rPr>
            </w:pPr>
          </w:p>
        </w:tc>
        <w:tc>
          <w:tcPr>
            <w:tcW w:w="1440" w:type="dxa"/>
            <w:vAlign w:val="bottom"/>
            <w:tcBorders>
              <w:right w:val="single" w:sz="8" w:color="auto"/>
            </w:tcBorders>
            <w:shd w:val="clear" w:color="auto" w:fill="000000"/>
          </w:tcPr>
          <w:p>
            <w:pPr>
              <w:spacing w:after="0"/>
              <w:rPr>
                <w:sz w:val="5"/>
                <w:szCs w:val="5"/>
                <w:color w:val="auto"/>
              </w:rPr>
            </w:pPr>
          </w:p>
        </w:tc>
        <w:tc>
          <w:tcPr>
            <w:tcW w:w="1900" w:type="dxa"/>
            <w:vAlign w:val="bottom"/>
            <w:tcBorders>
              <w:right w:val="single" w:sz="8" w:color="auto"/>
            </w:tcBorders>
            <w:shd w:val="clear" w:color="auto" w:fill="000000"/>
          </w:tcPr>
          <w:p>
            <w:pPr>
              <w:spacing w:after="0"/>
              <w:rPr>
                <w:sz w:val="5"/>
                <w:szCs w:val="5"/>
                <w:color w:val="auto"/>
              </w:rPr>
            </w:pPr>
          </w:p>
        </w:tc>
        <w:tc>
          <w:tcPr>
            <w:tcW w:w="180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-4107180</wp:posOffset>
            </wp:positionV>
            <wp:extent cx="606298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-3815715</wp:posOffset>
            </wp:positionV>
            <wp:extent cx="606298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-3524250</wp:posOffset>
            </wp:positionV>
            <wp:extent cx="606298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-3232150</wp:posOffset>
            </wp:positionV>
            <wp:extent cx="606298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-2940685</wp:posOffset>
            </wp:positionV>
            <wp:extent cx="606298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-2649220</wp:posOffset>
            </wp:positionV>
            <wp:extent cx="606298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-2357755</wp:posOffset>
            </wp:positionV>
            <wp:extent cx="606298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-2066290</wp:posOffset>
            </wp:positionV>
            <wp:extent cx="60629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-1774825</wp:posOffset>
            </wp:positionV>
            <wp:extent cx="60629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-1482725</wp:posOffset>
            </wp:positionV>
            <wp:extent cx="60629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-1191260</wp:posOffset>
            </wp:positionV>
            <wp:extent cx="60629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-899795</wp:posOffset>
            </wp:positionV>
            <wp:extent cx="60629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-496570</wp:posOffset>
            </wp:positionV>
            <wp:extent cx="20574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ind w:left="7"/>
        <w:spacing w:after="0"/>
        <w:rPr>
          <w:sz w:val="20"/>
          <w:szCs w:val="20"/>
          <w:color w:val="auto"/>
        </w:rPr>
      </w:pPr>
      <w:r>
        <w:rPr>
          <w:rFonts w:ascii="Arial" w:cs="Arial" w:eastAsia="Arial" w:hAnsi="Arial"/>
          <w:sz w:val="32"/>
          <w:szCs w:val="32"/>
          <w:color w:val="auto"/>
        </w:rPr>
        <w:t>EXECUTIVE COMPENSATION</w:t>
      </w:r>
    </w:p>
    <w:p>
      <w:pPr>
        <w:spacing w:after="0" w:line="195"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1900" w:type="dxa"/>
            <w:vAlign w:val="bottom"/>
            <w:tcBorders>
              <w:left w:val="single" w:sz="8" w:color="1F3C7B"/>
            </w:tcBorders>
            <w:shd w:val="clear" w:color="auto" w:fill="1F3C7B"/>
          </w:tcPr>
          <w:p>
            <w:pPr>
              <w:spacing w:after="0"/>
              <w:rPr>
                <w:sz w:val="17"/>
                <w:szCs w:val="17"/>
                <w:color w:val="auto"/>
              </w:rPr>
            </w:pPr>
          </w:p>
        </w:tc>
        <w:tc>
          <w:tcPr>
            <w:tcW w:w="2520" w:type="dxa"/>
            <w:vAlign w:val="bottom"/>
            <w:tcBorders>
              <w:right w:val="single" w:sz="8" w:color="000E5B"/>
            </w:tcBorders>
            <w:shd w:val="clear" w:color="auto" w:fill="1F3C7B"/>
          </w:tcPr>
          <w:p>
            <w:pPr>
              <w:spacing w:after="0"/>
              <w:rPr>
                <w:sz w:val="17"/>
                <w:szCs w:val="17"/>
                <w:color w:val="auto"/>
              </w:rPr>
            </w:pPr>
          </w:p>
        </w:tc>
        <w:tc>
          <w:tcPr>
            <w:tcW w:w="1440" w:type="dxa"/>
            <w:vAlign w:val="bottom"/>
            <w:tcBorders>
              <w:right w:val="single" w:sz="8" w:color="000E5B"/>
            </w:tcBorders>
            <w:shd w:val="clear" w:color="auto" w:fill="1F3C7B"/>
          </w:tcPr>
          <w:p>
            <w:pPr>
              <w:spacing w:after="0"/>
              <w:rPr>
                <w:sz w:val="17"/>
                <w:szCs w:val="17"/>
                <w:color w:val="auto"/>
              </w:rPr>
            </w:pPr>
          </w:p>
        </w:tc>
        <w:tc>
          <w:tcPr>
            <w:tcW w:w="1900" w:type="dxa"/>
            <w:vAlign w:val="bottom"/>
            <w:tcBorders>
              <w:right w:val="single" w:sz="8" w:color="000E5B"/>
            </w:tcBorders>
            <w:shd w:val="clear" w:color="auto" w:fill="1F3C7B"/>
          </w:tcPr>
          <w:p>
            <w:pPr>
              <w:spacing w:after="0"/>
              <w:rPr>
                <w:sz w:val="17"/>
                <w:szCs w:val="17"/>
                <w:color w:val="auto"/>
              </w:rPr>
            </w:pPr>
          </w:p>
        </w:tc>
        <w:tc>
          <w:tcPr>
            <w:tcW w:w="180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7"/>
              </w:rPr>
              <w:t>Value of</w:t>
            </w:r>
          </w:p>
        </w:tc>
      </w:tr>
      <w:tr>
        <w:trPr>
          <w:trHeight w:val="203"/>
        </w:trPr>
        <w:tc>
          <w:tcPr>
            <w:tcW w:w="1900" w:type="dxa"/>
            <w:vAlign w:val="bottom"/>
            <w:tcBorders>
              <w:left w:val="single" w:sz="8" w:color="1F3C7B"/>
            </w:tcBorders>
            <w:shd w:val="clear" w:color="auto" w:fill="1F3C7B"/>
          </w:tcPr>
          <w:p>
            <w:pPr>
              <w:spacing w:after="0"/>
              <w:rPr>
                <w:sz w:val="17"/>
                <w:szCs w:val="17"/>
                <w:color w:val="auto"/>
              </w:rPr>
            </w:pPr>
          </w:p>
        </w:tc>
        <w:tc>
          <w:tcPr>
            <w:tcW w:w="2520" w:type="dxa"/>
            <w:vAlign w:val="bottom"/>
            <w:tcBorders>
              <w:right w:val="single" w:sz="8" w:color="000E5B"/>
            </w:tcBorders>
            <w:shd w:val="clear" w:color="auto" w:fill="1F3C7B"/>
          </w:tcPr>
          <w:p>
            <w:pPr>
              <w:spacing w:after="0"/>
              <w:rPr>
                <w:sz w:val="17"/>
                <w:szCs w:val="17"/>
                <w:color w:val="auto"/>
              </w:rPr>
            </w:pPr>
          </w:p>
        </w:tc>
        <w:tc>
          <w:tcPr>
            <w:tcW w:w="1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Severance</w:t>
            </w:r>
          </w:p>
        </w:tc>
        <w:tc>
          <w:tcPr>
            <w:tcW w:w="190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Continuation of</w:t>
            </w:r>
          </w:p>
        </w:tc>
        <w:tc>
          <w:tcPr>
            <w:tcW w:w="180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Accelerated</w:t>
            </w:r>
          </w:p>
        </w:tc>
      </w:tr>
      <w:tr>
        <w:trPr>
          <w:trHeight w:val="193"/>
        </w:trPr>
        <w:tc>
          <w:tcPr>
            <w:tcW w:w="1900" w:type="dxa"/>
            <w:vAlign w:val="bottom"/>
            <w:tcBorders>
              <w:left w:val="single" w:sz="8" w:color="1F3C7B"/>
            </w:tcBorders>
            <w:shd w:val="clear" w:color="auto" w:fill="1F3C7B"/>
          </w:tcPr>
          <w:p>
            <w:pPr>
              <w:spacing w:after="0"/>
              <w:rPr>
                <w:sz w:val="16"/>
                <w:szCs w:val="16"/>
                <w:color w:val="auto"/>
              </w:rPr>
            </w:pPr>
          </w:p>
        </w:tc>
        <w:tc>
          <w:tcPr>
            <w:tcW w:w="2520" w:type="dxa"/>
            <w:vAlign w:val="bottom"/>
            <w:tcBorders>
              <w:right w:val="single" w:sz="8" w:color="000E5B"/>
            </w:tcBorders>
            <w:shd w:val="clear" w:color="auto" w:fill="1F3C7B"/>
          </w:tcPr>
          <w:p>
            <w:pPr>
              <w:spacing w:after="0"/>
              <w:rPr>
                <w:sz w:val="16"/>
                <w:szCs w:val="16"/>
                <w:color w:val="auto"/>
              </w:rPr>
            </w:pPr>
          </w:p>
        </w:tc>
        <w:tc>
          <w:tcPr>
            <w:tcW w:w="144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8"/>
              </w:rPr>
              <w:t>Benefit</w:t>
            </w:r>
          </w:p>
        </w:tc>
        <w:tc>
          <w:tcPr>
            <w:tcW w:w="1900" w:type="dxa"/>
            <w:vAlign w:val="bottom"/>
            <w:tcBorders>
              <w:right w:val="single" w:sz="8" w:color="000E5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Health Benefits</w:t>
            </w:r>
          </w:p>
        </w:tc>
        <w:tc>
          <w:tcPr>
            <w:tcW w:w="1800" w:type="dxa"/>
            <w:vAlign w:val="bottom"/>
            <w:tcBorders>
              <w:right w:val="single" w:sz="8" w:color="1F3C7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9"/>
              </w:rPr>
              <w:t>Stock Options</w:t>
            </w:r>
          </w:p>
        </w:tc>
      </w:tr>
      <w:tr>
        <w:trPr>
          <w:trHeight w:val="248"/>
        </w:trPr>
        <w:tc>
          <w:tcPr>
            <w:tcW w:w="4420" w:type="dxa"/>
            <w:vAlign w:val="bottom"/>
            <w:tcBorders>
              <w:left w:val="single" w:sz="8" w:color="1F3C7B"/>
              <w:right w:val="single" w:sz="8" w:color="000E5B"/>
            </w:tcBorders>
            <w:gridSpan w:val="2"/>
            <w:shd w:val="clear" w:color="auto" w:fill="1F3C7B"/>
          </w:tcPr>
          <w:p>
            <w:pPr>
              <w:ind w:left="1100"/>
              <w:spacing w:after="0"/>
              <w:rPr>
                <w:sz w:val="20"/>
                <w:szCs w:val="20"/>
                <w:color w:val="auto"/>
              </w:rPr>
            </w:pPr>
            <w:r>
              <w:rPr>
                <w:rFonts w:ascii="Arial" w:cs="Arial" w:eastAsia="Arial" w:hAnsi="Arial"/>
                <w:sz w:val="18"/>
                <w:szCs w:val="18"/>
                <w:b w:val="1"/>
                <w:bCs w:val="1"/>
                <w:color w:val="FFFFFF"/>
              </w:rPr>
              <w:t>Named Executive Officer</w:t>
            </w:r>
          </w:p>
        </w:tc>
        <w:tc>
          <w:tcPr>
            <w:tcW w:w="144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(1)</w:t>
            </w:r>
          </w:p>
        </w:tc>
        <w:tc>
          <w:tcPr>
            <w:tcW w:w="1900" w:type="dxa"/>
            <w:vAlign w:val="bottom"/>
            <w:tcBorders>
              <w:right w:val="single" w:sz="8" w:color="000E5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(2)</w:t>
            </w:r>
          </w:p>
        </w:tc>
        <w:tc>
          <w:tcPr>
            <w:tcW w:w="1800" w:type="dxa"/>
            <w:vAlign w:val="bottom"/>
            <w:tcBorders>
              <w:right w:val="single" w:sz="8" w:color="1F3C7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1"/>
              </w:rPr>
              <w:t>($)</w:t>
            </w:r>
            <w:r>
              <w:rPr>
                <w:rFonts w:ascii="Arial" w:cs="Arial" w:eastAsia="Arial" w:hAnsi="Arial"/>
                <w:sz w:val="28"/>
                <w:szCs w:val="28"/>
                <w:b w:val="1"/>
                <w:bCs w:val="1"/>
                <w:color w:val="FFFFFF"/>
                <w:w w:val="91"/>
                <w:vertAlign w:val="superscript"/>
              </w:rPr>
              <w:t>(3)</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 Bruce Steffey</w:t>
            </w:r>
          </w:p>
        </w:tc>
        <w:tc>
          <w:tcPr>
            <w:tcW w:w="144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000E5B"/>
            </w:tcBorders>
            <w:shd w:val="clear" w:color="auto" w:fill="CCEEFF"/>
          </w:tcPr>
          <w:p>
            <w:pPr>
              <w:spacing w:after="0"/>
              <w:rPr>
                <w:sz w:val="19"/>
                <w:szCs w:val="19"/>
                <w:color w:val="auto"/>
              </w:rPr>
            </w:pPr>
          </w:p>
        </w:tc>
        <w:tc>
          <w:tcPr>
            <w:tcW w:w="1800" w:type="dxa"/>
            <w:vAlign w:val="bottom"/>
            <w:tcBorders>
              <w:right w:val="single" w:sz="8" w:color="1F3C7B"/>
            </w:tcBorders>
            <w:shd w:val="clear" w:color="auto" w:fill="CCEEFF"/>
          </w:tcPr>
          <w:p>
            <w:pPr>
              <w:spacing w:after="0"/>
              <w:rPr>
                <w:sz w:val="19"/>
                <w:szCs w:val="19"/>
                <w:color w:val="auto"/>
              </w:rPr>
            </w:pPr>
          </w:p>
        </w:tc>
      </w:tr>
      <w:tr>
        <w:trPr>
          <w:trHeight w:val="230"/>
        </w:trPr>
        <w:tc>
          <w:tcPr>
            <w:tcW w:w="442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Qualifying Termination of Employment</w:t>
            </w:r>
          </w:p>
        </w:tc>
        <w:tc>
          <w:tcPr>
            <w:tcW w:w="1440" w:type="dxa"/>
            <w:vAlign w:val="bottom"/>
            <w:tcBorders>
              <w:right w:val="single" w:sz="8" w:color="000E5B"/>
            </w:tcBorders>
            <w:shd w:val="clear" w:color="auto" w:fill="C6C8CA"/>
          </w:tcPr>
          <w:p>
            <w:pPr>
              <w:ind w:left="114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6C8CA"/>
          </w:tcPr>
          <w:p>
            <w:pPr>
              <w:ind w:left="16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Change in Control</w:t>
            </w:r>
          </w:p>
        </w:tc>
        <w:tc>
          <w:tcPr>
            <w:tcW w:w="1440" w:type="dxa"/>
            <w:vAlign w:val="bottom"/>
            <w:tcBorders>
              <w:right w:val="single" w:sz="8" w:color="000E5B"/>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000E5B"/>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4,435,588</w:t>
            </w:r>
          </w:p>
        </w:tc>
      </w:tr>
      <w:tr>
        <w:trPr>
          <w:trHeight w:val="230"/>
        </w:trPr>
        <w:tc>
          <w:tcPr>
            <w:tcW w:w="4420" w:type="dxa"/>
            <w:vAlign w:val="bottom"/>
            <w:tcBorders>
              <w:left w:val="single" w:sz="8" w:color="1F3C7B"/>
              <w:bottom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i w:val="1"/>
                <w:iCs w:val="1"/>
                <w:color w:val="auto"/>
              </w:rPr>
              <w:t>Termination Upon Death or Disability</w:t>
            </w:r>
          </w:p>
        </w:tc>
        <w:tc>
          <w:tcPr>
            <w:tcW w:w="1440" w:type="dxa"/>
            <w:vAlign w:val="bottom"/>
            <w:tcBorders>
              <w:bottom w:val="single" w:sz="8" w:color="1F3C7B"/>
              <w:right w:val="single" w:sz="8" w:color="000E5B"/>
            </w:tcBorders>
            <w:shd w:val="clear" w:color="auto" w:fill="C6C8CA"/>
          </w:tcPr>
          <w:p>
            <w:pPr>
              <w:ind w:left="11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1F3C7B"/>
              <w:right w:val="single" w:sz="8" w:color="000E5B"/>
            </w:tcBorders>
            <w:shd w:val="clear" w:color="auto" w:fill="C6C8CA"/>
          </w:tcPr>
          <w:p>
            <w:pPr>
              <w:ind w:left="16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1F3C7B"/>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2,217,794</w:t>
            </w:r>
          </w:p>
        </w:tc>
      </w:tr>
      <w:tr>
        <w:trPr>
          <w:trHeight w:val="169"/>
        </w:trPr>
        <w:tc>
          <w:tcPr>
            <w:tcW w:w="190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-711200</wp:posOffset>
            </wp:positionV>
            <wp:extent cx="60629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-419735</wp:posOffset>
            </wp:positionV>
            <wp:extent cx="606298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87" w:lineRule="exact"/>
        <w:rPr>
          <w:sz w:val="20"/>
          <w:szCs w:val="20"/>
          <w:color w:val="auto"/>
        </w:rPr>
      </w:pPr>
    </w:p>
    <w:p>
      <w:pPr>
        <w:ind w:left="347" w:right="120" w:hanging="347"/>
        <w:spacing w:after="0" w:line="300" w:lineRule="auto"/>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reported for Messrs. Fahs, Moore, McAllister, Goodman and Steffey represent 24 months of the executive’s annual base salary plus an amount equal to 30% of the executive’s annual base salary. Amount reported for Mr. Vaught represents 12 months of the executive’s annual base salary.</w:t>
      </w:r>
    </w:p>
    <w:p>
      <w:pPr>
        <w:spacing w:after="0" w:line="60" w:lineRule="exact"/>
        <w:rPr>
          <w:rFonts w:ascii="Arial" w:cs="Arial" w:eastAsia="Arial" w:hAnsi="Arial"/>
          <w:sz w:val="12"/>
          <w:szCs w:val="12"/>
          <w:color w:val="auto"/>
        </w:rPr>
      </w:pPr>
    </w:p>
    <w:p>
      <w:pPr>
        <w:ind w:left="347" w:right="20" w:hanging="347"/>
        <w:spacing w:after="0" w:line="231" w:lineRule="auto"/>
        <w:tabs>
          <w:tab w:leader="none" w:pos="3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COBRA continuation coverage for group health benefits for a period of 12 months following the date of termination.</w:t>
      </w:r>
    </w:p>
    <w:p>
      <w:pPr>
        <w:spacing w:after="0" w:line="95" w:lineRule="exact"/>
        <w:rPr>
          <w:rFonts w:ascii="Arial" w:cs="Arial" w:eastAsia="Arial" w:hAnsi="Arial"/>
          <w:sz w:val="14"/>
          <w:szCs w:val="14"/>
          <w:color w:val="auto"/>
        </w:rPr>
      </w:pPr>
    </w:p>
    <w:p>
      <w:pPr>
        <w:ind w:left="347" w:right="20" w:hanging="347"/>
        <w:spacing w:after="0" w:line="224" w:lineRule="auto"/>
        <w:tabs>
          <w:tab w:leader="none" w:pos="3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represent accelerated vesting of unvested options as described above under “Pre-IPO Options” and “2017 Post-IPO Options,” and are based on the closing price of our common stock of $40.61 per share on December 29, 2017, the last trading day in 2017. The amounts reported for Messrs. Fahs, Moore, Steffey, Goodman and Vaught reflect the “spread” value of $36.34 per share for the 2014 Options, representing the difference between the exercise price of $4.27 and the closing price on December 29, 2017. The amount reported for Mr. Moore also includes the difference between the exercise price of $22.00 per share for the 2017 Post-IPO Options and the closing price on December 29, 2017. The amount reported for Mr. Moore reflects the “spread” value of $18.61 per share representing the difference between the exercise price of $22.00 and the closing price on December 29, 2017. The amount reported for Mr. McAllister reflects the “spread” value of $24.87 per share for the McAllister 2017 Options, representing the difference between the exercise price of $15.74 and the closing price on December 29, 2017.</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left="7" w:right="140"/>
        <w:spacing w:after="0" w:line="271" w:lineRule="auto"/>
        <w:rPr>
          <w:sz w:val="20"/>
          <w:szCs w:val="20"/>
          <w:color w:val="auto"/>
        </w:rPr>
      </w:pPr>
      <w:r>
        <w:rPr>
          <w:rFonts w:ascii="Arial" w:cs="Arial" w:eastAsia="Arial" w:hAnsi="Arial"/>
          <w:sz w:val="17"/>
          <w:szCs w:val="17"/>
          <w:color w:val="auto"/>
        </w:rPr>
        <w:t>During fiscal 2017, our compensation committee was composed of Messrs. Taylor and Gernburd, neither of whom has at any time been one of our executive officers or employees. None of our executive officers served as a member of the compensation committee (or other committee serving an equivalent function) or a director of any other entity whose executive officers served on our compensation committee or board of directors. Messrs. Taylor and Gernburd are affiliates of KKR. We are parties to certain transactions with KKR described in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88900</wp:posOffset>
            </wp:positionV>
            <wp:extent cx="20574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192"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ind w:left="7"/>
        <w:spacing w:after="0"/>
        <w:rPr>
          <w:sz w:val="20"/>
          <w:szCs w:val="20"/>
          <w:color w:val="auto"/>
        </w:rPr>
      </w:pPr>
      <w:r>
        <w:rPr>
          <w:rFonts w:ascii="Arial" w:cs="Arial" w:eastAsia="Arial" w:hAnsi="Arial"/>
          <w:sz w:val="32"/>
          <w:szCs w:val="32"/>
          <w:color w:val="auto"/>
        </w:rPr>
        <w:t>EQUITY COMPENSATION PLAN INFORMATION</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8"/>
          <w:szCs w:val="18"/>
          <w:color w:val="auto"/>
        </w:rPr>
        <w:t>All numbers in the following table are as of December 30, 2017.</w:t>
      </w:r>
    </w:p>
    <w:p>
      <w:pPr>
        <w:spacing w:after="0" w:line="50"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spacing w:after="0"/>
              <w:rPr>
                <w:sz w:val="17"/>
                <w:szCs w:val="17"/>
                <w:color w:val="auto"/>
              </w:rPr>
            </w:pP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spacing w:after="0"/>
              <w:rPr>
                <w:sz w:val="17"/>
                <w:szCs w:val="17"/>
                <w:color w:val="auto"/>
              </w:rPr>
            </w:pPr>
          </w:p>
        </w:tc>
        <w:tc>
          <w:tcPr>
            <w:tcW w:w="244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Number of</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50"/>
              <w:spacing w:after="0" w:line="202" w:lineRule="exact"/>
              <w:rPr>
                <w:sz w:val="20"/>
                <w:szCs w:val="20"/>
                <w:color w:val="auto"/>
              </w:rPr>
            </w:pPr>
            <w:r>
              <w:rPr>
                <w:rFonts w:ascii="Arial" w:cs="Arial" w:eastAsia="Arial" w:hAnsi="Arial"/>
                <w:sz w:val="18"/>
                <w:szCs w:val="18"/>
                <w:b w:val="1"/>
                <w:bCs w:val="1"/>
                <w:color w:val="FFFFFF"/>
              </w:rPr>
              <w:t>Weighted-</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securities to be</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50"/>
              <w:spacing w:after="0" w:line="202" w:lineRule="exact"/>
              <w:rPr>
                <w:sz w:val="20"/>
                <w:szCs w:val="20"/>
                <w:color w:val="auto"/>
              </w:rPr>
            </w:pPr>
            <w:r>
              <w:rPr>
                <w:rFonts w:ascii="Arial" w:cs="Arial" w:eastAsia="Arial" w:hAnsi="Arial"/>
                <w:sz w:val="18"/>
                <w:szCs w:val="18"/>
                <w:b w:val="1"/>
                <w:bCs w:val="1"/>
                <w:color w:val="FFFFFF"/>
                <w:w w:val="99"/>
              </w:rPr>
              <w:t>average exercise</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future issuance under</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issued upon</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50"/>
              <w:spacing w:after="0" w:line="202" w:lineRule="exact"/>
              <w:rPr>
                <w:sz w:val="20"/>
                <w:szCs w:val="20"/>
                <w:color w:val="auto"/>
              </w:rPr>
            </w:pPr>
            <w:r>
              <w:rPr>
                <w:rFonts w:ascii="Arial" w:cs="Arial" w:eastAsia="Arial" w:hAnsi="Arial"/>
                <w:sz w:val="18"/>
                <w:szCs w:val="18"/>
                <w:b w:val="1"/>
                <w:bCs w:val="1"/>
                <w:color w:val="FFFFFF"/>
                <w:w w:val="98"/>
              </w:rPr>
              <w:t>price of</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8"/>
              </w:rPr>
              <w:t>equity</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exercise of</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50"/>
              <w:spacing w:after="0" w:line="202" w:lineRule="exact"/>
              <w:rPr>
                <w:sz w:val="20"/>
                <w:szCs w:val="20"/>
                <w:color w:val="auto"/>
              </w:rPr>
            </w:pPr>
            <w:r>
              <w:rPr>
                <w:rFonts w:ascii="Arial" w:cs="Arial" w:eastAsia="Arial" w:hAnsi="Arial"/>
                <w:sz w:val="18"/>
                <w:szCs w:val="18"/>
                <w:b w:val="1"/>
                <w:bCs w:val="1"/>
                <w:color w:val="FFFFFF"/>
              </w:rPr>
              <w:t>outstanding</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compensation plans</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 options,</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30"/>
              <w:spacing w:after="0" w:line="202" w:lineRule="exact"/>
              <w:rPr>
                <w:sz w:val="20"/>
                <w:szCs w:val="20"/>
                <w:color w:val="auto"/>
              </w:rPr>
            </w:pPr>
            <w:r>
              <w:rPr>
                <w:rFonts w:ascii="Arial" w:cs="Arial" w:eastAsia="Arial" w:hAnsi="Arial"/>
                <w:sz w:val="18"/>
                <w:szCs w:val="18"/>
                <w:b w:val="1"/>
                <w:bCs w:val="1"/>
                <w:color w:val="FFFFFF"/>
                <w:w w:val="99"/>
              </w:rPr>
              <w:t>options, warrants</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(excluding securities</w:t>
            </w: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1F3C7B"/>
          </w:tcPr>
          <w:p>
            <w:pPr>
              <w:spacing w:after="0"/>
              <w:rPr>
                <w:sz w:val="17"/>
                <w:szCs w:val="17"/>
                <w:color w:val="auto"/>
              </w:rPr>
            </w:pPr>
          </w:p>
        </w:tc>
        <w:tc>
          <w:tcPr>
            <w:tcW w:w="2440" w:type="dxa"/>
            <w:vAlign w:val="bottom"/>
            <w:tcBorders>
              <w:right w:val="single" w:sz="8" w:color="000E5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rPr>
              <w:t>warrants and rights</w:t>
            </w:r>
          </w:p>
        </w:tc>
        <w:tc>
          <w:tcPr>
            <w:tcW w:w="280" w:type="dxa"/>
            <w:vAlign w:val="bottom"/>
            <w:shd w:val="clear" w:color="auto" w:fill="1F3C7B"/>
          </w:tcPr>
          <w:p>
            <w:pPr>
              <w:spacing w:after="0"/>
              <w:rPr>
                <w:sz w:val="17"/>
                <w:szCs w:val="17"/>
                <w:color w:val="auto"/>
              </w:rPr>
            </w:pPr>
          </w:p>
        </w:tc>
        <w:tc>
          <w:tcPr>
            <w:tcW w:w="2100" w:type="dxa"/>
            <w:vAlign w:val="bottom"/>
            <w:tcBorders>
              <w:right w:val="single" w:sz="8" w:color="000E5B"/>
            </w:tcBorders>
            <w:shd w:val="clear" w:color="auto" w:fill="1F3C7B"/>
          </w:tcPr>
          <w:p>
            <w:pPr>
              <w:jc w:val="center"/>
              <w:ind w:right="250"/>
              <w:spacing w:after="0" w:line="202" w:lineRule="exact"/>
              <w:rPr>
                <w:sz w:val="20"/>
                <w:szCs w:val="20"/>
                <w:color w:val="auto"/>
              </w:rPr>
            </w:pPr>
            <w:r>
              <w:rPr>
                <w:rFonts w:ascii="Arial" w:cs="Arial" w:eastAsia="Arial" w:hAnsi="Arial"/>
                <w:sz w:val="18"/>
                <w:szCs w:val="18"/>
                <w:b w:val="1"/>
                <w:bCs w:val="1"/>
                <w:color w:val="FFFFFF"/>
              </w:rPr>
              <w:t>and rights</w:t>
            </w:r>
          </w:p>
        </w:tc>
        <w:tc>
          <w:tcPr>
            <w:tcW w:w="2440" w:type="dxa"/>
            <w:vAlign w:val="bottom"/>
            <w:tcBorders>
              <w:right w:val="single" w:sz="8" w:color="1F3C7B"/>
            </w:tcBorders>
            <w:shd w:val="clear" w:color="auto" w:fill="1F3C7B"/>
          </w:tcPr>
          <w:p>
            <w:pPr>
              <w:jc w:val="center"/>
              <w:spacing w:after="0" w:line="202"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239"/>
        </w:trPr>
        <w:tc>
          <w:tcPr>
            <w:tcW w:w="2300" w:type="dxa"/>
            <w:vAlign w:val="bottom"/>
            <w:tcBorders>
              <w:left w:val="single" w:sz="8" w:color="1F3C7B"/>
              <w:right w:val="single" w:sz="8" w:color="000E5B"/>
            </w:tcBorders>
            <w:shd w:val="clear" w:color="auto" w:fill="1F3C7B"/>
          </w:tcPr>
          <w:p>
            <w:pPr>
              <w:ind w:left="560"/>
              <w:spacing w:after="0"/>
              <w:rPr>
                <w:sz w:val="20"/>
                <w:szCs w:val="20"/>
                <w:color w:val="auto"/>
              </w:rPr>
            </w:pPr>
            <w:r>
              <w:rPr>
                <w:rFonts w:ascii="Arial" w:cs="Arial" w:eastAsia="Arial" w:hAnsi="Arial"/>
                <w:sz w:val="18"/>
                <w:szCs w:val="18"/>
                <w:b w:val="1"/>
                <w:bCs w:val="1"/>
                <w:color w:val="FFFFFF"/>
              </w:rPr>
              <w:t>Plan category</w:t>
            </w:r>
          </w:p>
        </w:tc>
        <w:tc>
          <w:tcPr>
            <w:tcW w:w="2440" w:type="dxa"/>
            <w:vAlign w:val="bottom"/>
            <w:tcBorders>
              <w:right w:val="single" w:sz="8" w:color="000E5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(a)</w:t>
            </w:r>
          </w:p>
        </w:tc>
        <w:tc>
          <w:tcPr>
            <w:tcW w:w="280" w:type="dxa"/>
            <w:vAlign w:val="bottom"/>
            <w:shd w:val="clear" w:color="auto" w:fill="1F3C7B"/>
          </w:tcPr>
          <w:p>
            <w:pPr>
              <w:spacing w:after="0"/>
              <w:rPr>
                <w:sz w:val="20"/>
                <w:szCs w:val="20"/>
                <w:color w:val="auto"/>
              </w:rPr>
            </w:pPr>
          </w:p>
        </w:tc>
        <w:tc>
          <w:tcPr>
            <w:tcW w:w="2100" w:type="dxa"/>
            <w:vAlign w:val="bottom"/>
            <w:tcBorders>
              <w:right w:val="single" w:sz="8" w:color="000E5B"/>
            </w:tcBorders>
            <w:shd w:val="clear" w:color="auto" w:fill="1F3C7B"/>
          </w:tcPr>
          <w:p>
            <w:pPr>
              <w:jc w:val="center"/>
              <w:ind w:right="250"/>
              <w:spacing w:after="0"/>
              <w:rPr>
                <w:sz w:val="20"/>
                <w:szCs w:val="20"/>
                <w:color w:val="auto"/>
              </w:rPr>
            </w:pPr>
            <w:r>
              <w:rPr>
                <w:rFonts w:ascii="Arial" w:cs="Arial" w:eastAsia="Arial" w:hAnsi="Arial"/>
                <w:sz w:val="18"/>
                <w:szCs w:val="18"/>
                <w:b w:val="1"/>
                <w:bCs w:val="1"/>
                <w:color w:val="FFFFFF"/>
              </w:rPr>
              <w:t>(b)</w:t>
            </w:r>
          </w:p>
        </w:tc>
        <w:tc>
          <w:tcPr>
            <w:tcW w:w="244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15"/>
        </w:trPr>
        <w:tc>
          <w:tcPr>
            <w:tcW w:w="2300" w:type="dxa"/>
            <w:vAlign w:val="bottom"/>
            <w:tcBorders>
              <w:left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w:t>
            </w:r>
          </w:p>
        </w:tc>
        <w:tc>
          <w:tcPr>
            <w:tcW w:w="2440" w:type="dxa"/>
            <w:vAlign w:val="bottom"/>
            <w:tcBorders>
              <w:right w:val="single" w:sz="8" w:color="000E5B"/>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tcBorders>
              <w:right w:val="single" w:sz="8" w:color="000E5B"/>
            </w:tcBorders>
            <w:shd w:val="clear" w:color="auto" w:fill="CCEEFF"/>
          </w:tcPr>
          <w:p>
            <w:pPr>
              <w:spacing w:after="0"/>
              <w:rPr>
                <w:sz w:val="18"/>
                <w:szCs w:val="18"/>
                <w:color w:val="auto"/>
              </w:rPr>
            </w:pPr>
          </w:p>
        </w:tc>
        <w:tc>
          <w:tcPr>
            <w:tcW w:w="2440" w:type="dxa"/>
            <w:vAlign w:val="bottom"/>
            <w:tcBorders>
              <w:right w:val="single" w:sz="8" w:color="1F3C7B"/>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approved by security</w:t>
            </w:r>
          </w:p>
        </w:tc>
        <w:tc>
          <w:tcPr>
            <w:tcW w:w="2440" w:type="dxa"/>
            <w:vAlign w:val="bottom"/>
            <w:tcBorders>
              <w:right w:val="single" w:sz="8" w:color="000E5B"/>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10,608,559</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17"/>
                <w:szCs w:val="17"/>
                <w:color w:val="auto"/>
              </w:rPr>
            </w:pPr>
          </w:p>
        </w:tc>
        <w:tc>
          <w:tcPr>
            <w:tcW w:w="2100" w:type="dxa"/>
            <w:vAlign w:val="bottom"/>
            <w:tcBorders>
              <w:right w:val="single" w:sz="8" w:color="000E5B"/>
            </w:tcBorders>
            <w:shd w:val="clear" w:color="auto" w:fill="CCEEFF"/>
          </w:tcPr>
          <w:p>
            <w:pPr>
              <w:spacing w:after="0"/>
              <w:rPr>
                <w:sz w:val="17"/>
                <w:szCs w:val="17"/>
                <w:color w:val="auto"/>
              </w:rPr>
            </w:pPr>
          </w:p>
        </w:tc>
        <w:tc>
          <w:tcPr>
            <w:tcW w:w="2440" w:type="dxa"/>
            <w:vAlign w:val="bottom"/>
            <w:tcBorders>
              <w:right w:val="single" w:sz="8" w:color="1F3C7B"/>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3,794,871</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7"/>
        </w:trPr>
        <w:tc>
          <w:tcPr>
            <w:tcW w:w="2300" w:type="dxa"/>
            <w:vAlign w:val="bottom"/>
            <w:tcBorders>
              <w:left w:val="single" w:sz="8" w:color="1F3C7B"/>
              <w:right w:val="single" w:sz="8" w:color="000E5B"/>
            </w:tcBorders>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2440" w:type="dxa"/>
            <w:vAlign w:val="bottom"/>
            <w:tcBorders>
              <w:right w:val="single" w:sz="8" w:color="000E5B"/>
            </w:tcBorders>
            <w:vMerge w:val="continue"/>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000E5B"/>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2440" w:type="dxa"/>
            <w:vAlign w:val="bottom"/>
            <w:tcBorders>
              <w:right w:val="single" w:sz="8" w:color="1F3C7B"/>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1F3C7B"/>
              <w:right w:val="single" w:sz="8" w:color="000E5B"/>
            </w:tcBorders>
            <w:shd w:val="clear" w:color="auto" w:fill="C6C8CA"/>
          </w:tcPr>
          <w:p>
            <w:pPr>
              <w:ind w:left="40"/>
              <w:spacing w:after="0"/>
              <w:rPr>
                <w:sz w:val="20"/>
                <w:szCs w:val="20"/>
                <w:color w:val="auto"/>
              </w:rPr>
            </w:pPr>
            <w:r>
              <w:rPr>
                <w:rFonts w:ascii="Arial" w:cs="Arial" w:eastAsia="Arial" w:hAnsi="Arial"/>
                <w:sz w:val="18"/>
                <w:szCs w:val="18"/>
                <w:color w:val="auto"/>
              </w:rPr>
              <w:t>Equity compensation plans</w:t>
            </w:r>
          </w:p>
        </w:tc>
        <w:tc>
          <w:tcPr>
            <w:tcW w:w="2440" w:type="dxa"/>
            <w:vAlign w:val="bottom"/>
            <w:tcBorders>
              <w:right w:val="single" w:sz="8" w:color="000E5B"/>
            </w:tcBorders>
            <w:shd w:val="clear" w:color="auto" w:fill="C6C8CA"/>
          </w:tcPr>
          <w:p>
            <w:pPr>
              <w:spacing w:after="0"/>
              <w:rPr>
                <w:sz w:val="18"/>
                <w:szCs w:val="18"/>
                <w:color w:val="auto"/>
              </w:rPr>
            </w:pPr>
          </w:p>
        </w:tc>
        <w:tc>
          <w:tcPr>
            <w:tcW w:w="280" w:type="dxa"/>
            <w:vAlign w:val="bottom"/>
            <w:shd w:val="clear" w:color="auto" w:fill="C6C8CA"/>
          </w:tcPr>
          <w:p>
            <w:pPr>
              <w:spacing w:after="0"/>
              <w:rPr>
                <w:sz w:val="18"/>
                <w:szCs w:val="18"/>
                <w:color w:val="auto"/>
              </w:rPr>
            </w:pPr>
          </w:p>
        </w:tc>
        <w:tc>
          <w:tcPr>
            <w:tcW w:w="2100" w:type="dxa"/>
            <w:vAlign w:val="bottom"/>
            <w:tcBorders>
              <w:right w:val="single" w:sz="8" w:color="000E5B"/>
            </w:tcBorders>
            <w:shd w:val="clear" w:color="auto" w:fill="C6C8CA"/>
          </w:tcPr>
          <w:p>
            <w:pPr>
              <w:spacing w:after="0"/>
              <w:rPr>
                <w:sz w:val="18"/>
                <w:szCs w:val="18"/>
                <w:color w:val="auto"/>
              </w:rPr>
            </w:pPr>
          </w:p>
        </w:tc>
        <w:tc>
          <w:tcPr>
            <w:tcW w:w="2440" w:type="dxa"/>
            <w:vAlign w:val="bottom"/>
            <w:tcBorders>
              <w:right w:val="single" w:sz="8" w:color="1F3C7B"/>
            </w:tcBorders>
            <w:shd w:val="clear" w:color="auto" w:fill="C6C8C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1F3C7B"/>
              <w:right w:val="single" w:sz="8" w:color="000E5B"/>
            </w:tcBorders>
            <w:shd w:val="clear" w:color="auto" w:fill="C6C8CA"/>
          </w:tcPr>
          <w:p>
            <w:pPr>
              <w:ind w:left="220"/>
              <w:spacing w:after="0" w:line="202" w:lineRule="exact"/>
              <w:rPr>
                <w:sz w:val="20"/>
                <w:szCs w:val="20"/>
                <w:color w:val="auto"/>
              </w:rPr>
            </w:pPr>
            <w:r>
              <w:rPr>
                <w:rFonts w:ascii="Arial" w:cs="Arial" w:eastAsia="Arial" w:hAnsi="Arial"/>
                <w:sz w:val="18"/>
                <w:szCs w:val="18"/>
                <w:color w:val="auto"/>
              </w:rPr>
              <w:t>not approved by security</w:t>
            </w:r>
          </w:p>
        </w:tc>
        <w:tc>
          <w:tcPr>
            <w:tcW w:w="2440" w:type="dxa"/>
            <w:vAlign w:val="bottom"/>
            <w:tcBorders>
              <w:right w:val="single" w:sz="8" w:color="000E5B"/>
            </w:tcBorders>
            <w:shd w:val="clear" w:color="auto" w:fill="C6C8CA"/>
          </w:tcPr>
          <w:p>
            <w:pPr>
              <w:spacing w:after="0"/>
              <w:rPr>
                <w:sz w:val="17"/>
                <w:szCs w:val="17"/>
                <w:color w:val="auto"/>
              </w:rPr>
            </w:pPr>
          </w:p>
        </w:tc>
        <w:tc>
          <w:tcPr>
            <w:tcW w:w="280" w:type="dxa"/>
            <w:vAlign w:val="bottom"/>
            <w:shd w:val="clear" w:color="auto" w:fill="C6C8CA"/>
          </w:tcPr>
          <w:p>
            <w:pPr>
              <w:spacing w:after="0"/>
              <w:rPr>
                <w:sz w:val="17"/>
                <w:szCs w:val="17"/>
                <w:color w:val="auto"/>
              </w:rPr>
            </w:pPr>
          </w:p>
        </w:tc>
        <w:tc>
          <w:tcPr>
            <w:tcW w:w="2100" w:type="dxa"/>
            <w:vAlign w:val="bottom"/>
            <w:tcBorders>
              <w:right w:val="single" w:sz="8" w:color="000E5B"/>
            </w:tcBorders>
            <w:shd w:val="clear" w:color="auto" w:fill="C6C8CA"/>
          </w:tcPr>
          <w:p>
            <w:pPr>
              <w:spacing w:after="0"/>
              <w:rPr>
                <w:sz w:val="17"/>
                <w:szCs w:val="17"/>
                <w:color w:val="auto"/>
              </w:rPr>
            </w:pPr>
          </w:p>
        </w:tc>
        <w:tc>
          <w:tcPr>
            <w:tcW w:w="2440" w:type="dxa"/>
            <w:vAlign w:val="bottom"/>
            <w:tcBorders>
              <w:right w:val="single" w:sz="8" w:color="1F3C7B"/>
            </w:tcBorders>
            <w:shd w:val="clear" w:color="auto" w:fill="C6C8CA"/>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00" w:type="dxa"/>
            <w:vAlign w:val="bottom"/>
            <w:tcBorders>
              <w:left w:val="single" w:sz="8" w:color="1F3C7B"/>
              <w:right w:val="single" w:sz="8" w:color="000E5B"/>
            </w:tcBorders>
            <w:shd w:val="clear" w:color="auto" w:fill="C6C8CA"/>
          </w:tcPr>
          <w:p>
            <w:pPr>
              <w:ind w:left="220"/>
              <w:spacing w:after="0"/>
              <w:rPr>
                <w:sz w:val="20"/>
                <w:szCs w:val="20"/>
                <w:color w:val="auto"/>
              </w:rPr>
            </w:pPr>
            <w:r>
              <w:rPr>
                <w:rFonts w:ascii="Arial" w:cs="Arial" w:eastAsia="Arial" w:hAnsi="Arial"/>
                <w:sz w:val="18"/>
                <w:szCs w:val="18"/>
                <w:color w:val="auto"/>
              </w:rPr>
              <w:t>holders</w:t>
            </w:r>
          </w:p>
        </w:tc>
        <w:tc>
          <w:tcPr>
            <w:tcW w:w="2440" w:type="dxa"/>
            <w:vAlign w:val="bottom"/>
            <w:tcBorders>
              <w:right w:val="single" w:sz="8" w:color="000E5B"/>
            </w:tcBorders>
            <w:shd w:val="clear" w:color="auto" w:fill="C6C8CA"/>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6C8CA"/>
          </w:tcPr>
          <w:p>
            <w:pPr>
              <w:spacing w:after="0"/>
              <w:rPr>
                <w:sz w:val="18"/>
                <w:szCs w:val="18"/>
                <w:color w:val="auto"/>
              </w:rPr>
            </w:pPr>
          </w:p>
        </w:tc>
        <w:tc>
          <w:tcPr>
            <w:tcW w:w="2100" w:type="dxa"/>
            <w:vAlign w:val="bottom"/>
            <w:tcBorders>
              <w:right w:val="single" w:sz="8" w:color="000E5B"/>
            </w:tcBorders>
            <w:shd w:val="clear" w:color="auto" w:fill="C6C8CA"/>
          </w:tcPr>
          <w:p>
            <w:pPr>
              <w:jc w:val="right"/>
              <w:ind w:right="50"/>
              <w:spacing w:after="0"/>
              <w:rPr>
                <w:sz w:val="20"/>
                <w:szCs w:val="20"/>
                <w:color w:val="auto"/>
              </w:rPr>
            </w:pPr>
            <w:r>
              <w:rPr>
                <w:rFonts w:ascii="Arial" w:cs="Arial" w:eastAsia="Arial" w:hAnsi="Arial"/>
                <w:sz w:val="18"/>
                <w:szCs w:val="18"/>
                <w:color w:val="auto"/>
              </w:rPr>
              <w:t>—</w:t>
            </w:r>
          </w:p>
        </w:tc>
        <w:tc>
          <w:tcPr>
            <w:tcW w:w="2440" w:type="dxa"/>
            <w:vAlign w:val="bottom"/>
            <w:tcBorders>
              <w:right w:val="single" w:sz="8" w:color="1F3C7B"/>
            </w:tcBorders>
            <w:shd w:val="clear" w:color="auto" w:fill="C6C8CA"/>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Borders>
              <w:left w:val="single" w:sz="8" w:color="1F3C7B"/>
              <w:bottom w:val="single" w:sz="8" w:color="1F3C7B"/>
              <w:right w:val="single" w:sz="8" w:color="000E5B"/>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1F3C7B"/>
              <w:right w:val="single" w:sz="8" w:color="000E5B"/>
            </w:tcBorders>
            <w:shd w:val="clear" w:color="auto" w:fill="CCEEFF"/>
          </w:tcPr>
          <w:p>
            <w:pPr>
              <w:jc w:val="right"/>
              <w:ind w:right="190"/>
              <w:spacing w:after="0"/>
              <w:rPr>
                <w:sz w:val="20"/>
                <w:szCs w:val="20"/>
                <w:color w:val="auto"/>
              </w:rPr>
            </w:pPr>
            <w:r>
              <w:rPr>
                <w:rFonts w:ascii="Arial" w:cs="Arial" w:eastAsia="Arial" w:hAnsi="Arial"/>
                <w:sz w:val="18"/>
                <w:szCs w:val="18"/>
                <w:color w:val="auto"/>
              </w:rPr>
              <w:t>10,608,559</w:t>
            </w:r>
          </w:p>
        </w:tc>
        <w:tc>
          <w:tcPr>
            <w:tcW w:w="280" w:type="dxa"/>
            <w:vAlign w:val="bottom"/>
            <w:tcBorders>
              <w:bottom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1F3C7B"/>
              <w:right w:val="single" w:sz="8" w:color="000E5B"/>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2440" w:type="dxa"/>
            <w:vAlign w:val="bottom"/>
            <w:tcBorders>
              <w:bottom w:val="single" w:sz="8" w:color="1F3C7B"/>
              <w:right w:val="single" w:sz="8" w:color="1F3C7B"/>
            </w:tcBorders>
            <w:shd w:val="clear" w:color="auto" w:fill="CCEEFF"/>
          </w:tcPr>
          <w:p>
            <w:pPr>
              <w:jc w:val="right"/>
              <w:ind w:right="190"/>
              <w:spacing w:after="0"/>
              <w:rPr>
                <w:sz w:val="20"/>
                <w:szCs w:val="20"/>
                <w:color w:val="auto"/>
              </w:rPr>
            </w:pPr>
            <w:r>
              <w:rPr>
                <w:rFonts w:ascii="Arial" w:cs="Arial" w:eastAsia="Arial" w:hAnsi="Arial"/>
                <w:sz w:val="18"/>
                <w:szCs w:val="18"/>
                <w:color w:val="auto"/>
              </w:rPr>
              <w:t>3,794,871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-960120</wp:posOffset>
            </wp:positionV>
            <wp:extent cx="6062980" cy="403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62980" cy="4032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606298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12090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0" w:lineRule="exact"/>
        <w:rPr>
          <w:sz w:val="20"/>
          <w:szCs w:val="20"/>
          <w:color w:val="auto"/>
        </w:rPr>
      </w:pPr>
    </w:p>
    <w:p>
      <w:pPr>
        <w:ind w:left="347" w:right="280" w:hanging="347"/>
        <w:spacing w:after="0" w:line="226" w:lineRule="auto"/>
        <w:tabs>
          <w:tab w:leader="none" w:pos="3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169,049 shares issuable pursuant to outstanding options under the 2013 Stock Incentive Plan. The weighted-average exercise price of such options is $1.66. Includes 10,347,067 shares issuable pursuant to outstanding options under the 2014 Stock Incentive Plan. The weighted-average exercise price of such options is $6.49. Includes 92,443 shares issuable pursuant to outstanding options under the 2017 Omnibus Incentive Plan. The weighted-average exercise price of such options is $22.00.</w:t>
      </w:r>
    </w:p>
    <w:p>
      <w:pPr>
        <w:spacing w:after="0" w:line="95" w:lineRule="exact"/>
        <w:rPr>
          <w:rFonts w:ascii="Arial" w:cs="Arial" w:eastAsia="Arial" w:hAnsi="Arial"/>
          <w:sz w:val="14"/>
          <w:szCs w:val="14"/>
          <w:color w:val="auto"/>
        </w:rPr>
      </w:pPr>
    </w:p>
    <w:p>
      <w:pPr>
        <w:ind w:left="347" w:right="260" w:hanging="347"/>
        <w:spacing w:after="0" w:line="231" w:lineRule="auto"/>
        <w:tabs>
          <w:tab w:leader="none" w:pos="3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69,452 shares that can be issued pursuant to future awards under the 2014 Stock Incentive Plan. Also includes 3,725,419 shares that can be issued pursuant to future awards under the 2017 Omnibus Incentive Plan.</w:t>
      </w:r>
    </w:p>
    <w:p>
      <w:pPr>
        <w:spacing w:after="0" w:line="194" w:lineRule="exact"/>
        <w:rPr>
          <w:sz w:val="20"/>
          <w:szCs w:val="20"/>
          <w:color w:val="auto"/>
        </w:rPr>
      </w:pPr>
    </w:p>
    <w:p>
      <w:pPr>
        <w:ind w:left="7" w:right="1200"/>
        <w:spacing w:after="0" w:line="237" w:lineRule="auto"/>
        <w:rPr>
          <w:sz w:val="20"/>
          <w:szCs w:val="20"/>
          <w:color w:val="auto"/>
        </w:rPr>
      </w:pPr>
      <w:r>
        <w:rPr>
          <w:rFonts w:ascii="Arial" w:cs="Arial" w:eastAsia="Arial" w:hAnsi="Arial"/>
          <w:sz w:val="32"/>
          <w:szCs w:val="32"/>
          <w:color w:val="auto"/>
        </w:rPr>
        <w:t>SECTION 16(a) BENEFICIAL OWNERSHIP REPORTING COMPLIANCE</w:t>
      </w:r>
    </w:p>
    <w:p>
      <w:pPr>
        <w:spacing w:after="0" w:line="65" w:lineRule="exact"/>
        <w:rPr>
          <w:sz w:val="20"/>
          <w:szCs w:val="20"/>
          <w:color w:val="auto"/>
        </w:rPr>
      </w:pPr>
    </w:p>
    <w:p>
      <w:pPr>
        <w:ind w:left="7" w:right="180"/>
        <w:spacing w:after="0" w:line="253"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2017 all reports required by Section 16(a) were timely filed.</w:t>
      </w:r>
    </w:p>
    <w:p>
      <w:pPr>
        <w:spacing w:after="0" w:line="123"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38</w:t>
      </w:r>
      <w:r>
        <w:rPr>
          <w:sz w:val="20"/>
          <w:szCs w:val="20"/>
          <w:color w:val="auto"/>
        </w:rPr>
        <w:tab/>
      </w:r>
      <w:r>
        <w:rPr>
          <w:sz w:val="1"/>
          <w:szCs w:val="1"/>
          <w:color w:val="auto"/>
        </w:rPr>
        <w:drawing>
          <wp:inline distT="0" distB="0" distL="0" distR="0">
            <wp:extent cx="205740" cy="16319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0"/>
          <w:szCs w:val="20"/>
          <w:color w:val="auto"/>
        </w:rPr>
      </w:pPr>
    </w:p>
    <w:p>
      <w:pPr>
        <w:ind w:right="280"/>
        <w:spacing w:after="0" w:line="242" w:lineRule="auto"/>
        <w:rPr>
          <w:sz w:val="20"/>
          <w:szCs w:val="20"/>
          <w:color w:val="auto"/>
        </w:rPr>
      </w:pPr>
      <w:r>
        <w:rPr>
          <w:rFonts w:ascii="Arial" w:cs="Arial" w:eastAsia="Arial" w:hAnsi="Arial"/>
          <w:sz w:val="32"/>
          <w:szCs w:val="32"/>
          <w:color w:val="auto"/>
        </w:rPr>
        <w:t>PROPOSAL NO. 5—APPROVAL OF NATIONAL VISION HOLDINGS, INC. 2018 ASSOCIATE STOCK PURCHASE PLAN</w:t>
      </w:r>
    </w:p>
    <w:p>
      <w:pPr>
        <w:spacing w:after="0" w:line="7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stockholders are being asked to approve the adoption of the Associate Stock Purchase Plan, which would have a maximum of 850,000 shares of our common stock available for issuance. On April 16, 2018, our Board of Directors approved the adoption of the National Vision Holdings, Inc. 2018 Associate Stock Purchase Plan (the “Associate Stock Purchase Plan”), subject to stockholder approval at the Annual Meeting. The purpose of the Associate Stock Purchase Plan is to encourage employee stock ownership, thus aligning employee interests with those of stockholders, and to enhance the ability of the Company to attract, motivate and retain qualified associates. We believe that the Associate Stock Purchase Plan offers a convenient means for our associates who might not otherwise own our Common Stock to purchase and hold shares.</w:t>
      </w:r>
    </w:p>
    <w:p>
      <w:pPr>
        <w:spacing w:after="0" w:line="7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 xml:space="preserve">A copy of the Associate Stock Purchase Plan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summary of the material features of the Associate Stock Purchase Plan set forth below is qualified in its entirety by reference to the complete text of the Associate Stock Purchase Plan.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71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 xml:space="preserve">We are seeking stockholder approval to qualify the Associate Stock Purchase Plan as an “employee stock purchase plan” under Section 423 of the Internal Revenue Code (the “Code”) and the related regulations. Approval of the Associate Stock Purchase Plan requires the affirmative vote of a majority of the votes cast by the holders of Common Stock entitled to vote on the proposal. Abstentions and broker non-votes will not be deemed votes cast in determining approval of this proposal and will not have the effect of a vote for or against the proposal. </w:t>
      </w:r>
      <w:r>
        <w:rPr>
          <w:rFonts w:ascii="Arial" w:cs="Arial" w:eastAsia="Arial" w:hAnsi="Arial"/>
          <w:sz w:val="17"/>
          <w:szCs w:val="17"/>
          <w:b w:val="1"/>
          <w:bCs w:val="1"/>
          <w:color w:val="auto"/>
        </w:rPr>
        <w:t>The Board of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recommends a vote FOR approval of the National Vision Holdings, Inc. 2018 Associate Stock Purchase Plan.</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Shares Subject to the Associate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Associate Stock Purchase Plan covers an aggregate of 850,000 shares of our Common Stock. If any purchase right under the Associate Stock Purchase Plan terminates, is cancelled or expires without having been exercised in full, the underlying shares that were not purchased will again be available under the Associate Stock Purchase Plan. To prevent dilution or enlargement of the rights of participants under the Associate Stock Purchase Plan, appropriate adjustments will be made if any change is made to our outstanding Common Stock by reason of any merger, reorganization, consolidation, recapitalization, dividend or distribution, stock split, reverse stock split, spin-off or similar transaction or other change in corporate structure affecting our Common Stock or its value. The closing price of a share of Common Stock on NASDAQ on April 17, 2018 was $32.41.</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Associate Stock Purchase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defined in the Associate Stock Purchase Plan, all associates, or employees, of the Company and its subsidiaries, including officers and directors who are employees, are eligible to participate in the Associate Stock Purchase Plan, unless after the grant of purchase rights under the Associate Stock Purchase Plan, the associate would own Common Stock exceeding 5% of the total combined voting power or value of all outstanding capital stock of the Company (as calculated under the attribution rules in the Code). Members of the Board of Directors who are not employed as regular salaried officers or employees of the Company may not participate in the Associate Stock Purchase Plan. Participation in the Associate Stock Purchase Plan is voluntary and is dependent upon each eligible associate’s election to participate and his or her determination, subject to the Associate Stock Purchase Plan’s provisions, as to the desired level of participation. As of December 30, 2017 approximately 10,000 of our associates would have been eligible to participate in the Associate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100965</wp:posOffset>
            </wp:positionV>
            <wp:extent cx="20574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240"/>
        <w:spacing w:after="0" w:line="232" w:lineRule="auto"/>
        <w:rPr>
          <w:sz w:val="20"/>
          <w:szCs w:val="20"/>
          <w:color w:val="auto"/>
        </w:rPr>
      </w:pPr>
      <w:r>
        <w:rPr>
          <w:rFonts w:ascii="Arial" w:cs="Arial" w:eastAsia="Arial" w:hAnsi="Arial"/>
          <w:sz w:val="32"/>
          <w:szCs w:val="32"/>
          <w:color w:val="auto"/>
        </w:rPr>
        <w:t>PROPOSAL NO. 5—APPROVAL OF NATIONAL VISION HOLDINGS, INC. 2018 ASSOCIATE STOCK PURCHASE PLAN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Purchases Under the Associate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071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Associate Stock Purchase Plan is administered by the Compensation Committee, which has broad power to make determinations under the Associate Stock Purchase Plan, to interpret the terms of the Associate Stock Purchase Plan and to establish rules and regulations for its administration. The Compensation Committee determines whether offers will be made and the beginning and ending dates of the related purchase periods. A Purchase Period shall be three (3) months, or such other term as the Compensation Committee shall determine, but which in no event shall exceed twenty-seven (27) months. The Compensation Committee determines the purchase price at which shares may be purchased by participants, which will not be less than the lesser of 85% of the fair market value per share of the Common Stock on the first day of the purchase period or 85% of the fair market value per share on the last day of the purchase period. Such design, along with other factors, will permit the Associate Stock Purchase Plan to be within the “safe harbor” created for employee stock purchase plans in ASC 718 and will not require an accounting charge for the discount provided on purchases under the Associate Stock Purchase Plan. We anticipate initiating the Associate Stock Purchase Plan with three (3) months purchase periods, end of quarter purchase dates and a 10% discount from the closing price on the last day of the purchase period. The Compensation Committee may, however, modify at its discretion the discount, purchase period, purchase date and other aspects of the Associate Stock Purchase Plan design within the Associate Stock Purchase Plan parameters from time to time.</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Prior to the first day of each purchase period, each participant will make an irrevocable election to participate during the purchase period. At the end of the purchase period, the participant will receive a number of shares, determined on the last day of the purchase period, equal to the payroll deductions credited during the purchase period divided by the fair market value of a share at the last day of the purchase period less the applicable discount. However, the number of shares purchased in a purchase period may in no event exceed 5,000 shares. A participant may not purchase shares with a fair market value greater than $25,000 under the Associate Stock Purchase Plan in any calendar year.</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Participants may purchase shares only by submitting an election form during the election period established by the Compensation Committee prior to the beginning of each purchase period, stating the participant’s election to have after-tax payroll deductions made for the purpose of participating in the Associate Stock Purchase Plan. After initial enrollment in the Associate Stock Purchase Plan, payroll deductions will continue from purchase period to purchase period unless the participant makes another election to terminate his or her payroll deductions, terminates his or her employment with the Company or becomes ineligible to participate in the Associate Stock Purchase Plan. The amounts deducted will be credited to the participant’s account under the Associate Stock Purchase Plan until the purchase date, but we will not pay any interest on the deducted amounts.</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If sufficient shares are not available in any purchase period under the Associate Stock Purchase Plan, the available shares will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participants in that purchase period in the same proportion that their base compensation bears to the total of the base compensations of all participants for that purchase period. Any amounts not applied to the purchase of Common Stock will be refunded to the participants after the end of the purchase period without interest.</w:t>
      </w:r>
    </w:p>
    <w:p>
      <w:pPr>
        <w:spacing w:after="0" w:line="97"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If a participant ceases to be one of our employees for any reason, the Company will issue a check to the former employee or his or her estate, within a reasonable time after termination, in the amount of all payroll deductions collected from the participant and not used to purchase shares as of the termination date.</w:t>
      </w:r>
    </w:p>
    <w:p>
      <w:pPr>
        <w:spacing w:after="0" w:line="121"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205740" cy="1543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280"/>
        <w:spacing w:after="0" w:line="232" w:lineRule="auto"/>
        <w:rPr>
          <w:sz w:val="20"/>
          <w:szCs w:val="20"/>
          <w:color w:val="auto"/>
        </w:rPr>
      </w:pPr>
      <w:r>
        <w:rPr>
          <w:rFonts w:ascii="Arial" w:cs="Arial" w:eastAsia="Arial" w:hAnsi="Arial"/>
          <w:sz w:val="32"/>
          <w:szCs w:val="32"/>
          <w:color w:val="auto"/>
        </w:rPr>
        <w:t>PROPOSAL NO. 5—APPROVAL OF NATIONAL VISION HOLDINGS, INC. 2018 ASSOCIATE STOCK PURCHASE PLAN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Restriction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071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right to acquire shares under the Associate Stock Purchase Plan is not transferable.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Amendment of the Associate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Board of Directors may terminate the Associate Stock Purchase Plan at any time. No purchase period may begin after May 31, 2028. The Board may amend the Associate Stock Purchase Plan at any time, but no amendment may disqualify the Associate Stock Purchase Plan under Section 423 of the Code or Rule 16b-3 under the Securities Exchange Act of 1934, as amended, without shareholder approval. No amendment or termination will adversely affect any right to purchase shares that has been granted under the Associate Stock Purchase Plan without the consent of the participant.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71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is a general summary of the material United States federal income tax consequences to the Company and to participants in the Associate Stock Purchase Plan based on the Code as currently in effect. This summary is necessarily general in nature, does not address employment taxes, estate or gift taxes, or foreign, state or local tax consequences, and is not complete.</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Associate Stock Purchase Plan is intended to be an “employee stock purchase plan” as defined in Section 423 of the Code, under which neither the grant nor the exercise of rights to acquire Common Stock under the Associate Stock Purchase Plan is taxable to the participant or gives rise to a deduction for the Company. Amounts deducted from a participant’s compensation to purchase shares under the Associate Stock Purchase Plan are taxable to the participant in the year in which the amounts would otherwise have been received.</w:t>
      </w:r>
    </w:p>
    <w:p>
      <w:pPr>
        <w:spacing w:after="0" w:line="9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If a participant sells the shares acquired under the Associate Stock Purchase Plan more than two years after the beginning of the applicable purchase period and one year from the purchase date, the participant will recognize as ordinary income the lesser of the amount by which the fair market value of the shares when purchased exceeds the purchase price (i.e., the discount below fair market value) or the amount, if any, by which the fair market value of the shares at the time of the sale exceeds the purchase price. The participant’s tax basis in the purchased shares will increase by the amount recognized as ordinary income and any further gain recognized on the sale will be treated as capital gain. The Company will not be entitled to a deduction with respect to that sale.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the participant sells the shares acquired under the Associate Stock Purchase Plan within two years after the beginning of the applicable purchase period or within one year of the purchase date, the participant will recognize ordinary income in the year of the sale, the amount of which generally will be the excess of the fair market value of the shares on the date the shares were purchased (i.e., the end of the applicable purchase period) over the purchase price for those shares. The participant’s tax basis will increase by the amount recognized as ordinary income and any further gain or loss realized upon the sale will be capital gain or loss. In general, the Company will be entitled to a tax deduction at the time of the sale in an amount equal to the ordinary income recognized by the participant. However, if the participant is one of our most highly compensated employees for purposes of Section 162(m) of the Code in the year of sale, a deduction may not be available to us to the extent the participant’s total ordinary income during that year exceeds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100965</wp:posOffset>
            </wp:positionV>
            <wp:extent cx="20574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right="160"/>
        <w:spacing w:after="0" w:line="232" w:lineRule="auto"/>
        <w:rPr>
          <w:sz w:val="20"/>
          <w:szCs w:val="20"/>
          <w:color w:val="auto"/>
        </w:rPr>
      </w:pPr>
      <w:r>
        <w:rPr>
          <w:rFonts w:ascii="Arial" w:cs="Arial" w:eastAsia="Arial" w:hAnsi="Arial"/>
          <w:sz w:val="32"/>
          <w:szCs w:val="32"/>
          <w:color w:val="auto"/>
        </w:rPr>
        <w:t>PROPOSAL NO. 5—APPROVAL OF NATIONAL VISION HOLDINGS, INC. 2018 ASSOCIATE STOCK PURCHASE PLAN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New Associate Stock Purchase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071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participation in the Associate Stock Purchase Plan is subject to the discretion of our associates, the number of purchase periods is subject to the discretion of the Compensation Committee, and the purchase prices of shares under the Associate Stock Purchase Plan depend on the fair market value of our common stock at various dates, the benefits to be received by participants are not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071870" cy="291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291465"/>
                    </a:xfrm>
                    <a:prstGeom prst="rect">
                      <a:avLst/>
                    </a:prstGeom>
                    <a:noFill/>
                  </pic:spPr>
                </pic:pic>
              </a:graphicData>
            </a:graphic>
          </wp:anchor>
        </w:drawing>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1F3C7B"/>
        </w:rPr>
        <w:t>YOUR BOARD OF DIRECTORS RECOMMENDS THAT YOU VOTE “FOR” THE APPROVAL OF THE NATIONAL</w:t>
      </w:r>
    </w:p>
    <w:p>
      <w:pPr>
        <w:spacing w:after="0" w:line="29"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1F3C7B"/>
        </w:rPr>
        <w:t>VISION HOLDINGS, INC. 2018 ASSOCIATE STOCK PURCHASE PLAN.</w:t>
      </w:r>
    </w:p>
    <w:p>
      <w:pPr>
        <w:spacing w:after="0" w:line="157"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205740" cy="1543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45" w:name="page46"/>
    <w:bookmarkEnd w:id="4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
        <w:spacing w:after="0"/>
        <w:rPr>
          <w:sz w:val="20"/>
          <w:szCs w:val="20"/>
          <w:color w:val="auto"/>
        </w:rPr>
      </w:pPr>
      <w:r>
        <w:rPr>
          <w:rFonts w:ascii="Arial" w:cs="Arial" w:eastAsia="Arial" w:hAnsi="Arial"/>
          <w:sz w:val="32"/>
          <w:szCs w:val="32"/>
          <w:color w:val="auto"/>
        </w:rPr>
        <w:t>OWNERSHIP OF SECURITIES</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F3C7B"/>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071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left="7"/>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17, 2018 by (1) each individual or entity known by us to beneficially own more than 5% of our outstanding common stock, (2) each of our named executive officers, (3) each of our directors and (4) all of our directors and our executive officers as a group. As of April 17, 2018, there were 75,160,759 shares of our common stock, par value $0.01 per share, outstanding.</w:t>
      </w:r>
    </w:p>
    <w:p>
      <w:pPr>
        <w:spacing w:after="0" w:line="97" w:lineRule="exact"/>
        <w:rPr>
          <w:sz w:val="20"/>
          <w:szCs w:val="20"/>
          <w:color w:val="auto"/>
        </w:rPr>
      </w:pPr>
    </w:p>
    <w:p>
      <w:pPr>
        <w:ind w:left="7" w:right="120"/>
        <w:spacing w:after="0" w:line="256"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94" w:lineRule="exact"/>
        <w:rPr>
          <w:sz w:val="20"/>
          <w:szCs w:val="20"/>
          <w:color w:val="auto"/>
        </w:rPr>
      </w:pPr>
    </w:p>
    <w:p>
      <w:pPr>
        <w:jc w:val="both"/>
        <w:ind w:left="7" w:right="220"/>
        <w:spacing w:after="0" w:line="256"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94" w:lineRule="exact"/>
        <w:rPr>
          <w:sz w:val="20"/>
          <w:szCs w:val="20"/>
          <w:color w:val="auto"/>
        </w:rPr>
      </w:pPr>
    </w:p>
    <w:p>
      <w:pPr>
        <w:ind w:left="7" w:right="260"/>
        <w:spacing w:after="0" w:line="256"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94" w:lineRule="exact"/>
        <w:rPr>
          <w:sz w:val="20"/>
          <w:szCs w:val="20"/>
          <w:color w:val="auto"/>
        </w:rPr>
      </w:pPr>
    </w:p>
    <w:p>
      <w:pPr>
        <w:ind w:left="7" w:right="640"/>
        <w:spacing w:after="0" w:line="262"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35"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1900" w:type="dxa"/>
            <w:vAlign w:val="bottom"/>
            <w:tcBorders>
              <w:left w:val="single" w:sz="8" w:color="1F3C7B"/>
            </w:tcBorders>
            <w:shd w:val="clear" w:color="auto" w:fill="1F3C7B"/>
          </w:tcPr>
          <w:p>
            <w:pPr>
              <w:spacing w:after="0"/>
              <w:rPr>
                <w:sz w:val="17"/>
                <w:szCs w:val="17"/>
                <w:color w:val="auto"/>
              </w:rPr>
            </w:pPr>
          </w:p>
        </w:tc>
        <w:tc>
          <w:tcPr>
            <w:tcW w:w="3960" w:type="dxa"/>
            <w:vAlign w:val="bottom"/>
            <w:tcBorders>
              <w:right w:val="single" w:sz="8" w:color="000E5B"/>
            </w:tcBorders>
            <w:shd w:val="clear" w:color="auto" w:fill="1F3C7B"/>
          </w:tcPr>
          <w:p>
            <w:pPr>
              <w:spacing w:after="0"/>
              <w:rPr>
                <w:sz w:val="17"/>
                <w:szCs w:val="17"/>
                <w:color w:val="auto"/>
              </w:rPr>
            </w:pPr>
          </w:p>
        </w:tc>
        <w:tc>
          <w:tcPr>
            <w:tcW w:w="1800" w:type="dxa"/>
            <w:vAlign w:val="bottom"/>
            <w:tcBorders>
              <w:right w:val="single" w:sz="8" w:color="000E5B"/>
            </w:tcBorders>
            <w:shd w:val="clear" w:color="auto" w:fill="1F3C7B"/>
          </w:tcPr>
          <w:p>
            <w:pPr>
              <w:spacing w:after="0"/>
              <w:rPr>
                <w:sz w:val="17"/>
                <w:szCs w:val="17"/>
                <w:color w:val="auto"/>
              </w:rPr>
            </w:pPr>
          </w:p>
        </w:tc>
        <w:tc>
          <w:tcPr>
            <w:tcW w:w="1900" w:type="dxa"/>
            <w:vAlign w:val="bottom"/>
            <w:tcBorders>
              <w:right w:val="single" w:sz="8" w:color="1F3C7B"/>
            </w:tcBorders>
            <w:shd w:val="clear" w:color="auto" w:fill="1F3C7B"/>
          </w:tcPr>
          <w:p>
            <w:pPr>
              <w:jc w:val="center"/>
              <w:spacing w:after="0"/>
              <w:rPr>
                <w:sz w:val="20"/>
                <w:szCs w:val="20"/>
                <w:color w:val="auto"/>
              </w:rPr>
            </w:pPr>
            <w:r>
              <w:rPr>
                <w:rFonts w:ascii="Arial" w:cs="Arial" w:eastAsia="Arial" w:hAnsi="Arial"/>
                <w:sz w:val="18"/>
                <w:szCs w:val="18"/>
                <w:b w:val="1"/>
                <w:bCs w:val="1"/>
                <w:color w:val="FFFFFF"/>
              </w:rPr>
              <w:t>Percentage of</w:t>
            </w:r>
          </w:p>
        </w:tc>
      </w:tr>
      <w:tr>
        <w:trPr>
          <w:trHeight w:val="193"/>
        </w:trPr>
        <w:tc>
          <w:tcPr>
            <w:tcW w:w="1900" w:type="dxa"/>
            <w:vAlign w:val="bottom"/>
            <w:tcBorders>
              <w:left w:val="single" w:sz="8" w:color="1F3C7B"/>
            </w:tcBorders>
            <w:shd w:val="clear" w:color="auto" w:fill="1F3C7B"/>
          </w:tcPr>
          <w:p>
            <w:pPr>
              <w:spacing w:after="0"/>
              <w:rPr>
                <w:sz w:val="16"/>
                <w:szCs w:val="16"/>
                <w:color w:val="auto"/>
              </w:rPr>
            </w:pPr>
          </w:p>
        </w:tc>
        <w:tc>
          <w:tcPr>
            <w:tcW w:w="3960" w:type="dxa"/>
            <w:vAlign w:val="bottom"/>
            <w:tcBorders>
              <w:right w:val="single" w:sz="8" w:color="000E5B"/>
            </w:tcBorders>
            <w:shd w:val="clear" w:color="auto" w:fill="1F3C7B"/>
          </w:tcPr>
          <w:p>
            <w:pPr>
              <w:spacing w:after="0"/>
              <w:rPr>
                <w:sz w:val="16"/>
                <w:szCs w:val="16"/>
                <w:color w:val="auto"/>
              </w:rPr>
            </w:pPr>
          </w:p>
        </w:tc>
        <w:tc>
          <w:tcPr>
            <w:tcW w:w="1800" w:type="dxa"/>
            <w:vAlign w:val="bottom"/>
            <w:tcBorders>
              <w:right w:val="single" w:sz="8" w:color="000E5B"/>
            </w:tcBorders>
            <w:shd w:val="clear" w:color="auto" w:fill="1F3C7B"/>
          </w:tcPr>
          <w:p>
            <w:pPr>
              <w:spacing w:after="0"/>
              <w:rPr>
                <w:sz w:val="16"/>
                <w:szCs w:val="16"/>
                <w:color w:val="auto"/>
              </w:rPr>
            </w:pPr>
          </w:p>
        </w:tc>
        <w:tc>
          <w:tcPr>
            <w:tcW w:w="1900" w:type="dxa"/>
            <w:vAlign w:val="bottom"/>
            <w:tcBorders>
              <w:right w:val="single" w:sz="8" w:color="1F3C7B"/>
            </w:tcBorders>
            <w:shd w:val="clear" w:color="auto" w:fill="1F3C7B"/>
          </w:tcPr>
          <w:p>
            <w:pPr>
              <w:jc w:val="center"/>
              <w:spacing w:after="0" w:line="194" w:lineRule="exact"/>
              <w:rPr>
                <w:sz w:val="20"/>
                <w:szCs w:val="20"/>
                <w:color w:val="auto"/>
              </w:rPr>
            </w:pPr>
            <w:r>
              <w:rPr>
                <w:rFonts w:ascii="Arial" w:cs="Arial" w:eastAsia="Arial" w:hAnsi="Arial"/>
                <w:sz w:val="18"/>
                <w:szCs w:val="18"/>
                <w:b w:val="1"/>
                <w:bCs w:val="1"/>
                <w:color w:val="FFFFFF"/>
                <w:w w:val="98"/>
              </w:rPr>
              <w:t>Total Common</w:t>
            </w:r>
          </w:p>
        </w:tc>
      </w:tr>
      <w:tr>
        <w:trPr>
          <w:trHeight w:val="248"/>
        </w:trPr>
        <w:tc>
          <w:tcPr>
            <w:tcW w:w="5860" w:type="dxa"/>
            <w:vAlign w:val="bottom"/>
            <w:tcBorders>
              <w:left w:val="single" w:sz="8" w:color="1F3C7B"/>
              <w:right w:val="single" w:sz="8" w:color="000E5B"/>
            </w:tcBorders>
            <w:gridSpan w:val="2"/>
            <w:shd w:val="clear" w:color="auto" w:fill="1F3C7B"/>
          </w:tcPr>
          <w:p>
            <w:pPr>
              <w:ind w:left="1800"/>
              <w:spacing w:after="0"/>
              <w:rPr>
                <w:sz w:val="20"/>
                <w:szCs w:val="20"/>
                <w:color w:val="auto"/>
              </w:rPr>
            </w:pPr>
            <w:r>
              <w:rPr>
                <w:rFonts w:ascii="Arial" w:cs="Arial" w:eastAsia="Arial" w:hAnsi="Arial"/>
                <w:sz w:val="18"/>
                <w:szCs w:val="18"/>
                <w:b w:val="1"/>
                <w:bCs w:val="1"/>
                <w:color w:val="FFFFFF"/>
              </w:rPr>
              <w:t>Name of Beneficial Owner</w:t>
            </w:r>
          </w:p>
        </w:tc>
        <w:tc>
          <w:tcPr>
            <w:tcW w:w="1800" w:type="dxa"/>
            <w:vAlign w:val="bottom"/>
            <w:tcBorders>
              <w:right w:val="single" w:sz="8" w:color="000E5B"/>
            </w:tcBorders>
            <w:shd w:val="clear" w:color="auto" w:fill="1F3C7B"/>
          </w:tcPr>
          <w:p>
            <w:pPr>
              <w:jc w:val="right"/>
              <w:ind w:right="490"/>
              <w:spacing w:after="0"/>
              <w:rPr>
                <w:sz w:val="20"/>
                <w:szCs w:val="20"/>
                <w:color w:val="auto"/>
              </w:rPr>
            </w:pPr>
            <w:r>
              <w:rPr>
                <w:rFonts w:ascii="Arial" w:cs="Arial" w:eastAsia="Arial" w:hAnsi="Arial"/>
                <w:sz w:val="18"/>
                <w:szCs w:val="18"/>
                <w:b w:val="1"/>
                <w:bCs w:val="1"/>
                <w:color w:val="FFFFFF"/>
              </w:rPr>
              <w:t>Number</w:t>
            </w:r>
          </w:p>
        </w:tc>
        <w:tc>
          <w:tcPr>
            <w:tcW w:w="1900" w:type="dxa"/>
            <w:vAlign w:val="bottom"/>
            <w:tcBorders>
              <w:right w:val="single" w:sz="8" w:color="1F3C7B"/>
            </w:tcBorders>
            <w:shd w:val="clear" w:color="auto" w:fill="1F3C7B"/>
          </w:tcPr>
          <w:p>
            <w:pPr>
              <w:jc w:val="center"/>
              <w:spacing w:after="0" w:line="249" w:lineRule="exact"/>
              <w:rPr>
                <w:sz w:val="20"/>
                <w:szCs w:val="20"/>
                <w:color w:val="auto"/>
              </w:rPr>
            </w:pPr>
            <w:r>
              <w:rPr>
                <w:rFonts w:ascii="Arial" w:cs="Arial" w:eastAsia="Arial" w:hAnsi="Arial"/>
                <w:sz w:val="17"/>
                <w:szCs w:val="17"/>
                <w:b w:val="1"/>
                <w:bCs w:val="1"/>
                <w:color w:val="FFFFFF"/>
                <w:w w:val="98"/>
              </w:rPr>
              <w:t>Stock</w:t>
            </w:r>
            <w:r>
              <w:rPr>
                <w:rFonts w:ascii="Arial" w:cs="Arial" w:eastAsia="Arial" w:hAnsi="Arial"/>
                <w:sz w:val="28"/>
                <w:szCs w:val="28"/>
                <w:b w:val="1"/>
                <w:bCs w:val="1"/>
                <w:color w:val="FFFFFF"/>
                <w:w w:val="98"/>
                <w:vertAlign w:val="superscript"/>
              </w:rPr>
              <w:t>(1)</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Greater than 5% Stockholders:</w:t>
            </w:r>
          </w:p>
        </w:tc>
        <w:tc>
          <w:tcPr>
            <w:tcW w:w="1800" w:type="dxa"/>
            <w:vAlign w:val="bottom"/>
            <w:tcBorders>
              <w:right w:val="single" w:sz="8" w:color="000E5B"/>
            </w:tcBorders>
            <w:shd w:val="clear" w:color="auto" w:fill="CCEEFF"/>
          </w:tcPr>
          <w:p>
            <w:pPr>
              <w:spacing w:after="0"/>
              <w:rPr>
                <w:sz w:val="19"/>
                <w:szCs w:val="19"/>
                <w:color w:val="auto"/>
              </w:rPr>
            </w:pPr>
          </w:p>
        </w:tc>
        <w:tc>
          <w:tcPr>
            <w:tcW w:w="1900" w:type="dxa"/>
            <w:vAlign w:val="bottom"/>
            <w:tcBorders>
              <w:right w:val="single" w:sz="8" w:color="1F3C7B"/>
            </w:tcBorders>
            <w:shd w:val="clear" w:color="auto" w:fill="CCEEFF"/>
          </w:tcPr>
          <w:p>
            <w:pPr>
              <w:spacing w:after="0"/>
              <w:rPr>
                <w:sz w:val="19"/>
                <w:szCs w:val="19"/>
                <w:color w:val="auto"/>
              </w:rPr>
            </w:pP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line="230" w:lineRule="exact"/>
              <w:rPr>
                <w:sz w:val="20"/>
                <w:szCs w:val="20"/>
                <w:color w:val="auto"/>
              </w:rPr>
            </w:pPr>
            <w:r>
              <w:rPr>
                <w:rFonts w:ascii="Arial" w:cs="Arial" w:eastAsia="Arial" w:hAnsi="Arial"/>
                <w:sz w:val="16"/>
                <w:szCs w:val="16"/>
                <w:color w:val="auto"/>
              </w:rPr>
              <w:t>KKR Vision Aggregator L.P.</w:t>
            </w:r>
            <w:r>
              <w:rPr>
                <w:rFonts w:ascii="Arial" w:cs="Arial" w:eastAsia="Arial" w:hAnsi="Arial"/>
                <w:sz w:val="26"/>
                <w:szCs w:val="26"/>
                <w:color w:val="auto"/>
                <w:vertAlign w:val="superscript"/>
              </w:rPr>
              <w:t>(2)</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32,398,495</w:t>
            </w:r>
          </w:p>
        </w:tc>
        <w:tc>
          <w:tcPr>
            <w:tcW w:w="1900" w:type="dxa"/>
            <w:vAlign w:val="bottom"/>
            <w:tcBorders>
              <w:right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line="230" w:lineRule="exact"/>
              <w:rPr>
                <w:sz w:val="20"/>
                <w:szCs w:val="20"/>
                <w:color w:val="auto"/>
              </w:rPr>
            </w:pPr>
            <w:r>
              <w:rPr>
                <w:rFonts w:ascii="Arial" w:cs="Arial" w:eastAsia="Arial" w:hAnsi="Arial"/>
                <w:sz w:val="16"/>
                <w:szCs w:val="16"/>
                <w:color w:val="auto"/>
              </w:rPr>
              <w:t>Investment funds affiliated with Berkshire</w:t>
            </w:r>
            <w:r>
              <w:rPr>
                <w:rFonts w:ascii="Arial" w:cs="Arial" w:eastAsia="Arial" w:hAnsi="Arial"/>
                <w:sz w:val="26"/>
                <w:szCs w:val="26"/>
                <w:color w:val="auto"/>
                <w:vertAlign w:val="superscript"/>
              </w:rPr>
              <w:t>(3)</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7,579,968</w:t>
            </w:r>
          </w:p>
        </w:tc>
        <w:tc>
          <w:tcPr>
            <w:tcW w:w="1900" w:type="dxa"/>
            <w:vAlign w:val="bottom"/>
            <w:tcBorders>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1800" w:type="dxa"/>
            <w:vAlign w:val="bottom"/>
            <w:tcBorders>
              <w:right w:val="single" w:sz="8" w:color="000E5B"/>
            </w:tcBorders>
            <w:shd w:val="clear" w:color="auto" w:fill="C6C8CA"/>
          </w:tcPr>
          <w:p>
            <w:pPr>
              <w:spacing w:after="0"/>
              <w:rPr>
                <w:sz w:val="19"/>
                <w:szCs w:val="19"/>
                <w:color w:val="auto"/>
              </w:rPr>
            </w:pPr>
          </w:p>
        </w:tc>
        <w:tc>
          <w:tcPr>
            <w:tcW w:w="1900" w:type="dxa"/>
            <w:vAlign w:val="bottom"/>
            <w:tcBorders>
              <w:right w:val="single" w:sz="8" w:color="1F3C7B"/>
            </w:tcBorders>
            <w:shd w:val="clear" w:color="auto" w:fill="C6C8CA"/>
          </w:tcPr>
          <w:p>
            <w:pPr>
              <w:spacing w:after="0"/>
              <w:rPr>
                <w:sz w:val="19"/>
                <w:szCs w:val="19"/>
                <w:color w:val="auto"/>
              </w:rPr>
            </w:pP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line="230" w:lineRule="exact"/>
              <w:rPr>
                <w:sz w:val="20"/>
                <w:szCs w:val="20"/>
                <w:color w:val="auto"/>
              </w:rPr>
            </w:pPr>
            <w:r>
              <w:rPr>
                <w:rFonts w:ascii="Arial" w:cs="Arial" w:eastAsia="Arial" w:hAnsi="Arial"/>
                <w:sz w:val="16"/>
                <w:szCs w:val="16"/>
                <w:color w:val="auto"/>
              </w:rPr>
              <w:t>L. Reade Fahs</w:t>
            </w:r>
            <w:r>
              <w:rPr>
                <w:rFonts w:ascii="Arial" w:cs="Arial" w:eastAsia="Arial" w:hAnsi="Arial"/>
                <w:sz w:val="26"/>
                <w:szCs w:val="26"/>
                <w:color w:val="auto"/>
                <w:vertAlign w:val="superscript"/>
              </w:rPr>
              <w:t>(4)</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1,098,526</w:t>
            </w:r>
          </w:p>
        </w:tc>
        <w:tc>
          <w:tcPr>
            <w:tcW w:w="1900" w:type="dxa"/>
            <w:vAlign w:val="bottom"/>
            <w:tcBorders>
              <w:right w:val="single" w:sz="8" w:color="1F3C7B"/>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Patrick R. Moore</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120,454</w:t>
            </w:r>
          </w:p>
        </w:tc>
        <w:tc>
          <w:tcPr>
            <w:tcW w:w="19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 McAllister</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118,250</w:t>
            </w:r>
          </w:p>
        </w:tc>
        <w:tc>
          <w:tcPr>
            <w:tcW w:w="19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Mitchell Goodman</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160,694</w:t>
            </w:r>
          </w:p>
        </w:tc>
        <w:tc>
          <w:tcPr>
            <w:tcW w:w="19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Vaught</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40,250</w:t>
            </w:r>
          </w:p>
        </w:tc>
        <w:tc>
          <w:tcPr>
            <w:tcW w:w="19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Bruce Steffey</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387,981</w:t>
            </w:r>
          </w:p>
        </w:tc>
        <w:tc>
          <w:tcPr>
            <w:tcW w:w="19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line="230" w:lineRule="exact"/>
              <w:rPr>
                <w:sz w:val="20"/>
                <w:szCs w:val="20"/>
                <w:color w:val="auto"/>
              </w:rPr>
            </w:pPr>
            <w:r>
              <w:rPr>
                <w:rFonts w:ascii="Arial" w:cs="Arial" w:eastAsia="Arial" w:hAnsi="Arial"/>
                <w:sz w:val="16"/>
                <w:szCs w:val="16"/>
                <w:color w:val="auto"/>
              </w:rPr>
              <w:t>Nathaniel H. Taylor</w:t>
            </w:r>
            <w:r>
              <w:rPr>
                <w:rFonts w:ascii="Arial" w:cs="Arial" w:eastAsia="Arial" w:hAnsi="Arial"/>
                <w:sz w:val="26"/>
                <w:szCs w:val="26"/>
                <w:color w:val="auto"/>
                <w:vertAlign w:val="superscript"/>
              </w:rPr>
              <w:t>(2)</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1F3C7B"/>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line="230" w:lineRule="exact"/>
              <w:rPr>
                <w:sz w:val="20"/>
                <w:szCs w:val="20"/>
                <w:color w:val="auto"/>
              </w:rPr>
            </w:pPr>
            <w:r>
              <w:rPr>
                <w:rFonts w:ascii="Arial" w:cs="Arial" w:eastAsia="Arial" w:hAnsi="Arial"/>
                <w:sz w:val="16"/>
                <w:szCs w:val="16"/>
                <w:color w:val="auto"/>
              </w:rPr>
              <w:t>Felix Gernburd</w:t>
            </w:r>
            <w:r>
              <w:rPr>
                <w:rFonts w:ascii="Arial" w:cs="Arial" w:eastAsia="Arial" w:hAnsi="Arial"/>
                <w:sz w:val="26"/>
                <w:szCs w:val="26"/>
                <w:color w:val="auto"/>
                <w:vertAlign w:val="superscript"/>
              </w:rPr>
              <w:t>(2)</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1F3C7B"/>
            </w:tcBorders>
            <w:shd w:val="clear" w:color="auto" w:fill="C6C8CA"/>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line="230" w:lineRule="exact"/>
              <w:rPr>
                <w:sz w:val="20"/>
                <w:szCs w:val="20"/>
                <w:color w:val="auto"/>
              </w:rPr>
            </w:pPr>
            <w:r>
              <w:rPr>
                <w:rFonts w:ascii="Arial" w:cs="Arial" w:eastAsia="Arial" w:hAnsi="Arial"/>
                <w:sz w:val="16"/>
                <w:szCs w:val="16"/>
                <w:color w:val="auto"/>
              </w:rPr>
              <w:t>D. Randolph Peeler</w:t>
            </w:r>
            <w:r>
              <w:rPr>
                <w:rFonts w:ascii="Arial" w:cs="Arial" w:eastAsia="Arial" w:hAnsi="Arial"/>
                <w:sz w:val="26"/>
                <w:szCs w:val="26"/>
                <w:color w:val="auto"/>
                <w:vertAlign w:val="superscript"/>
              </w:rPr>
              <w:t>(5)</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1F3C7B"/>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David M. Tehle</w:t>
            </w:r>
          </w:p>
        </w:tc>
        <w:tc>
          <w:tcPr>
            <w:tcW w:w="1800" w:type="dxa"/>
            <w:vAlign w:val="bottom"/>
            <w:tcBorders>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6,357</w:t>
            </w:r>
          </w:p>
        </w:tc>
        <w:tc>
          <w:tcPr>
            <w:tcW w:w="1900" w:type="dxa"/>
            <w:vAlign w:val="bottom"/>
            <w:tcBorders>
              <w:right w:val="single" w:sz="8" w:color="1F3C7B"/>
            </w:tcBorders>
            <w:shd w:val="clear" w:color="auto" w:fill="C6C8CA"/>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right w:val="single" w:sz="8" w:color="000E5B"/>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 A. Hepner</w:t>
            </w:r>
          </w:p>
        </w:tc>
        <w:tc>
          <w:tcPr>
            <w:tcW w:w="1800" w:type="dxa"/>
            <w:vAlign w:val="bottom"/>
            <w:tcBorders>
              <w:right w:val="single" w:sz="8" w:color="000E5B"/>
            </w:tcBorders>
            <w:shd w:val="clear" w:color="auto" w:fill="CCEEFF"/>
          </w:tcPr>
          <w:p>
            <w:pPr>
              <w:jc w:val="right"/>
              <w:ind w:right="30"/>
              <w:spacing w:after="0"/>
              <w:rPr>
                <w:sz w:val="20"/>
                <w:szCs w:val="20"/>
                <w:color w:val="auto"/>
              </w:rPr>
            </w:pPr>
            <w:r>
              <w:rPr>
                <w:rFonts w:ascii="Arial" w:cs="Arial" w:eastAsia="Arial" w:hAnsi="Arial"/>
                <w:sz w:val="18"/>
                <w:szCs w:val="18"/>
                <w:color w:val="auto"/>
              </w:rPr>
              <w:t>2,363</w:t>
            </w:r>
          </w:p>
        </w:tc>
        <w:tc>
          <w:tcPr>
            <w:tcW w:w="1900" w:type="dxa"/>
            <w:vAlign w:val="bottom"/>
            <w:tcBorders>
              <w:right w:val="single" w:sz="8" w:color="1F3C7B"/>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Borders>
              <w:left w:val="single" w:sz="8" w:color="1F3C7B"/>
              <w:bottom w:val="single" w:sz="8" w:color="1F3C7B"/>
              <w:right w:val="single" w:sz="8" w:color="000E5B"/>
            </w:tcBorders>
            <w:gridSpan w:val="2"/>
            <w:shd w:val="clear" w:color="auto" w:fill="C6C8CA"/>
          </w:tcPr>
          <w:p>
            <w:pPr>
              <w:ind w:left="40"/>
              <w:spacing w:after="0"/>
              <w:rPr>
                <w:sz w:val="20"/>
                <w:szCs w:val="20"/>
                <w:color w:val="auto"/>
              </w:rPr>
            </w:pPr>
            <w:r>
              <w:rPr>
                <w:rFonts w:ascii="Arial" w:cs="Arial" w:eastAsia="Arial" w:hAnsi="Arial"/>
                <w:sz w:val="18"/>
                <w:szCs w:val="18"/>
                <w:color w:val="auto"/>
              </w:rPr>
              <w:t>All directors and executive officers as a group (14 persons)</w:t>
            </w:r>
          </w:p>
        </w:tc>
        <w:tc>
          <w:tcPr>
            <w:tcW w:w="1800" w:type="dxa"/>
            <w:vAlign w:val="bottom"/>
            <w:tcBorders>
              <w:bottom w:val="single" w:sz="8" w:color="1F3C7B"/>
              <w:right w:val="single" w:sz="8" w:color="000E5B"/>
            </w:tcBorders>
            <w:shd w:val="clear" w:color="auto" w:fill="C6C8CA"/>
          </w:tcPr>
          <w:p>
            <w:pPr>
              <w:jc w:val="right"/>
              <w:ind w:right="30"/>
              <w:spacing w:after="0"/>
              <w:rPr>
                <w:sz w:val="20"/>
                <w:szCs w:val="20"/>
                <w:color w:val="auto"/>
              </w:rPr>
            </w:pPr>
            <w:r>
              <w:rPr>
                <w:rFonts w:ascii="Arial" w:cs="Arial" w:eastAsia="Arial" w:hAnsi="Arial"/>
                <w:sz w:val="18"/>
                <w:szCs w:val="18"/>
                <w:color w:val="auto"/>
              </w:rPr>
              <w:t>2,122,314</w:t>
            </w:r>
          </w:p>
        </w:tc>
        <w:tc>
          <w:tcPr>
            <w:tcW w:w="1900" w:type="dxa"/>
            <w:vAlign w:val="bottom"/>
            <w:tcBorders>
              <w:bottom w:val="single" w:sz="8" w:color="1F3C7B"/>
              <w:right w:val="single" w:sz="8" w:color="1F3C7B"/>
            </w:tcBorders>
            <w:shd w:val="clear" w:color="auto" w:fill="C6C8CA"/>
          </w:tcPr>
          <w:p>
            <w:pPr>
              <w:jc w:val="right"/>
              <w:spacing w:after="0"/>
              <w:rPr>
                <w:sz w:val="20"/>
                <w:szCs w:val="20"/>
                <w:color w:val="auto"/>
              </w:rPr>
            </w:pPr>
            <w:r>
              <w:rPr>
                <w:rFonts w:ascii="Arial" w:cs="Arial" w:eastAsia="Arial" w:hAnsi="Arial"/>
                <w:sz w:val="18"/>
                <w:szCs w:val="18"/>
                <w:color w:val="auto"/>
              </w:rPr>
              <w:t>2.82%</w:t>
            </w:r>
          </w:p>
        </w:tc>
      </w:tr>
      <w:tr>
        <w:trPr>
          <w:trHeight w:val="169"/>
        </w:trPr>
        <w:tc>
          <w:tcPr>
            <w:tcW w:w="1900" w:type="dxa"/>
            <w:vAlign w:val="bottom"/>
            <w:tcBorders>
              <w:bottom w:val="single" w:sz="8" w:color="auto"/>
            </w:tcBorders>
          </w:tcPr>
          <w:p>
            <w:pPr>
              <w:spacing w:after="0"/>
              <w:rPr>
                <w:sz w:val="14"/>
                <w:szCs w:val="14"/>
                <w:color w:val="auto"/>
              </w:rPr>
            </w:pPr>
          </w:p>
        </w:tc>
        <w:tc>
          <w:tcPr>
            <w:tcW w:w="3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-2460625</wp:posOffset>
            </wp:positionV>
            <wp:extent cx="606298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-2169160</wp:posOffset>
            </wp:positionV>
            <wp:extent cx="606298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-1877695</wp:posOffset>
            </wp:positionV>
            <wp:extent cx="606298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-1585595</wp:posOffset>
            </wp:positionV>
            <wp:extent cx="606298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-1294130</wp:posOffset>
            </wp:positionV>
            <wp:extent cx="6062980"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-1002665</wp:posOffset>
            </wp:positionV>
            <wp:extent cx="6062980"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-711200</wp:posOffset>
            </wp:positionV>
            <wp:extent cx="606298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62980"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-419735</wp:posOffset>
            </wp:positionV>
            <wp:extent cx="606298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pacing w:after="0" w:line="87"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96" w:lineRule="exact"/>
        <w:rPr>
          <w:sz w:val="20"/>
          <w:szCs w:val="20"/>
          <w:color w:val="auto"/>
        </w:rPr>
      </w:pPr>
    </w:p>
    <w:p>
      <w:pPr>
        <w:ind w:left="347" w:right="100" w:hanging="347"/>
        <w:spacing w:after="0" w:line="231" w:lineRule="auto"/>
        <w:tabs>
          <w:tab w:leader="none" w:pos="3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Fahs, 122,059; Mr. Moore, 73,234; Mr. Goodman, 106,694; Mr. Vaught, 40,250; and all directors and executive officers as a group, 641,064.</w:t>
      </w:r>
    </w:p>
    <w:p>
      <w:pPr>
        <w:spacing w:after="0" w:line="95" w:lineRule="exact"/>
        <w:rPr>
          <w:rFonts w:ascii="Arial" w:cs="Arial" w:eastAsia="Arial" w:hAnsi="Arial"/>
          <w:sz w:val="14"/>
          <w:szCs w:val="14"/>
          <w:color w:val="auto"/>
        </w:rPr>
      </w:pPr>
    </w:p>
    <w:p>
      <w:pPr>
        <w:ind w:left="347" w:right="40" w:hanging="347"/>
        <w:spacing w:after="0" w:line="224" w:lineRule="auto"/>
        <w:tabs>
          <w:tab w:leader="none" w:pos="3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32,398,495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95885</wp:posOffset>
            </wp:positionV>
            <wp:extent cx="20574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3"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7"/>
        <w:spacing w:after="0"/>
        <w:rPr>
          <w:sz w:val="20"/>
          <w:szCs w:val="20"/>
          <w:color w:val="auto"/>
        </w:rPr>
      </w:pPr>
      <w:r>
        <w:rPr>
          <w:rFonts w:ascii="Arial" w:cs="Arial" w:eastAsia="Arial" w:hAnsi="Arial"/>
          <w:sz w:val="32"/>
          <w:szCs w:val="32"/>
          <w:color w:val="auto"/>
        </w:rPr>
        <w:t>OWNERSHIP OF SECURITIES</w:t>
      </w:r>
    </w:p>
    <w:p>
      <w:pPr>
        <w:ind w:left="367" w:right="80"/>
        <w:spacing w:after="0" w:line="224" w:lineRule="auto"/>
        <w:rPr>
          <w:sz w:val="20"/>
          <w:szCs w:val="20"/>
          <w:color w:val="auto"/>
        </w:rPr>
      </w:pPr>
      <w:r>
        <w:rPr>
          <w:rFonts w:ascii="Arial" w:cs="Arial" w:eastAsia="Arial" w:hAnsi="Arial"/>
          <w:sz w:val="14"/>
          <w:szCs w:val="14"/>
          <w:color w:val="auto"/>
        </w:rPr>
        <w:t>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94" w:lineRule="exact"/>
        <w:rPr>
          <w:sz w:val="20"/>
          <w:szCs w:val="20"/>
          <w:color w:val="auto"/>
        </w:rPr>
      </w:pPr>
    </w:p>
    <w:p>
      <w:pPr>
        <w:ind w:left="347" w:hanging="347"/>
        <w:spacing w:after="0" w:line="223" w:lineRule="auto"/>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(i) 7,443,860 shares of common stock held by Berkshire Fund VI, Limited Partnership, or Fund VI, (ii) 96,714 shares of common stock held by Berkshire Investors LLC, or Berkshire Investors, and (iii) 39,394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shares held by the Fahs Family Trust.</w:t>
      </w:r>
    </w:p>
    <w:p>
      <w:pPr>
        <w:spacing w:after="0" w:line="95" w:lineRule="exact"/>
        <w:rPr>
          <w:rFonts w:ascii="Arial" w:cs="Arial" w:eastAsia="Arial" w:hAnsi="Arial"/>
          <w:sz w:val="14"/>
          <w:szCs w:val="14"/>
          <w:color w:val="auto"/>
        </w:rPr>
      </w:pPr>
    </w:p>
    <w:p>
      <w:pPr>
        <w:ind w:left="347" w:hanging="347"/>
        <w:spacing w:after="0"/>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Excludes shares held by investment funds affiliated with Berkshire. See footnote (3) above.</w:t>
      </w:r>
    </w:p>
    <w:p>
      <w:pPr>
        <w:spacing w:after="0" w:line="122" w:lineRule="exact"/>
        <w:rPr>
          <w:sz w:val="20"/>
          <w:szCs w:val="20"/>
          <w:color w:val="auto"/>
        </w:rPr>
      </w:pPr>
    </w:p>
    <w:p>
      <w:pPr>
        <w:ind w:left="7"/>
        <w:spacing w:after="0"/>
        <w:tabs>
          <w:tab w:leader="none" w:pos="459"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205740" cy="1543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607187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auto"/>
        </w:rPr>
        <w:t>TRANSACTIONS WITH RELATED PERSONS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Related Persons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71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1F3C7B"/>
        </w:rPr>
        <w:t>Certain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71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In connection with our IPO, we entered into a stockholders agreement with the Sponsors.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grants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10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acquisition of National Vision, Inc. (“NVI”) in March 2014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of KKR Sponsor (the “KKR Acquisition”), we entered into a registration rights agreement with 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96520</wp:posOffset>
            </wp:positionV>
            <wp:extent cx="20574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TRANSACTIONS WITH RELATED PERSONS</w:t>
      </w:r>
    </w:p>
    <w:p>
      <w:pPr>
        <w:spacing w:after="0" w:line="19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Monitoring Agreement. </w:t>
      </w:r>
      <w:r>
        <w:rPr>
          <w:rFonts w:ascii="Arial" w:cs="Arial" w:eastAsia="Arial" w:hAnsi="Arial"/>
          <w:sz w:val="18"/>
          <w:szCs w:val="18"/>
          <w:color w:val="auto"/>
        </w:rPr>
        <w:t>In connection with the KKR Acquisition, NVI entered into a monitoring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Agreement”) with KKR Sponsor and Berkshire pursuant to which the Sponsors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$ 2.3 million in fees paid to KKR Sponsor and its affiliates for expenses related to debt issuance costs in fiscal year 2017, which are recorded in debt issuance costs in our consolidated statements of operating and comprehensive income (loss).</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of 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Relationship with KKR Capital Markets. </w:t>
      </w:r>
      <w:r>
        <w:rPr>
          <w:rFonts w:ascii="Arial" w:cs="Arial" w:eastAsia="Arial" w:hAnsi="Arial"/>
          <w:sz w:val="18"/>
          <w:szCs w:val="18"/>
          <w:color w:val="auto"/>
        </w:rPr>
        <w:t>KKR Capital Markets LLC (“KCM”), an affiliate of KKR Sponsor, acted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arranger and bookrunner for various financing transactions under our first lien and second lien credit agreements, and received underwriter and transaction fees totaling approximately $2.6 million in fiscal year 2017 and $2.0 million in fiscal year 2015.</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KCM also acted as an underwriter in our IPO and received underwriting discounts and commissions of $4.8 million.</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KKR Corporate Lending LLC, an affiliate of KKR Capital Markets LLC, has been a participating lender under our revolving credit facility since 2014 and as of December 30, 2017, had received interest payments of approximately $0.9 million.</w:t>
      </w:r>
    </w:p>
    <w:p>
      <w:pPr>
        <w:spacing w:after="0" w:line="7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KKR &amp; Co. (collectively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$ 2.4 million. As of December 30, 2017, investment funds or accounts managed or advised by KKR Credit held a portion of our outstanding principal balance of our first lien term loans.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20"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46</w:t>
      </w:r>
      <w:r>
        <w:rPr>
          <w:sz w:val="20"/>
          <w:szCs w:val="20"/>
          <w:color w:val="auto"/>
        </w:rPr>
        <w:tab/>
      </w:r>
      <w:r>
        <w:rPr>
          <w:sz w:val="1"/>
          <w:szCs w:val="1"/>
          <w:color w:val="auto"/>
        </w:rPr>
        <w:drawing>
          <wp:inline distT="0" distB="0" distL="0" distR="0">
            <wp:extent cx="205740" cy="1543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15430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607187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auto"/>
        </w:rPr>
        <w:t>TRANSACTIONS WITH RELATED PERSONS</w:t>
      </w:r>
    </w:p>
    <w:p>
      <w:pPr>
        <w:spacing w:after="0" w:line="17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stockholder’s agreements, or Management Stockholder’s Agreements, with certain of our senior executive officers and other employees who made an equity investment in us or were granted equity based awards.</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105"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 xml:space="preserve">Agreements with Directors and Officers. </w:t>
      </w:r>
      <w:r>
        <w:rPr>
          <w:rFonts w:ascii="Arial" w:cs="Arial" w:eastAsia="Arial" w:hAnsi="Arial"/>
          <w:sz w:val="18"/>
          <w:szCs w:val="18"/>
          <w:color w:val="auto"/>
        </w:rPr>
        <w:t>In addition, we have certain agreements with our directors and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described in “Executive Compensation”.</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our IPO, we entered into indemnification agreements with our directors. These agreements and our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97155</wp:posOffset>
            </wp:positionV>
            <wp:extent cx="20574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5740" cy="15430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471"/>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0"/>
          <w:szCs w:val="20"/>
          <w:color w:val="auto"/>
        </w:rPr>
      </w:pPr>
    </w:p>
    <w:p>
      <w:pPr>
        <w:ind w:right="1260"/>
        <w:spacing w:after="0" w:line="242" w:lineRule="auto"/>
        <w:rPr>
          <w:sz w:val="20"/>
          <w:szCs w:val="20"/>
          <w:color w:val="auto"/>
        </w:rPr>
      </w:pPr>
      <w:r>
        <w:rPr>
          <w:rFonts w:ascii="Arial" w:cs="Arial" w:eastAsia="Arial" w:hAnsi="Arial"/>
          <w:sz w:val="32"/>
          <w:szCs w:val="32"/>
          <w:color w:val="auto"/>
        </w:rPr>
        <w:t>STOCKHOLDER PROPOSALS FOR THE 2019 ANNUAL MEETING</w:t>
      </w:r>
    </w:p>
    <w:p>
      <w:pPr>
        <w:spacing w:after="0" w:line="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any stockholder wishes to propose a matter for consideration at our 2019 Annual Meeting of Stockholders (the “2019 Annual Meeting”),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2019 Annual Meeting, a proposal must be received by our Secretary on or before December 26, 2018. Failure to deliver a proposal in accordance with this procedure may result in it not being deemed timely received.</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2019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2019 Annual Meeting, such a proposal must be received on or after February 6, 2019, but not later than March 8, 2019. In the event that the date of the 2019 Annual Meeting is advanced by more than 30 days, or delayed by more than 70 days, from the anniversary date of this year’s Annual Meeting of Stockholders, notice by the stockholder to be timely must be so delivered not earlier than the 120th day prior to the 2017 Annual Meeting and not later than the close of business on the later of the 90th day prior to the 2017 Annual Meeting or the tenth day following the day on which public announcement of the date of the 2017 Annual Meeting is first made. Any such proposal will be considered timely only if it is otherwise in compliance with the requirements set forth in our Bylaws. Notwithstanding the foregoing, if the number of directors to be elected to the Board of Directors at the 2019 Annual Meeting is increased and there is no public announcement by the Company naming all of the nominees for director or specifying the size of the increased Board of Directors at least 100 calendar days prior to the first anniversary of the 2018 Annual Meeting (i.e. prior to February 26, 2019), then notice by a stockholder shall be considered timely, but only with respect to nominees for any new positions created by such increase, if it is received by the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auto"/>
        </w:rPr>
        <w:t>HOUSEHOLDING OF PROXY MATERIALS</w:t>
      </w:r>
    </w:p>
    <w:p>
      <w:pPr>
        <w:spacing w:after="0" w:line="11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December 30, 2017 by contacting the Secretary, National Vision Holdings, Inc., 2435 Commerce Avenue, Building 2200, Duluth, Georgia 30096 or by telephone at (770) 822-3600.</w:t>
      </w:r>
    </w:p>
    <w:p>
      <w:pPr>
        <w:spacing w:after="0" w:line="128" w:lineRule="exact"/>
        <w:rPr>
          <w:sz w:val="20"/>
          <w:szCs w:val="20"/>
          <w:color w:val="auto"/>
        </w:rPr>
      </w:pPr>
    </w:p>
    <w:p>
      <w:pPr>
        <w:spacing w:after="0"/>
        <w:tabs>
          <w:tab w:leader="none" w:pos="452" w:val="left"/>
        </w:tabs>
        <w:rPr>
          <w:sz w:val="20"/>
          <w:szCs w:val="20"/>
          <w:color w:val="auto"/>
        </w:rPr>
      </w:pPr>
      <w:r>
        <w:rPr>
          <w:rFonts w:ascii="Arial" w:cs="Arial" w:eastAsia="Arial" w:hAnsi="Arial"/>
          <w:sz w:val="14"/>
          <w:szCs w:val="14"/>
          <w:color w:val="auto"/>
        </w:rPr>
        <w:t>48</w:t>
      </w:r>
      <w:r>
        <w:rPr>
          <w:sz w:val="20"/>
          <w:szCs w:val="20"/>
          <w:color w:val="auto"/>
        </w:rPr>
        <w:tab/>
      </w:r>
      <w:r>
        <w:rPr>
          <w:sz w:val="1"/>
          <w:szCs w:val="1"/>
          <w:color w:val="auto"/>
        </w:rPr>
        <w:drawing>
          <wp:inline distT="0" distB="0" distL="0" distR="0">
            <wp:extent cx="205740" cy="16319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auto"/>
        </w:rPr>
        <w:t>OTHER BUSINESS</w:t>
      </w:r>
    </w:p>
    <w:p>
      <w:pPr>
        <w:spacing w:after="0" w:line="114"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The Board of Directors does not know of any other matters to be brought before the meeting. If other matters are presented, the proxy holders have discretionary authority to vote all proxies in accordance with their best judgment.</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1724025" cy="685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240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Mitchell Goodman</w:t>
      </w:r>
    </w:p>
    <w:p>
      <w:pPr>
        <w:ind w:left="4780"/>
        <w:spacing w:after="0"/>
        <w:rPr>
          <w:sz w:val="20"/>
          <w:szCs w:val="20"/>
          <w:color w:val="auto"/>
        </w:rPr>
      </w:pPr>
      <w:r>
        <w:rPr>
          <w:rFonts w:ascii="Arial" w:cs="Arial" w:eastAsia="Arial" w:hAnsi="Arial"/>
          <w:sz w:val="18"/>
          <w:szCs w:val="18"/>
          <w:i w:val="1"/>
          <w:iCs w:val="1"/>
          <w:color w:val="auto"/>
        </w:rPr>
        <w:t>Secretary</w:t>
      </w:r>
    </w:p>
    <w:p>
      <w:pPr>
        <w:spacing w:after="0" w:line="20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www.nationalvision.com</w:t>
      </w:r>
      <w:r>
        <w:rPr>
          <w:rFonts w:ascii="Arial" w:cs="Arial" w:eastAsia="Arial" w:hAnsi="Arial"/>
          <w:sz w:val="18"/>
          <w:szCs w:val="18"/>
          <w:b w:val="1"/>
          <w:bCs w:val="1"/>
          <w:color w:val="auto"/>
        </w:rPr>
        <w:t>) and click on “Financials” under the “Investors” heading. Copies of our Annual Report on Form 10-K for the year ended December 30, 2017, including financial statements and schedules thereto, filed with the SEC, are also available without charge to stockholders upon written request addressed to: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109220</wp:posOffset>
            </wp:positionV>
            <wp:extent cx="20574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485"/>
        </w:trPr>
        <w:tc>
          <w:tcPr>
            <w:tcW w:w="88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8"/>
        </w:trPr>
        <w:tc>
          <w:tcPr>
            <w:tcW w:w="88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2" w:name="page53"/>
    <w:bookmarkEnd w:id="5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32"/>
          <w:szCs w:val="32"/>
          <w:color w:val="auto"/>
        </w:rPr>
        <w:t>NATIONAL VISION HOLDINGS, INC.</w:t>
      </w:r>
    </w:p>
    <w:p>
      <w:pPr>
        <w:ind w:left="7"/>
        <w:spacing w:after="0"/>
        <w:rPr>
          <w:sz w:val="20"/>
          <w:szCs w:val="20"/>
          <w:color w:val="auto"/>
        </w:rPr>
      </w:pPr>
      <w:r>
        <w:rPr>
          <w:rFonts w:ascii="Arial" w:cs="Arial" w:eastAsia="Arial" w:hAnsi="Arial"/>
          <w:sz w:val="32"/>
          <w:szCs w:val="32"/>
          <w:color w:val="auto"/>
        </w:rPr>
        <w:t>2018 ASSOCIATE STOCK PURCHASE PLAN</w:t>
      </w:r>
    </w:p>
    <w:p>
      <w:pPr>
        <w:spacing w:after="0" w:line="78" w:lineRule="exact"/>
        <w:rPr>
          <w:sz w:val="20"/>
          <w:szCs w:val="20"/>
          <w:color w:val="auto"/>
        </w:rPr>
      </w:pPr>
    </w:p>
    <w:p>
      <w:pPr>
        <w:ind w:left="347" w:hanging="347"/>
        <w:spacing w:after="0"/>
        <w:tabs>
          <w:tab w:leader="none" w:pos="34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03" w:lineRule="exact"/>
        <w:rPr>
          <w:rFonts w:ascii="Arial" w:cs="Arial" w:eastAsia="Arial" w:hAnsi="Arial"/>
          <w:sz w:val="18"/>
          <w:szCs w:val="18"/>
          <w:b w:val="1"/>
          <w:bCs w:val="1"/>
          <w:color w:val="auto"/>
        </w:rPr>
      </w:pPr>
    </w:p>
    <w:p>
      <w:pPr>
        <w:ind w:left="1067" w:right="360" w:hanging="716"/>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1.1.Establishment. </w:t>
      </w:r>
      <w:r>
        <w:rPr>
          <w:rFonts w:ascii="Arial" w:cs="Arial" w:eastAsia="Arial" w:hAnsi="Arial"/>
          <w:sz w:val="18"/>
          <w:szCs w:val="18"/>
          <w:color w:val="auto"/>
        </w:rPr>
        <w:t>On April 16, 2018, the Board of Directors ("Board") of National Vision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adopted this National Vision Holdings, Inc. 2018 Associate Stock Purchase Plan ("Plan"), subject to approval by the stockholders of the Company.</w:t>
      </w:r>
    </w:p>
    <w:p>
      <w:pPr>
        <w:spacing w:after="0" w:line="61" w:lineRule="exact"/>
        <w:rPr>
          <w:rFonts w:ascii="Arial" w:cs="Arial" w:eastAsia="Arial" w:hAnsi="Arial"/>
          <w:sz w:val="18"/>
          <w:szCs w:val="18"/>
          <w:b w:val="1"/>
          <w:bCs w:val="1"/>
          <w:color w:val="auto"/>
        </w:rPr>
      </w:pPr>
    </w:p>
    <w:p>
      <w:pPr>
        <w:ind w:left="1067" w:right="80" w:hanging="716"/>
        <w:spacing w:after="0" w:line="23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1.2.Purpose. </w:t>
      </w:r>
      <w:r>
        <w:rPr>
          <w:rFonts w:ascii="Arial" w:cs="Arial" w:eastAsia="Arial" w:hAnsi="Arial"/>
          <w:sz w:val="18"/>
          <w:szCs w:val="18"/>
          <w:color w:val="auto"/>
        </w:rPr>
        <w:t>The purpose of the Plan is (i) to promote the best interests of the Company and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by encouraging Associates of the Company and any Subsidiaries designated for participation in the Plan to acquire an ownership interest in the Company through the purchase of stock in the Company, thus aligning their interests with those of stockholders, and (ii) to enhance the ability of the Company and its Subsidiaries designated for participation in the Plan to attract, motivate and retain qualified Associates. The Plan is intended to constitute an "employee stock purchase plan" under Section 423 of the Internal Revenue Code of 1986, as amended ("Code"); provided, sub-plans of the Plan applicable to particular participating Subsidiaries outside of the United States may be established that are not intended to comply with the requirements of Section 423 of the Code.</w:t>
      </w:r>
    </w:p>
    <w:p>
      <w:pPr>
        <w:spacing w:after="0" w:line="76" w:lineRule="exact"/>
        <w:rPr>
          <w:sz w:val="20"/>
          <w:szCs w:val="20"/>
          <w:color w:val="auto"/>
        </w:rPr>
      </w:pPr>
    </w:p>
    <w:p>
      <w:pPr>
        <w:jc w:val="both"/>
        <w:ind w:left="1067" w:right="140" w:hanging="715"/>
        <w:spacing w:after="0" w:line="253" w:lineRule="auto"/>
        <w:tabs>
          <w:tab w:leader="none" w:pos="1046"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 xml:space="preserve">Plan Duration. </w:t>
      </w:r>
      <w:r>
        <w:rPr>
          <w:rFonts w:ascii="Arial" w:cs="Arial" w:eastAsia="Arial" w:hAnsi="Arial"/>
          <w:sz w:val="18"/>
          <w:szCs w:val="18"/>
          <w:color w:val="auto"/>
        </w:rPr>
        <w:t>Upon approval by the stockholders of the Company, the Plan shall commence on June 6,</w:t>
      </w:r>
      <w:r>
        <w:rPr>
          <w:rFonts w:ascii="Arial" w:cs="Arial" w:eastAsia="Arial" w:hAnsi="Arial"/>
          <w:sz w:val="18"/>
          <w:szCs w:val="18"/>
          <w:b w:val="1"/>
          <w:bCs w:val="1"/>
          <w:color w:val="auto"/>
        </w:rPr>
        <w:t xml:space="preserve"> </w:t>
      </w:r>
      <w:r>
        <w:rPr>
          <w:rFonts w:ascii="Arial" w:cs="Arial" w:eastAsia="Arial" w:hAnsi="Arial"/>
          <w:sz w:val="18"/>
          <w:szCs w:val="18"/>
          <w:color w:val="auto"/>
        </w:rPr>
        <w:t>2018 and, subject to earlier termination by the Board in accordance with Section 3.4, no new Offers may be made under the Plan after May 31, 2028.</w:t>
      </w:r>
    </w:p>
    <w:p>
      <w:pPr>
        <w:spacing w:after="0" w:line="61" w:lineRule="exact"/>
        <w:rPr>
          <w:sz w:val="20"/>
          <w:szCs w:val="20"/>
          <w:color w:val="auto"/>
        </w:rPr>
      </w:pPr>
    </w:p>
    <w:p>
      <w:pPr>
        <w:ind w:left="347"/>
        <w:spacing w:after="0"/>
        <w:tabs>
          <w:tab w:leader="none" w:pos="1046"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As used in the Plan, the following terms have the meaning described below:</w:t>
      </w:r>
    </w:p>
    <w:p>
      <w:pPr>
        <w:spacing w:after="0" w:line="104" w:lineRule="exact"/>
        <w:rPr>
          <w:sz w:val="20"/>
          <w:szCs w:val="20"/>
          <w:color w:val="auto"/>
        </w:rPr>
      </w:pPr>
    </w:p>
    <w:p>
      <w:pPr>
        <w:ind w:left="1087" w:right="20"/>
        <w:spacing w:after="0" w:line="259"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any Person that directly or indirectly controls, is controlled by or is under common control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72" w:lineRule="exact"/>
        <w:rPr>
          <w:sz w:val="20"/>
          <w:szCs w:val="20"/>
          <w:color w:val="auto"/>
        </w:rPr>
      </w:pPr>
    </w:p>
    <w:p>
      <w:pPr>
        <w:ind w:left="1087" w:right="60"/>
        <w:spacing w:after="0" w:line="259" w:lineRule="auto"/>
        <w:rPr>
          <w:sz w:val="20"/>
          <w:szCs w:val="20"/>
          <w:color w:val="auto"/>
        </w:rPr>
      </w:pPr>
      <w:r>
        <w:rPr>
          <w:rFonts w:ascii="Arial" w:cs="Arial" w:eastAsia="Arial" w:hAnsi="Arial"/>
          <w:sz w:val="18"/>
          <w:szCs w:val="18"/>
          <w:b w:val="1"/>
          <w:bCs w:val="1"/>
          <w:color w:val="auto"/>
        </w:rPr>
        <w:t xml:space="preserve">"Associate" </w:t>
      </w:r>
      <w:r>
        <w:rPr>
          <w:rFonts w:ascii="Arial" w:cs="Arial" w:eastAsia="Arial" w:hAnsi="Arial"/>
          <w:sz w:val="18"/>
          <w:szCs w:val="18"/>
          <w:color w:val="auto"/>
        </w:rPr>
        <w:t>means an individual who has an employment relationship (as defined in Treasury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1.421 -7(h)) with the Company or any Subsidiary that has been designated for participation in the Plan by the Committee in accord with Section 1.6. For the purposes of clarification, examples of excluded non - employees are individuals who are employed by third-party staffing firms, interns, and consultants are not Associates for purposes of the Plan.</w:t>
      </w:r>
    </w:p>
    <w:p>
      <w:pPr>
        <w:spacing w:after="0" w:line="72" w:lineRule="exact"/>
        <w:rPr>
          <w:sz w:val="20"/>
          <w:szCs w:val="20"/>
          <w:color w:val="auto"/>
        </w:rPr>
      </w:pPr>
    </w:p>
    <w:p>
      <w:pPr>
        <w:ind w:left="1087"/>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104" w:lineRule="exact"/>
        <w:rPr>
          <w:sz w:val="20"/>
          <w:szCs w:val="20"/>
          <w:color w:val="auto"/>
        </w:rPr>
      </w:pPr>
    </w:p>
    <w:p>
      <w:pPr>
        <w:ind w:left="1087" w:right="20"/>
        <w:spacing w:after="0" w:line="252"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(i) the acquisition (whether by purchase, merger, consolidation,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provided, however, that for purposes of the Plan, the following acquisitions shall not constitute a Change in Control: (I) any acquisition by the Company or any Affiliate; (II) any acquisition by any employee benefit plan sponsored or maintained by the Company or any Affiliate; or (III) in respect of a purchase right under the Plan held by a particular Associate, any acquisition by the Associate or any group of Persons including the Associate (or any entity controlled by the Associate or any group of Persons including the Associate);</w:t>
      </w:r>
    </w:p>
    <w:p>
      <w:pPr>
        <w:spacing w:after="0" w:line="7" w:lineRule="exact"/>
        <w:rPr>
          <w:sz w:val="20"/>
          <w:szCs w:val="20"/>
          <w:color w:val="auto"/>
        </w:rPr>
      </w:pPr>
    </w:p>
    <w:p>
      <w:pPr>
        <w:ind w:left="1087" w:right="20" w:hanging="6"/>
        <w:spacing w:after="0" w:line="262" w:lineRule="auto"/>
        <w:tabs>
          <w:tab w:leader="none" w:pos="13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any period of twelve (12) months, individuals who, at the beginning of such period, constitute the Board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5553075</wp:posOffset>
            </wp:positionH>
            <wp:positionV relativeFrom="paragraph">
              <wp:posOffset>90805</wp:posOffset>
            </wp:positionV>
            <wp:extent cx="20574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86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700" w:type="dxa"/>
            <w:vAlign w:val="bottom"/>
          </w:tcPr>
          <w:p>
            <w:pPr>
              <w:ind w:left="480"/>
              <w:spacing w:after="0"/>
              <w:rPr>
                <w:sz w:val="20"/>
                <w:szCs w:val="20"/>
                <w:color w:val="auto"/>
              </w:rPr>
            </w:pPr>
            <w:r>
              <w:rPr>
                <w:rFonts w:ascii="Arial" w:cs="Arial" w:eastAsia="Arial" w:hAnsi="Arial"/>
                <w:sz w:val="14"/>
                <w:szCs w:val="14"/>
                <w:color w:val="auto"/>
                <w:w w:val="91"/>
              </w:rPr>
              <w:t>A-1</w:t>
            </w:r>
          </w:p>
        </w:tc>
      </w:tr>
      <w:tr>
        <w:trPr>
          <w:trHeight w:val="485"/>
        </w:trPr>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8"/>
        </w:trPr>
        <w:tc>
          <w:tcPr>
            <w:tcW w:w="88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1080" w:right="20"/>
        <w:spacing w:after="0" w:line="251" w:lineRule="auto"/>
        <w:rPr>
          <w:sz w:val="20"/>
          <w:szCs w:val="20"/>
          <w:color w:val="auto"/>
        </w:rPr>
      </w:pPr>
      <w:r>
        <w:rPr>
          <w:rFonts w:ascii="Arial" w:cs="Arial" w:eastAsia="Arial" w:hAnsi="Arial"/>
          <w:sz w:val="18"/>
          <w:szCs w:val="18"/>
          <w:color w:val="auto"/>
        </w:rPr>
        <w:t>“Incumbent Directors”) cease for any reason to constitute at least a majority of the Board; provided, that any person becoming a director subsequent to October 25, 2017,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 (iii) the sale, transfer or other disposition of all or substantially all of the assets of the Company and its Subsidiaries (taken as a whole) to any Person that is not an Affiliate of the Company.</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w:t>
      </w:r>
    </w:p>
    <w:p>
      <w:pPr>
        <w:spacing w:after="0" w:line="104" w:lineRule="exact"/>
        <w:rPr>
          <w:sz w:val="20"/>
          <w:szCs w:val="20"/>
          <w:color w:val="auto"/>
        </w:rPr>
      </w:pPr>
    </w:p>
    <w:p>
      <w:pPr>
        <w:ind w:left="1080" w:right="80"/>
        <w:spacing w:after="0" w:line="287"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any properly delegated subcommittee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if no such Compensation Committee or subcommittee thereof exists, the Board.</w:t>
      </w:r>
    </w:p>
    <w:p>
      <w:pPr>
        <w:spacing w:after="0" w:line="45" w:lineRule="exact"/>
        <w:rPr>
          <w:sz w:val="20"/>
          <w:szCs w:val="20"/>
          <w:color w:val="auto"/>
        </w:rPr>
      </w:pPr>
    </w:p>
    <w:p>
      <w:pPr>
        <w:ind w:left="1080"/>
        <w:spacing w:after="0" w:line="287"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common stock of the Company, par value $0.01 per share (and any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securities into which such Common Stock may be converted or into which it may be exchanged).</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National Vision Holdings, Inc.</w:t>
      </w:r>
    </w:p>
    <w:p>
      <w:pPr>
        <w:spacing w:after="0" w:line="104" w:lineRule="exact"/>
        <w:rPr>
          <w:sz w:val="20"/>
          <w:szCs w:val="20"/>
          <w:color w:val="auto"/>
        </w:rPr>
      </w:pPr>
    </w:p>
    <w:p>
      <w:pPr>
        <w:ind w:left="1080" w:right="20"/>
        <w:spacing w:after="0" w:line="287" w:lineRule="auto"/>
        <w:rPr>
          <w:sz w:val="20"/>
          <w:szCs w:val="20"/>
          <w:color w:val="auto"/>
        </w:rPr>
      </w:pPr>
      <w:r>
        <w:rPr>
          <w:rFonts w:ascii="Arial" w:cs="Arial" w:eastAsia="Arial" w:hAnsi="Arial"/>
          <w:sz w:val="18"/>
          <w:szCs w:val="18"/>
          <w:b w:val="1"/>
          <w:bCs w:val="1"/>
          <w:color w:val="auto"/>
        </w:rPr>
        <w:t xml:space="preserve">"Election Period" </w:t>
      </w:r>
      <w:r>
        <w:rPr>
          <w:rFonts w:ascii="Arial" w:cs="Arial" w:eastAsia="Arial" w:hAnsi="Arial"/>
          <w:sz w:val="18"/>
          <w:szCs w:val="18"/>
          <w:color w:val="auto"/>
        </w:rPr>
        <w:t>means the period of time designated by the Committee when an eligible Associate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elect to participate in one or more Purchase Periods.</w:t>
      </w:r>
    </w:p>
    <w:p>
      <w:pPr>
        <w:spacing w:after="0" w:line="45" w:lineRule="exact"/>
        <w:rPr>
          <w:sz w:val="20"/>
          <w:szCs w:val="20"/>
          <w:color w:val="auto"/>
        </w:rPr>
      </w:pPr>
    </w:p>
    <w:p>
      <w:pPr>
        <w:ind w:left="1080" w:right="120"/>
        <w:spacing w:after="0" w:line="262" w:lineRule="auto"/>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and any successor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69" w:lineRule="exact"/>
        <w:rPr>
          <w:sz w:val="20"/>
          <w:szCs w:val="20"/>
          <w:color w:val="auto"/>
        </w:rPr>
      </w:pPr>
    </w:p>
    <w:p>
      <w:pPr>
        <w:ind w:left="1080" w:right="80"/>
        <w:spacing w:after="0" w:line="271" w:lineRule="auto"/>
        <w:rPr>
          <w:sz w:val="20"/>
          <w:szCs w:val="20"/>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means, on a given date, (i) if the Common Stock is listed on a national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w:t>
      </w:r>
    </w:p>
    <w:p>
      <w:pPr>
        <w:spacing w:after="0" w:line="66" w:lineRule="exact"/>
        <w:rPr>
          <w:sz w:val="20"/>
          <w:szCs w:val="20"/>
          <w:color w:val="auto"/>
        </w:rPr>
      </w:pPr>
    </w:p>
    <w:p>
      <w:pPr>
        <w:ind w:left="1080" w:right="100"/>
        <w:spacing w:after="0" w:line="287" w:lineRule="auto"/>
        <w:rPr>
          <w:sz w:val="20"/>
          <w:szCs w:val="20"/>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means the Committee's designation of a Purchase Period available to eligible Associates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on which an option may be exercised during the applicable Purchase Period.</w:t>
      </w:r>
    </w:p>
    <w:p>
      <w:pPr>
        <w:spacing w:after="0" w:line="45" w:lineRule="exact"/>
        <w:rPr>
          <w:sz w:val="20"/>
          <w:szCs w:val="20"/>
          <w:color w:val="auto"/>
        </w:rPr>
      </w:pPr>
    </w:p>
    <w:p>
      <w:pPr>
        <w:ind w:left="1080" w:right="340"/>
        <w:spacing w:after="0" w:line="287" w:lineRule="auto"/>
        <w:rPr>
          <w:sz w:val="20"/>
          <w:szCs w:val="20"/>
          <w:color w:val="auto"/>
        </w:rPr>
      </w:pP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means the price, determined by the Committee, at which Common Stock subject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may be purchased during a Purchase Period.</w:t>
      </w:r>
    </w:p>
    <w:p>
      <w:pPr>
        <w:spacing w:after="0" w:line="45" w:lineRule="exact"/>
        <w:rPr>
          <w:sz w:val="20"/>
          <w:szCs w:val="20"/>
          <w:color w:val="auto"/>
        </w:rPr>
      </w:pPr>
    </w:p>
    <w:p>
      <w:pPr>
        <w:ind w:left="1080" w:right="180"/>
        <w:spacing w:after="0" w:line="287"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entity or group (within the meaning of Section 13(d)(3) or 14(d)(2)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45" w:lineRule="exact"/>
        <w:rPr>
          <w:sz w:val="20"/>
          <w:szCs w:val="20"/>
          <w:color w:val="auto"/>
        </w:rPr>
      </w:pPr>
    </w:p>
    <w:p>
      <w:pPr>
        <w:ind w:left="1080" w:right="100"/>
        <w:spacing w:after="0" w:line="287"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National Vision Holdings, Inc. 2018 Associate Stock Purchase Plan, the terms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set forth herein, and any amendments thereto.</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A-2    </w:t>
      </w:r>
      <w:r>
        <w:rPr>
          <w:sz w:val="1"/>
          <w:szCs w:val="1"/>
          <w:color w:val="auto"/>
        </w:rPr>
        <w:drawing>
          <wp:inline distT="0" distB="0" distL="0" distR="0">
            <wp:extent cx="205740" cy="16319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080" w:right="40"/>
        <w:spacing w:after="0" w:line="287" w:lineRule="auto"/>
        <w:rPr>
          <w:sz w:val="20"/>
          <w:szCs w:val="20"/>
          <w:color w:val="auto"/>
        </w:rPr>
      </w:pPr>
      <w:r>
        <w:rPr>
          <w:rFonts w:ascii="Arial" w:cs="Arial" w:eastAsia="Arial" w:hAnsi="Arial"/>
          <w:sz w:val="18"/>
          <w:szCs w:val="18"/>
          <w:b w:val="1"/>
          <w:bCs w:val="1"/>
          <w:color w:val="auto"/>
        </w:rPr>
        <w:t xml:space="preserve">"Purchase Period" </w:t>
      </w:r>
      <w:r>
        <w:rPr>
          <w:rFonts w:ascii="Arial" w:cs="Arial" w:eastAsia="Arial" w:hAnsi="Arial"/>
          <w:sz w:val="18"/>
          <w:szCs w:val="18"/>
          <w:color w:val="auto"/>
        </w:rPr>
        <w:t>means a period established by the Committee during which an eligible Associate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options granted hereunder.</w:t>
      </w:r>
    </w:p>
    <w:p>
      <w:pPr>
        <w:spacing w:after="0" w:line="45"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b w:val="1"/>
          <w:bCs w:val="1"/>
          <w:color w:val="auto"/>
        </w:rPr>
        <w:t xml:space="preserve">"Stock Exchange" </w:t>
      </w:r>
      <w:r>
        <w:rPr>
          <w:rFonts w:ascii="Arial" w:cs="Arial" w:eastAsia="Arial" w:hAnsi="Arial"/>
          <w:sz w:val="18"/>
          <w:szCs w:val="18"/>
          <w:color w:val="auto"/>
        </w:rPr>
        <w:t>means the principal national securities exchange on which the Common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listed for trading, or, if the Common Stock is not listed for trading on a national securities exchange, such other recognized trading market or quotation system upon which the largest number of shares of Common Stock has been traded in the aggregate during the last 20 days before the first or last day of a Purchase Period, as applicable.</w:t>
      </w:r>
    </w:p>
    <w:p>
      <w:pPr>
        <w:spacing w:after="0" w:line="72"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any specified Person: (i) any corporation, association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 (ii) 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74" w:lineRule="exact"/>
        <w:rPr>
          <w:sz w:val="20"/>
          <w:szCs w:val="20"/>
          <w:color w:val="auto"/>
        </w:rPr>
      </w:pPr>
    </w:p>
    <w:p>
      <w:pPr>
        <w:ind w:left="1060" w:right="40" w:hanging="715"/>
        <w:spacing w:after="0" w:line="242" w:lineRule="auto"/>
        <w:tabs>
          <w:tab w:leader="none" w:pos="10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 xml:space="preserve">Stock. </w:t>
      </w:r>
      <w:r>
        <w:rPr>
          <w:rFonts w:ascii="Arial" w:cs="Arial" w:eastAsia="Arial" w:hAnsi="Arial"/>
          <w:sz w:val="18"/>
          <w:szCs w:val="18"/>
          <w:color w:val="auto"/>
        </w:rPr>
        <w:t>The stock subject to option and purchase under the Plan shall be the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be either authorized and unissued shares, shares that have been reacquired by the Company or shares purchased on the open market. The total amount of Common Stock on which options may be granted under the Plan shall not exceed 850,000 shares, subject to adjustment in accordance with Section 3.2 below. Shares of Common Stock subject to any unexercised portion of a terminated, canceled or expired option granted under the Plan may again be used for options under the Plan.</w:t>
      </w:r>
    </w:p>
    <w:p>
      <w:pPr>
        <w:spacing w:after="0" w:line="71" w:lineRule="exact"/>
        <w:rPr>
          <w:sz w:val="20"/>
          <w:szCs w:val="20"/>
          <w:color w:val="auto"/>
        </w:rPr>
      </w:pPr>
    </w:p>
    <w:p>
      <w:pPr>
        <w:ind w:left="1060" w:right="60" w:hanging="715"/>
        <w:spacing w:after="0" w:line="238" w:lineRule="auto"/>
        <w:tabs>
          <w:tab w:leader="none" w:pos="10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Plan shall be administered by the Committee. The Committee may prescribe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from time to time for the administration of the Plan, may designate Subsidiaries for participation in the Plan with respect to their Associates, and may decide questions that arise with respect to its interpretation or application. The Committee may delegate the day-to-day administrative functions relating to the Plan to individuals who are officers or employees of the Company. The decisions of the Committee in interpreting the Plan shall be final, conclusive and binding on all persons, including the Company, its Subsidiaries, Associates, and participants. The Committee, from time to time, shall grant to eligible Associates on a uniform basis, options to purchase Common Stock pursuant to the terms and conditions of the Plan. In the event of insufficient shares during a Purchase Period, the Committee shall allocate the right to purchase shares to each participant in the same proportion that such participant's total current eligible compensation paid by the Company for the Purchase Period bears to the total current eligible compensation paid by the Company to all participants during such Purchase period. All excess funds withheld, as a result of insufficient shares, shall be returned to the participating Associates.</w:t>
      </w:r>
    </w:p>
    <w:p>
      <w:pPr>
        <w:spacing w:after="0" w:line="73" w:lineRule="exact"/>
        <w:rPr>
          <w:sz w:val="20"/>
          <w:szCs w:val="20"/>
          <w:color w:val="auto"/>
        </w:rPr>
      </w:pPr>
    </w:p>
    <w:p>
      <w:pPr>
        <w:ind w:left="1060" w:hanging="715"/>
        <w:spacing w:after="0" w:line="238" w:lineRule="auto"/>
        <w:tabs>
          <w:tab w:leader="none" w:pos="10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 xml:space="preserve">Participation Outside of the United States. </w:t>
      </w:r>
      <w:r>
        <w:rPr>
          <w:rFonts w:ascii="Arial" w:cs="Arial" w:eastAsia="Arial" w:hAnsi="Arial"/>
          <w:sz w:val="18"/>
          <w:szCs w:val="18"/>
          <w:color w:val="auto"/>
        </w:rPr>
        <w:t>Notwithstanding anything in the Plan to the contrary,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sole discretion: (a) amend or vary the terms of the Plan in order to conform such terms with the requirements of each jurisdiction where a participating Subsidiary is located; (b) amend or vary the terms of the Plan in each jurisdiction where a participating Subsidiary is located as it considers necessary or desirable to take into account or to mitigate or reduce the burden of taxation and social security contributions for participating Associates and/or the participating Subsidiary; or (c) amend or vary the terms of the Plan in a jurisdiction where a participating Subsidiary is located as it considers necessary or desirable to meet the goals and objectives of the Plan. The terms and conditions contained herein which are subject to variation in a jurisdiction shall be reflected in a written attachment to the Plan for each participating Subsidiary in such jurisdiction. The Committee may, where it deems appropriate in its sole discretion, establish one or more written sub-plans of the Plan applicable to particular participating Subsidiaries outside of the United States that are not intended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97155</wp:posOffset>
            </wp:positionV>
            <wp:extent cx="20574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700" w:type="dxa"/>
            <w:vAlign w:val="bottom"/>
          </w:tcPr>
          <w:p>
            <w:pPr>
              <w:ind w:left="480"/>
              <w:spacing w:after="0"/>
              <w:rPr>
                <w:sz w:val="20"/>
                <w:szCs w:val="20"/>
                <w:color w:val="auto"/>
              </w:rPr>
            </w:pPr>
            <w:r>
              <w:rPr>
                <w:rFonts w:ascii="Arial" w:cs="Arial" w:eastAsia="Arial" w:hAnsi="Arial"/>
                <w:sz w:val="14"/>
                <w:szCs w:val="14"/>
                <w:color w:val="auto"/>
                <w:w w:val="91"/>
              </w:rPr>
              <w:t>A-3</w:t>
            </w:r>
          </w:p>
        </w:tc>
      </w:tr>
      <w:tr>
        <w:trPr>
          <w:trHeight w:val="485"/>
        </w:trPr>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8"/>
        </w:trPr>
        <w:tc>
          <w:tcPr>
            <w:tcW w:w="88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5" w:name="page56"/>
    <w:bookmarkEnd w:id="5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1087" w:right="120"/>
        <w:spacing w:after="0" w:line="253" w:lineRule="auto"/>
        <w:rPr>
          <w:sz w:val="20"/>
          <w:szCs w:val="20"/>
          <w:color w:val="auto"/>
        </w:rPr>
      </w:pPr>
      <w:r>
        <w:rPr>
          <w:rFonts w:ascii="Arial" w:cs="Arial" w:eastAsia="Arial" w:hAnsi="Arial"/>
          <w:sz w:val="18"/>
          <w:szCs w:val="18"/>
          <w:color w:val="auto"/>
        </w:rPr>
        <w:t>comply with the requirements of Section 423 of the Code to effectuate the provisions of this Section 1.7. The Committee may, in its sole discretion, establish administrative rules and procedures to facilitate the operation of the Plan in any jurisdiction. To the extent permitted under applicable law, the Committee may delegate its authority and responsibilities under this Section 1.7 to an appropriate sub-committee consisting of one or more officers of the Company.</w:t>
      </w:r>
    </w:p>
    <w:p>
      <w:pPr>
        <w:spacing w:after="0" w:line="75" w:lineRule="exact"/>
        <w:rPr>
          <w:sz w:val="20"/>
          <w:szCs w:val="20"/>
          <w:color w:val="auto"/>
        </w:rPr>
      </w:pPr>
    </w:p>
    <w:p>
      <w:pPr>
        <w:ind w:left="1067" w:right="40" w:hanging="715"/>
        <w:spacing w:after="0" w:line="247" w:lineRule="auto"/>
        <w:tabs>
          <w:tab w:leader="none" w:pos="1046"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 xml:space="preserve">Participants. </w:t>
      </w:r>
      <w:r>
        <w:rPr>
          <w:rFonts w:ascii="Arial" w:cs="Arial" w:eastAsia="Arial" w:hAnsi="Arial"/>
          <w:sz w:val="18"/>
          <w:szCs w:val="18"/>
          <w:color w:val="auto"/>
        </w:rPr>
        <w:t>Except as provided in Section 2.4 below, any person who is an Associate at the time an</w:t>
      </w:r>
      <w:r>
        <w:rPr>
          <w:rFonts w:ascii="Arial" w:cs="Arial" w:eastAsia="Arial" w:hAnsi="Arial"/>
          <w:sz w:val="18"/>
          <w:szCs w:val="18"/>
          <w:b w:val="1"/>
          <w:bCs w:val="1"/>
          <w:color w:val="auto"/>
        </w:rPr>
        <w:t xml:space="preserve"> </w:t>
      </w:r>
      <w:r>
        <w:rPr>
          <w:rFonts w:ascii="Arial" w:cs="Arial" w:eastAsia="Arial" w:hAnsi="Arial"/>
          <w:sz w:val="18"/>
          <w:szCs w:val="18"/>
          <w:color w:val="auto"/>
        </w:rPr>
        <w:t>Offer commences is eligible to participate in such Offer under the Plan, in accordance with the terms of the Plan. An Associate who meets the eligibility requirements in this Section 1.8 shall be entitled to participate in the first Offer commencing after the eligibility requirements have been satisfied.</w:t>
      </w:r>
    </w:p>
    <w:p>
      <w:pPr>
        <w:spacing w:after="0" w:line="66"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OFFER TERMS</w:t>
      </w:r>
    </w:p>
    <w:p>
      <w:pPr>
        <w:spacing w:after="0" w:line="103" w:lineRule="exact"/>
        <w:rPr>
          <w:rFonts w:ascii="Arial" w:cs="Arial" w:eastAsia="Arial" w:hAnsi="Arial"/>
          <w:sz w:val="18"/>
          <w:szCs w:val="18"/>
          <w:b w:val="1"/>
          <w:bCs w:val="1"/>
          <w:color w:val="auto"/>
        </w:rPr>
      </w:pPr>
    </w:p>
    <w:p>
      <w:pPr>
        <w:ind w:left="34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7"/>
          <w:szCs w:val="17"/>
          <w:b w:val="1"/>
          <w:bCs w:val="1"/>
          <w:color w:val="auto"/>
        </w:rPr>
        <w:t>Offer and Purchase Period.</w:t>
      </w:r>
    </w:p>
    <w:p>
      <w:pPr>
        <w:spacing w:after="0" w:line="125" w:lineRule="exact"/>
        <w:rPr>
          <w:rFonts w:ascii="Arial" w:cs="Arial" w:eastAsia="Arial" w:hAnsi="Arial"/>
          <w:sz w:val="18"/>
          <w:szCs w:val="18"/>
          <w:b w:val="1"/>
          <w:bCs w:val="1"/>
          <w:color w:val="auto"/>
        </w:rPr>
      </w:pPr>
    </w:p>
    <w:p>
      <w:pPr>
        <w:ind w:left="1427" w:right="40" w:hanging="346"/>
        <w:spacing w:after="0" w:line="239" w:lineRule="auto"/>
        <w:tabs>
          <w:tab w:leader="none" w:pos="14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Committee shall determine the date or dates upon which one or more Offers shall be made under the Plan. The Purchase Period pursuant to each Offer shall be three (3) months, or such other term as the Committee shall determine prior to the commencement of an Offer, but which in no event shall exceed twenty-seven (27) months.</w:t>
      </w:r>
    </w:p>
    <w:p>
      <w:pPr>
        <w:spacing w:after="0" w:line="93" w:lineRule="exact"/>
        <w:rPr>
          <w:rFonts w:ascii="Arial" w:cs="Arial" w:eastAsia="Arial" w:hAnsi="Arial"/>
          <w:sz w:val="18"/>
          <w:szCs w:val="18"/>
          <w:color w:val="auto"/>
        </w:rPr>
      </w:pPr>
    </w:p>
    <w:p>
      <w:pPr>
        <w:ind w:left="1427" w:hanging="346"/>
        <w:spacing w:after="0" w:line="236" w:lineRule="auto"/>
        <w:tabs>
          <w:tab w:leader="none" w:pos="14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participate in an Offer, an eligible Associate must follow an enrollment process as shall be prescribed by the Committee (which shall include payroll deduction authorization) at such time and in such manner as shall be prescribed by the Committee. The payroll deductions authorized by a participant on a payroll deduction authorization may be expressed (i) as a specified whole dollar amount to be withheld from a participant's eligible compensation or bonus on one or more designated payroll dates, or (ii) as a whole number percentage of the participant's eligible compensation for each pay period during the Purchase Period. For purposes of the Plan, a participant's eligible compensation for a pay period shall include the participant's base compensation and may include annual bonus but shall exclude items such as sick pay, severance pay, moving expenses, expense reimbursements and allowances and other special payments and supplemental compensation. A participant may not purchase more than $25,000 in shares of Common Stock (inclusive of payroll deduction and applicable purchase discount) in a calendar year, as determined in accordance with Section 423(b)(8) of the Code. The maximum number of shares that a participant may purchase in any Purchase Period is 5,000 shares of Common Stock. The Committee may establish limitation(s) on contribution, including but not limited to a maximum limit on single cash contributions.</w:t>
      </w:r>
    </w:p>
    <w:p>
      <w:pPr>
        <w:spacing w:after="0" w:line="72" w:lineRule="exact"/>
        <w:rPr>
          <w:sz w:val="20"/>
          <w:szCs w:val="20"/>
          <w:color w:val="auto"/>
        </w:rPr>
      </w:pPr>
    </w:p>
    <w:p>
      <w:pPr>
        <w:ind w:left="1067" w:right="20" w:hanging="715"/>
        <w:spacing w:after="0" w:line="253" w:lineRule="auto"/>
        <w:tabs>
          <w:tab w:leader="none" w:pos="1046"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The Option Price at which shares of Common Stock may be purchased under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determined by the Committee at the time of the Offer but in no event shall such amount be less than the lesser of:</w:t>
      </w:r>
    </w:p>
    <w:p>
      <w:pPr>
        <w:spacing w:after="0" w:line="83" w:lineRule="exact"/>
        <w:rPr>
          <w:sz w:val="20"/>
          <w:szCs w:val="20"/>
          <w:color w:val="auto"/>
        </w:rPr>
      </w:pPr>
    </w:p>
    <w:p>
      <w:pPr>
        <w:ind w:left="1427" w:right="100" w:hanging="346"/>
        <w:spacing w:after="0" w:line="246" w:lineRule="auto"/>
        <w:tabs>
          <w:tab w:leader="none" w:pos="14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date of grant of the option (first day of a Purchase Period), or</w:t>
      </w:r>
    </w:p>
    <w:p>
      <w:pPr>
        <w:spacing w:after="0" w:line="88" w:lineRule="exact"/>
        <w:rPr>
          <w:rFonts w:ascii="Arial" w:cs="Arial" w:eastAsia="Arial" w:hAnsi="Arial"/>
          <w:sz w:val="18"/>
          <w:szCs w:val="18"/>
          <w:color w:val="auto"/>
        </w:rPr>
      </w:pPr>
    </w:p>
    <w:p>
      <w:pPr>
        <w:ind w:left="1427" w:right="820" w:hanging="346"/>
        <w:spacing w:after="0" w:line="246" w:lineRule="auto"/>
        <w:tabs>
          <w:tab w:leader="none" w:pos="14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85% of the Fair Market Value of a share of Common Stock on the date the option is deemed exercised pursuant to Section 2.4(d) (last day of a Purchase Period).</w:t>
      </w:r>
    </w:p>
    <w:p>
      <w:pPr>
        <w:spacing w:after="0" w:line="67" w:lineRule="exact"/>
        <w:rPr>
          <w:sz w:val="20"/>
          <w:szCs w:val="20"/>
          <w:color w:val="auto"/>
        </w:rPr>
      </w:pPr>
    </w:p>
    <w:p>
      <w:pPr>
        <w:ind w:left="347"/>
        <w:spacing w:after="0"/>
        <w:tabs>
          <w:tab w:leader="none" w:pos="1046"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Participation.</w:t>
      </w:r>
    </w:p>
    <w:p>
      <w:pPr>
        <w:spacing w:after="0" w:line="126" w:lineRule="exact"/>
        <w:rPr>
          <w:sz w:val="20"/>
          <w:szCs w:val="20"/>
          <w:color w:val="auto"/>
        </w:rPr>
      </w:pPr>
    </w:p>
    <w:p>
      <w:pPr>
        <w:ind w:left="1427" w:right="140" w:hanging="346"/>
        <w:spacing w:after="0" w:line="238" w:lineRule="auto"/>
        <w:tabs>
          <w:tab w:leader="none" w:pos="14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eligible Associate may elect to participate in an Offer by delivering to the Company an election to participate and a payroll deduction authorization within the Election Period designated by the Committee prior to the commencement of a Purchase Period. An eligible Associate's election to participate and payroll deduction authorization from the preceding Election Period automatically shall carry over to the next Election Period unless affirmatively revoked by the Associate.</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4"/>
          <w:szCs w:val="14"/>
          <w:color w:val="auto"/>
        </w:rPr>
        <w:t xml:space="preserve">A-4    </w:t>
      </w:r>
      <w:r>
        <w:rPr>
          <w:sz w:val="1"/>
          <w:szCs w:val="1"/>
          <w:color w:val="auto"/>
        </w:rPr>
        <w:drawing>
          <wp:inline distT="0" distB="0" distL="0" distR="0">
            <wp:extent cx="205740" cy="16319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ind w:left="1420" w:right="220" w:hanging="346"/>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Associates granted options under the Plan shall have the same rights and privileges under the Plan, except that the number of shares each participant may purchase shall depend upon his or her eligible compensation and the designated payroll deduction he or she authorizes.</w:t>
      </w:r>
    </w:p>
    <w:p>
      <w:pPr>
        <w:spacing w:after="0" w:line="94" w:lineRule="exact"/>
        <w:rPr>
          <w:rFonts w:ascii="Arial" w:cs="Arial" w:eastAsia="Arial" w:hAnsi="Arial"/>
          <w:sz w:val="18"/>
          <w:szCs w:val="18"/>
          <w:color w:val="auto"/>
        </w:rPr>
      </w:pPr>
    </w:p>
    <w:p>
      <w:pPr>
        <w:ind w:left="1420" w:right="80" w:hanging="346"/>
        <w:spacing w:after="0" w:line="255" w:lineRule="auto"/>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Payroll deductions shall commence on the first payroll date in the Purchase Period and shall continue until the last payroll date in the Purchase Period. An Associate may withdraw from participation by making the withdrawal election at least one calendar day prior to Purchase Period end date in accordance with such rules as required by the Committee. An Associate may not suspend payroll deductions during a Purchase Period for any reason other for purposes of a withdrawal.</w:t>
      </w:r>
    </w:p>
    <w:p>
      <w:pPr>
        <w:spacing w:after="0" w:line="82" w:lineRule="exact"/>
        <w:rPr>
          <w:rFonts w:ascii="Arial" w:cs="Arial" w:eastAsia="Arial" w:hAnsi="Arial"/>
          <w:sz w:val="17"/>
          <w:szCs w:val="17"/>
          <w:color w:val="auto"/>
        </w:rPr>
      </w:pPr>
    </w:p>
    <w:p>
      <w:pPr>
        <w:ind w:left="1420" w:right="40" w:hanging="346"/>
        <w:spacing w:after="0" w:line="246"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participating Associate's option shall be deemed to have been exercised on the last business day of the Purchase Period.</w:t>
      </w:r>
    </w:p>
    <w:p>
      <w:pPr>
        <w:spacing w:after="0" w:line="88" w:lineRule="exact"/>
        <w:rPr>
          <w:rFonts w:ascii="Arial" w:cs="Arial" w:eastAsia="Arial" w:hAnsi="Arial"/>
          <w:sz w:val="18"/>
          <w:szCs w:val="18"/>
          <w:color w:val="auto"/>
        </w:rPr>
      </w:pPr>
    </w:p>
    <w:p>
      <w:pPr>
        <w:ind w:left="1420" w:right="20" w:hanging="346"/>
        <w:spacing w:after="0" w:line="238"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soon as reasonably practicable after the end of the Purchase Period, the Company shall deliver to each Associate, in a manner determined by the Committee, the shares of Common Stock that such Associate has purchased. The amount of any payroll deduction that exceeds the limits set forth in Sections 2.1(b) and 2.4 shall be returned to the participant as soon as reasonably practicable after the end of the Purchase Period in which it was withheld.</w:t>
      </w:r>
    </w:p>
    <w:p>
      <w:pPr>
        <w:spacing w:after="0" w:line="94" w:lineRule="exact"/>
        <w:rPr>
          <w:rFonts w:ascii="Arial" w:cs="Arial" w:eastAsia="Arial" w:hAnsi="Arial"/>
          <w:sz w:val="18"/>
          <w:szCs w:val="18"/>
          <w:color w:val="auto"/>
        </w:rPr>
      </w:pPr>
    </w:p>
    <w:p>
      <w:pPr>
        <w:ind w:left="1420" w:right="180" w:hanging="346"/>
        <w:spacing w:after="0" w:line="239"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retains the right to designate an exclusive broker to handle the Common Stock transactions under the Plan and may require participating Associates to hold the shares of Common Stock acquired under the Plan in a designated brokerage account established with such broker for a minimum period of time to effectuate the administration of the Plan.</w:t>
      </w:r>
    </w:p>
    <w:p>
      <w:pPr>
        <w:spacing w:after="0" w:line="93" w:lineRule="exact"/>
        <w:rPr>
          <w:rFonts w:ascii="Arial" w:cs="Arial" w:eastAsia="Arial" w:hAnsi="Arial"/>
          <w:sz w:val="18"/>
          <w:szCs w:val="18"/>
          <w:color w:val="auto"/>
        </w:rPr>
      </w:pPr>
    </w:p>
    <w:p>
      <w:pPr>
        <w:ind w:left="1420" w:right="40" w:hanging="346"/>
        <w:spacing w:after="0" w:line="246"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determined by the Committee or required under local law, no interest shall accrue or be paid on any amounts paid by payroll deduction by any participating Associate.</w:t>
      </w:r>
    </w:p>
    <w:p>
      <w:pPr>
        <w:spacing w:after="0" w:line="67" w:lineRule="exact"/>
        <w:rPr>
          <w:sz w:val="20"/>
          <w:szCs w:val="20"/>
          <w:color w:val="auto"/>
        </w:rPr>
      </w:pPr>
    </w:p>
    <w:p>
      <w:pPr>
        <w:ind w:left="1060" w:right="120" w:hanging="715"/>
        <w:spacing w:after="0" w:line="271" w:lineRule="auto"/>
        <w:tabs>
          <w:tab w:leader="none" w:pos="10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 xml:space="preserve">Participation Limitations. </w:t>
      </w:r>
      <w:r>
        <w:rPr>
          <w:rFonts w:ascii="Arial" w:cs="Arial" w:eastAsia="Arial" w:hAnsi="Arial"/>
          <w:sz w:val="18"/>
          <w:szCs w:val="18"/>
          <w:color w:val="auto"/>
        </w:rPr>
        <w:t>Notwithstanding any other provision of the Plan, no Associate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in an Offer under the Plan if:</w:t>
      </w:r>
    </w:p>
    <w:p>
      <w:pPr>
        <w:spacing w:after="0" w:line="68" w:lineRule="exact"/>
        <w:rPr>
          <w:sz w:val="20"/>
          <w:szCs w:val="20"/>
          <w:color w:val="auto"/>
        </w:rPr>
      </w:pPr>
    </w:p>
    <w:p>
      <w:pPr>
        <w:ind w:left="1420" w:right="80" w:hanging="346"/>
        <w:spacing w:after="0" w:line="23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Associate, immediately after such grant, would, in the aggregate, own and/or hold shares of Common Stock (including all shares which may be purchased under outstanding options, whether or not such options qualify for the special tax treatment afforded by Section 421(a) of the Code) equal to or exceeding five percent (5%) or more of the total combined voting power or value of all classes of capital stock of the Company or of its Subsidiaries; for purposes of this limitation, the rules of Section 424(d) of the Code and the regulations promulgated thereunder (relating to attribution of stock ownership) shall apply; or</w:t>
      </w:r>
    </w:p>
    <w:p>
      <w:pPr>
        <w:spacing w:after="0" w:line="95" w:lineRule="exact"/>
        <w:rPr>
          <w:rFonts w:ascii="Arial" w:cs="Arial" w:eastAsia="Arial" w:hAnsi="Arial"/>
          <w:sz w:val="18"/>
          <w:szCs w:val="18"/>
          <w:color w:val="auto"/>
        </w:rPr>
      </w:pPr>
    </w:p>
    <w:p>
      <w:pPr>
        <w:ind w:left="1420" w:right="80" w:hanging="346"/>
        <w:spacing w:after="0" w:line="23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grant would permit, under the rules set forth in Section 423 of the Code and the regulations promulgated thereunder, the Associate's right to purchase stock under the Plan and all other employee stock purchase plans maintained by the Company and its Subsidiaries that are intended to qualify under Section 423 of the Code to accrue at a rate in excess of $25,000 in Fair Market Value of such stock (determined at the time such option is granted) for each calendar year in which such option is outstanding at any time.</w:t>
      </w:r>
    </w:p>
    <w:p>
      <w:pPr>
        <w:spacing w:after="0" w:line="75" w:lineRule="exact"/>
        <w:rPr>
          <w:sz w:val="20"/>
          <w:szCs w:val="20"/>
          <w:color w:val="auto"/>
        </w:rPr>
      </w:pPr>
    </w:p>
    <w:p>
      <w:pPr>
        <w:ind w:left="1060" w:right="40" w:hanging="715"/>
        <w:spacing w:after="0" w:line="241" w:lineRule="auto"/>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In the event any participating Associate's employment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 Subsidiary designated for participation in the Plan is terminated for any reason (including, but not limited to, voluntary or forced resignation, retirement, death, disability or lay-off) prior to the expiration of a Purchase Period, the terminated Associate's participation in the Plan shall cease, and all amounts credited to the terminated Associate's account (and any payroll deductions previously authorized by the terminated Associate attributable to payroll periods prior to the Associate's last day of employment) shall be refunded to the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93980</wp:posOffset>
            </wp:positionV>
            <wp:extent cx="20574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700" w:type="dxa"/>
            <w:vAlign w:val="bottom"/>
          </w:tcPr>
          <w:p>
            <w:pPr>
              <w:ind w:left="480"/>
              <w:spacing w:after="0"/>
              <w:rPr>
                <w:sz w:val="20"/>
                <w:szCs w:val="20"/>
                <w:color w:val="auto"/>
              </w:rPr>
            </w:pPr>
            <w:r>
              <w:rPr>
                <w:rFonts w:ascii="Arial" w:cs="Arial" w:eastAsia="Arial" w:hAnsi="Arial"/>
                <w:sz w:val="14"/>
                <w:szCs w:val="14"/>
                <w:color w:val="auto"/>
                <w:w w:val="91"/>
              </w:rPr>
              <w:t>A-5</w:t>
            </w:r>
          </w:p>
        </w:tc>
      </w:tr>
      <w:tr>
        <w:trPr>
          <w:trHeight w:val="485"/>
        </w:trPr>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8"/>
        </w:trPr>
        <w:tc>
          <w:tcPr>
            <w:tcW w:w="88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7" w:name="page58"/>
    <w:bookmarkEnd w:id="5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7" w:hanging="347"/>
        <w:spacing w:after="0"/>
        <w:tabs>
          <w:tab w:leader="none" w:pos="34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03" w:lineRule="exact"/>
        <w:rPr>
          <w:rFonts w:ascii="Arial" w:cs="Arial" w:eastAsia="Arial" w:hAnsi="Arial"/>
          <w:sz w:val="18"/>
          <w:szCs w:val="18"/>
          <w:b w:val="1"/>
          <w:bCs w:val="1"/>
          <w:color w:val="auto"/>
        </w:rPr>
      </w:pPr>
    </w:p>
    <w:p>
      <w:pPr>
        <w:ind w:left="1067" w:right="320" w:hanging="716"/>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3.1.Non-Assignability. </w:t>
      </w:r>
      <w:r>
        <w:rPr>
          <w:rFonts w:ascii="Arial" w:cs="Arial" w:eastAsia="Arial" w:hAnsi="Arial"/>
          <w:sz w:val="18"/>
          <w:szCs w:val="18"/>
          <w:color w:val="auto"/>
        </w:rPr>
        <w:t>No option shall be transferable by a participating Associate, and an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during a participating Associate's lifetime only by the Associate.</w:t>
      </w:r>
    </w:p>
    <w:p>
      <w:pPr>
        <w:spacing w:after="0" w:line="45" w:lineRule="exact"/>
        <w:rPr>
          <w:rFonts w:ascii="Arial" w:cs="Arial" w:eastAsia="Arial" w:hAnsi="Arial"/>
          <w:sz w:val="18"/>
          <w:szCs w:val="18"/>
          <w:b w:val="1"/>
          <w:bCs w:val="1"/>
          <w:color w:val="auto"/>
        </w:rPr>
      </w:pPr>
    </w:p>
    <w:p>
      <w:pPr>
        <w:ind w:left="1067" w:hanging="716"/>
        <w:spacing w:after="0" w:line="23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3.2.Adjustments. </w:t>
      </w:r>
      <w:r>
        <w:rPr>
          <w:rFonts w:ascii="Arial" w:cs="Arial" w:eastAsia="Arial" w:hAnsi="Arial"/>
          <w:sz w:val="18"/>
          <w:szCs w:val="18"/>
          <w:color w:val="auto"/>
        </w:rPr>
        <w:t>In the event of a merger, reorganization, consolidation, recapitalization,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cash, shares or other property), stock split, reverse stock split, spin-off or similar transaction or other change in corporate structure affecting the Common Stock or the value thereof, the Committee shall make such adjustments and substitutions to the Plan and options as are necessary to ensure that each Plan participant has the same economic interest in the Plan as before the event, including but not limited to adjustments in the aggregate number, class and kind of securities that may be delivered under the Plan in the aggregate or to any one participant, adjustments in the number, class, kind and option price of securities subject to outstanding options under the Plan, and the substitution of similar options to purchase the shares of another Company. Any of the foregoing adjustments may provide for the elimination of any fractional share which might otherwise become subject to any option.</w:t>
      </w:r>
    </w:p>
    <w:p>
      <w:pPr>
        <w:spacing w:after="0" w:line="72" w:lineRule="exact"/>
        <w:rPr>
          <w:rFonts w:ascii="Arial" w:cs="Arial" w:eastAsia="Arial" w:hAnsi="Arial"/>
          <w:sz w:val="18"/>
          <w:szCs w:val="18"/>
          <w:b w:val="1"/>
          <w:bCs w:val="1"/>
          <w:color w:val="auto"/>
        </w:rPr>
      </w:pPr>
    </w:p>
    <w:p>
      <w:pPr>
        <w:ind w:left="34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3.3.Change in Control.</w:t>
      </w:r>
    </w:p>
    <w:p>
      <w:pPr>
        <w:spacing w:after="0" w:line="125" w:lineRule="exact"/>
        <w:rPr>
          <w:rFonts w:ascii="Arial" w:cs="Arial" w:eastAsia="Arial" w:hAnsi="Arial"/>
          <w:sz w:val="18"/>
          <w:szCs w:val="18"/>
          <w:b w:val="1"/>
          <w:bCs w:val="1"/>
          <w:color w:val="auto"/>
        </w:rPr>
      </w:pPr>
    </w:p>
    <w:p>
      <w:pPr>
        <w:ind w:left="1427" w:right="220" w:hanging="346"/>
        <w:spacing w:after="0" w:line="238" w:lineRule="auto"/>
        <w:tabs>
          <w:tab w:leader="none" w:pos="142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event of a Change in Control, the Committee shall have the right to terminate the Purchase Period as of such date, and, if so terminated, each participant shall be deemed to have exercised, immediately prior to such Change in Control, his or her option to the extent payroll deductions were made prior thereto. Comparable rights shall accrue to each participant in the event of successive Changes in Control.</w:t>
      </w:r>
    </w:p>
    <w:p>
      <w:pPr>
        <w:spacing w:after="0" w:line="94" w:lineRule="exact"/>
        <w:rPr>
          <w:rFonts w:ascii="Arial" w:cs="Arial" w:eastAsia="Arial" w:hAnsi="Arial"/>
          <w:sz w:val="18"/>
          <w:szCs w:val="18"/>
          <w:color w:val="auto"/>
        </w:rPr>
      </w:pPr>
    </w:p>
    <w:p>
      <w:pPr>
        <w:jc w:val="both"/>
        <w:ind w:left="1427" w:right="720" w:hanging="346"/>
        <w:spacing w:after="0"/>
        <w:tabs>
          <w:tab w:leader="none" w:pos="142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foregoing adjustments and the manner of application of the foregoing provisions shall be determined by the Committee in its sole discretion. Any such adjustment may provide for the elimination of any fractional share which might otherwise become subject to an option.</w:t>
      </w:r>
    </w:p>
    <w:p>
      <w:pPr>
        <w:spacing w:after="0" w:line="73" w:lineRule="exact"/>
        <w:rPr>
          <w:sz w:val="20"/>
          <w:szCs w:val="20"/>
          <w:color w:val="auto"/>
        </w:rPr>
      </w:pPr>
    </w:p>
    <w:p>
      <w:pPr>
        <w:ind w:left="347"/>
        <w:spacing w:after="0"/>
        <w:tabs>
          <w:tab w:leader="none" w:pos="1046"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Termination and Amendment.</w:t>
      </w:r>
    </w:p>
    <w:p>
      <w:pPr>
        <w:spacing w:after="0" w:line="126" w:lineRule="exact"/>
        <w:rPr>
          <w:sz w:val="20"/>
          <w:szCs w:val="20"/>
          <w:color w:val="auto"/>
        </w:rPr>
      </w:pPr>
    </w:p>
    <w:p>
      <w:pPr>
        <w:ind w:left="1427" w:hanging="346"/>
        <w:spacing w:after="0"/>
        <w:tabs>
          <w:tab w:leader="none" w:pos="14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may terminate the Plan, or the granting of options under the Plan, at any time.</w:t>
      </w:r>
    </w:p>
    <w:p>
      <w:pPr>
        <w:spacing w:after="0" w:line="103" w:lineRule="exact"/>
        <w:rPr>
          <w:rFonts w:ascii="Arial" w:cs="Arial" w:eastAsia="Arial" w:hAnsi="Arial"/>
          <w:sz w:val="18"/>
          <w:szCs w:val="18"/>
          <w:color w:val="auto"/>
        </w:rPr>
      </w:pPr>
    </w:p>
    <w:p>
      <w:pPr>
        <w:ind w:left="1427" w:right="240" w:hanging="346"/>
        <w:spacing w:after="0"/>
        <w:tabs>
          <w:tab w:leader="none" w:pos="14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may amend or modify the Plan at any time, and from time to time, but no amendment or modification shall disqualify the Plan under Section 423 of the Code or Rule 16b-3 under the Exchange Act without the approval of the stockholders of the Company.</w:t>
      </w:r>
    </w:p>
    <w:p>
      <w:pPr>
        <w:spacing w:after="0" w:line="94" w:lineRule="exact"/>
        <w:rPr>
          <w:rFonts w:ascii="Arial" w:cs="Arial" w:eastAsia="Arial" w:hAnsi="Arial"/>
          <w:sz w:val="18"/>
          <w:szCs w:val="18"/>
          <w:color w:val="auto"/>
        </w:rPr>
      </w:pPr>
    </w:p>
    <w:p>
      <w:pPr>
        <w:ind w:left="1427" w:right="420" w:hanging="346"/>
        <w:spacing w:after="0" w:line="246" w:lineRule="auto"/>
        <w:tabs>
          <w:tab w:leader="none" w:pos="14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amendment, modification, or termination of the Plan shall adversely affect any option granted under the Plan without the consent of the Associate holding the option.</w:t>
      </w:r>
    </w:p>
    <w:p>
      <w:pPr>
        <w:spacing w:after="0" w:line="67" w:lineRule="exact"/>
        <w:rPr>
          <w:sz w:val="20"/>
          <w:szCs w:val="20"/>
          <w:color w:val="auto"/>
        </w:rPr>
      </w:pPr>
    </w:p>
    <w:p>
      <w:pPr>
        <w:ind w:left="347"/>
        <w:spacing w:after="0"/>
        <w:tabs>
          <w:tab w:leader="none" w:pos="1046"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Dividends.</w:t>
      </w:r>
    </w:p>
    <w:p>
      <w:pPr>
        <w:spacing w:after="0" w:line="108" w:lineRule="exact"/>
        <w:rPr>
          <w:sz w:val="20"/>
          <w:szCs w:val="20"/>
          <w:color w:val="auto"/>
        </w:rPr>
      </w:pPr>
    </w:p>
    <w:p>
      <w:pPr>
        <w:ind w:left="1427" w:right="60" w:hanging="346"/>
        <w:spacing w:after="0"/>
        <w:tabs>
          <w:tab w:leader="none" w:pos="142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Rights Prior to Issuance of Shares. </w:t>
      </w:r>
      <w:r>
        <w:rPr>
          <w:rFonts w:ascii="Arial" w:cs="Arial" w:eastAsia="Arial" w:hAnsi="Arial"/>
          <w:sz w:val="18"/>
          <w:szCs w:val="18"/>
          <w:color w:val="auto"/>
        </w:rPr>
        <w:t>No participating Associate shall have any rights as a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shares covered by an option until the issuance of a stock certificate or electronic transfer to the Associate (or book entry representing such shares has been made and such shares have been deposited with the appropriate registered book-entry custodian). No adjustment shall be made for dividends or other rights with respect to such shares for which the record date is prior to the date when the certificate is issued or the shares electronically delivered to the Associate's brokerage account.</w:t>
      </w:r>
    </w:p>
    <w:p>
      <w:pPr>
        <w:spacing w:after="0" w:line="77" w:lineRule="exact"/>
        <w:rPr>
          <w:rFonts w:ascii="Arial" w:cs="Arial" w:eastAsia="Arial" w:hAnsi="Arial"/>
          <w:sz w:val="18"/>
          <w:szCs w:val="18"/>
          <w:color w:val="auto"/>
        </w:rPr>
      </w:pPr>
    </w:p>
    <w:p>
      <w:pPr>
        <w:ind w:left="1427" w:right="40" w:hanging="346"/>
        <w:spacing w:after="0" w:line="239" w:lineRule="auto"/>
        <w:tabs>
          <w:tab w:leader="none" w:pos="142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Dividend Reinvestment. </w:t>
      </w:r>
      <w:r>
        <w:rPr>
          <w:rFonts w:ascii="Arial" w:cs="Arial" w:eastAsia="Arial" w:hAnsi="Arial"/>
          <w:sz w:val="18"/>
          <w:szCs w:val="18"/>
          <w:color w:val="auto"/>
        </w:rPr>
        <w:t>Each Associate’s Plan account shall be established with the following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policy. Cash dividends, if any, paid with respect to the Common Stock held in each account under the Plan shall be automatically reinvested in Common Stock, unless the Associate directs otherwise. The plan service provider shall arrange for the reinvestment of dividends on the open market at the Associate’s expense as soon as the plan service provider receives the cash dividends. The Company will not pay any expenses associated with reinvesting dividends. The Committee shall have the right at any time or from time to time upon written notice to the plan service provider to change the default dividend reinvestment policy established under the Plan.</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4"/>
          <w:szCs w:val="14"/>
          <w:color w:val="auto"/>
        </w:rPr>
        <w:t xml:space="preserve">A-6    </w:t>
      </w:r>
      <w:r>
        <w:rPr>
          <w:sz w:val="1"/>
          <w:szCs w:val="1"/>
          <w:color w:val="auto"/>
        </w:rPr>
        <w:drawing>
          <wp:inline distT="0" distB="0" distL="0" distR="0">
            <wp:extent cx="205740" cy="16319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5740" cy="163195"/>
                    </a:xfrm>
                    <a:prstGeom prst="rect">
                      <a:avLst/>
                    </a:prstGeom>
                    <a:noFill/>
                    <a:ln>
                      <a:noFill/>
                    </a:ln>
                  </pic:spPr>
                </pic:pic>
              </a:graphicData>
            </a:graphic>
          </wp:inline>
        </w:drawing>
      </w:r>
      <w:r>
        <w:rPr>
          <w:rFonts w:ascii="Arial" w:cs="Arial" w:eastAsia="Arial" w:hAnsi="Arial"/>
          <w:sz w:val="14"/>
          <w:szCs w:val="14"/>
          <w:color w:val="auto"/>
        </w:rPr>
        <w:t xml:space="preserve">   2018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Securities Laws.</w:t>
      </w:r>
    </w:p>
    <w:p>
      <w:pPr>
        <w:spacing w:after="0" w:line="126" w:lineRule="exact"/>
        <w:rPr>
          <w:sz w:val="20"/>
          <w:szCs w:val="20"/>
          <w:color w:val="auto"/>
        </w:rPr>
      </w:pPr>
    </w:p>
    <w:p>
      <w:pPr>
        <w:ind w:left="1420" w:right="20" w:hanging="346"/>
        <w:spacing w:after="0" w:line="236"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Anything to the contrary herein notwithstanding, the Company's obligation to sell and deliver Common Stock pursuant to the exercise of an option is subject to such compliance with U.S. federal, state and non-U.S. laws, rules and regulations applying to the authorization, issuance or sale of securities as the Company deems necessary or advisable. The Company shall not be required to sell and deliver or issue Common Stock unless and until it receives satisfactory assurance that the issuance or transfer of such shares shall not violate any of the provisions of the Securities Act of 1933 or the Exchange Act, or the rules and regulations of the Securities Exchange Commission promulgated thereunder or those of any stock exchange on which the stock may be listed and the provisions of any state and non-U.S. laws governing the sale of securities, or that there has been compliance with the provisions of such acts, rules, regulations and laws.</w:t>
      </w:r>
    </w:p>
    <w:p>
      <w:pPr>
        <w:spacing w:after="0" w:line="98" w:lineRule="exact"/>
        <w:rPr>
          <w:rFonts w:ascii="Arial" w:cs="Arial" w:eastAsia="Arial" w:hAnsi="Arial"/>
          <w:sz w:val="18"/>
          <w:szCs w:val="18"/>
          <w:color w:val="auto"/>
        </w:rPr>
      </w:pPr>
    </w:p>
    <w:p>
      <w:pPr>
        <w:ind w:left="1420" w:right="60" w:hanging="346"/>
        <w:spacing w:after="0" w:line="23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Board may impose such restrictions on any shares of Common Stock acquired pursuant to the exercise of an option under the Plan as it may deem advisable, including, without limitation, restrictions (i) under applicable federal securities laws, (ii) under the requirements of a Stock Exchange or other recognized trading market upon which such shares of Common Stock are then listed or traded, and (iii) under any blue sky or state securities laws applicable to such shares. No shares shall be issued until counsel for the Company has determined that the Company has complied with all requirements under appropriate securities laws.</w:t>
      </w:r>
    </w:p>
    <w:p>
      <w:pPr>
        <w:spacing w:after="0" w:line="73" w:lineRule="exact"/>
        <w:rPr>
          <w:sz w:val="20"/>
          <w:szCs w:val="20"/>
          <w:color w:val="auto"/>
        </w:rPr>
      </w:pPr>
    </w:p>
    <w:p>
      <w:pPr>
        <w:ind w:left="1060" w:right="300" w:hanging="715"/>
        <w:spacing w:after="0" w:line="271" w:lineRule="auto"/>
        <w:tabs>
          <w:tab w:leader="none" w:pos="10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 xml:space="preserve">Delivery of Plan. </w:t>
      </w:r>
      <w:r>
        <w:rPr>
          <w:rFonts w:ascii="Arial" w:cs="Arial" w:eastAsia="Arial" w:hAnsi="Arial"/>
          <w:sz w:val="18"/>
          <w:szCs w:val="18"/>
          <w:color w:val="auto"/>
        </w:rPr>
        <w:t>Each Associate who is a participant in the Plan shall be provided or have access to a</w:t>
      </w:r>
      <w:r>
        <w:rPr>
          <w:rFonts w:ascii="Arial" w:cs="Arial" w:eastAsia="Arial" w:hAnsi="Arial"/>
          <w:sz w:val="18"/>
          <w:szCs w:val="18"/>
          <w:b w:val="1"/>
          <w:bCs w:val="1"/>
          <w:color w:val="auto"/>
        </w:rPr>
        <w:t xml:space="preserve"> </w:t>
      </w:r>
      <w:r>
        <w:rPr>
          <w:rFonts w:ascii="Arial" w:cs="Arial" w:eastAsia="Arial" w:hAnsi="Arial"/>
          <w:sz w:val="18"/>
          <w:szCs w:val="18"/>
          <w:color w:val="auto"/>
        </w:rPr>
        <w:t>copy of the Plan.</w:t>
      </w:r>
    </w:p>
    <w:p>
      <w:pPr>
        <w:spacing w:after="0" w:line="46" w:lineRule="exact"/>
        <w:rPr>
          <w:sz w:val="20"/>
          <w:szCs w:val="20"/>
          <w:color w:val="auto"/>
        </w:rPr>
      </w:pPr>
    </w:p>
    <w:p>
      <w:pPr>
        <w:ind w:left="1060" w:hanging="715"/>
        <w:spacing w:after="0" w:line="253" w:lineRule="auto"/>
        <w:tabs>
          <w:tab w:leader="none" w:pos="10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 xml:space="preserve">Effect on Employment. </w:t>
      </w:r>
      <w:r>
        <w:rPr>
          <w:rFonts w:ascii="Arial" w:cs="Arial" w:eastAsia="Arial" w:hAnsi="Arial"/>
          <w:sz w:val="18"/>
          <w:szCs w:val="18"/>
          <w:color w:val="auto"/>
        </w:rPr>
        <w:t>Neither the adoption of the Plan nor the granting of an option pursuant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creates any right of any individual to be retained or continued in the employment of the Company or a Subsidiary.</w:t>
      </w:r>
    </w:p>
    <w:p>
      <w:pPr>
        <w:spacing w:after="0" w:line="61" w:lineRule="exact"/>
        <w:rPr>
          <w:sz w:val="20"/>
          <w:szCs w:val="20"/>
          <w:color w:val="auto"/>
        </w:rPr>
      </w:pPr>
    </w:p>
    <w:p>
      <w:pPr>
        <w:ind w:left="1060" w:right="100" w:hanging="715"/>
        <w:spacing w:after="0" w:line="253" w:lineRule="auto"/>
        <w:tabs>
          <w:tab w:leader="none" w:pos="10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 xml:space="preserve">Certificates. </w:t>
      </w:r>
      <w:r>
        <w:rPr>
          <w:rFonts w:ascii="Arial" w:cs="Arial" w:eastAsia="Arial" w:hAnsi="Arial"/>
          <w:sz w:val="18"/>
          <w:szCs w:val="18"/>
          <w:color w:val="auto"/>
        </w:rPr>
        <w:t>If certificates are issued, the Company shall have the right to retain such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shares of Common Stock issued pursuant to the Plan until such time as all conditions and/or restrictions applicable to such shares of Common Stock have been satisfied.</w:t>
      </w:r>
    </w:p>
    <w:p>
      <w:pPr>
        <w:spacing w:after="0" w:line="61" w:lineRule="exact"/>
        <w:rPr>
          <w:sz w:val="20"/>
          <w:szCs w:val="20"/>
          <w:color w:val="auto"/>
        </w:rPr>
      </w:pPr>
    </w:p>
    <w:p>
      <w:pPr>
        <w:ind w:left="1060" w:right="260" w:hanging="715"/>
        <w:spacing w:after="0" w:line="271" w:lineRule="auto"/>
        <w:tabs>
          <w:tab w:leader="none" w:pos="104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The proceeds received from the sale of Common Stock pursuant to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for general corporate purposes of the Company.</w:t>
      </w:r>
    </w:p>
    <w:p>
      <w:pPr>
        <w:spacing w:after="0" w:line="46" w:lineRule="exact"/>
        <w:rPr>
          <w:sz w:val="20"/>
          <w:szCs w:val="20"/>
          <w:color w:val="auto"/>
        </w:rPr>
      </w:pPr>
    </w:p>
    <w:p>
      <w:pPr>
        <w:ind w:left="1060" w:right="280" w:hanging="715"/>
        <w:spacing w:after="0" w:line="271" w:lineRule="auto"/>
        <w:tabs>
          <w:tab w:leader="none" w:pos="10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shall be governed by and construed under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its conflict of 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78105</wp:posOffset>
            </wp:positionV>
            <wp:extent cx="20574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60" w:type="dxa"/>
            <w:vAlign w:val="bottom"/>
          </w:tcPr>
          <w:p>
            <w:pPr>
              <w:ind w:left="6960"/>
              <w:spacing w:after="0"/>
              <w:rPr>
                <w:sz w:val="20"/>
                <w:szCs w:val="20"/>
                <w:color w:val="auto"/>
              </w:rPr>
            </w:pPr>
            <w:r>
              <w:rPr>
                <w:rFonts w:ascii="Arial" w:cs="Arial" w:eastAsia="Arial" w:hAnsi="Arial"/>
                <w:sz w:val="14"/>
                <w:szCs w:val="14"/>
                <w:color w:val="auto"/>
              </w:rPr>
              <w:t>2018 Proxy Statement</w:t>
            </w:r>
          </w:p>
        </w:tc>
        <w:tc>
          <w:tcPr>
            <w:tcW w:w="700" w:type="dxa"/>
            <w:vAlign w:val="bottom"/>
          </w:tcPr>
          <w:p>
            <w:pPr>
              <w:ind w:left="480"/>
              <w:spacing w:after="0"/>
              <w:rPr>
                <w:sz w:val="20"/>
                <w:szCs w:val="20"/>
                <w:color w:val="auto"/>
              </w:rPr>
            </w:pPr>
            <w:r>
              <w:rPr>
                <w:rFonts w:ascii="Arial" w:cs="Arial" w:eastAsia="Arial" w:hAnsi="Arial"/>
                <w:sz w:val="14"/>
                <w:szCs w:val="14"/>
                <w:color w:val="auto"/>
                <w:w w:val="91"/>
              </w:rPr>
              <w:t>A-7</w:t>
            </w:r>
          </w:p>
        </w:tc>
      </w:tr>
      <w:tr>
        <w:trPr>
          <w:trHeight w:val="485"/>
        </w:trPr>
        <w:tc>
          <w:tcPr>
            <w:tcW w:w="8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8"/>
        </w:trPr>
        <w:tc>
          <w:tcPr>
            <w:tcW w:w="88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57" w:lineRule="exact"/>
        <w:rPr>
          <w:sz w:val="20"/>
          <w:szCs w:val="20"/>
          <w:color w:val="auto"/>
        </w:rPr>
      </w:pPr>
    </w:p>
    <w:p>
      <w:pPr>
        <w:jc w:val="center"/>
        <w:ind w:right="-260"/>
        <w:spacing w:after="0"/>
        <w:rPr>
          <w:sz w:val="20"/>
          <w:szCs w:val="20"/>
          <w:color w:val="auto"/>
        </w:rPr>
      </w:pPr>
      <w:r>
        <w:rPr>
          <w:rFonts w:ascii="Arial" w:cs="Arial" w:eastAsia="Arial" w:hAnsi="Arial"/>
          <w:sz w:val="54"/>
          <w:szCs w:val="54"/>
          <w:b w:val="1"/>
          <w:bCs w:val="1"/>
          <w:color w:val="1F3C7B"/>
        </w:rPr>
        <w:t>Thank You</w:t>
      </w:r>
    </w:p>
    <w:p>
      <w:pPr>
        <w:jc w:val="right"/>
        <w:ind w:right="2319"/>
        <w:spacing w:after="0"/>
        <w:rPr>
          <w:sz w:val="20"/>
          <w:szCs w:val="20"/>
          <w:color w:val="auto"/>
        </w:rPr>
      </w:pPr>
      <w:r>
        <w:rPr>
          <w:rFonts w:ascii="Arial" w:cs="Arial" w:eastAsia="Arial" w:hAnsi="Arial"/>
          <w:sz w:val="40"/>
          <w:szCs w:val="40"/>
          <w:b w:val="1"/>
          <w:bCs w:val="1"/>
          <w:color w:val="1F3C7B"/>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947420</wp:posOffset>
            </wp:positionV>
            <wp:extent cx="3018790" cy="2306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18790" cy="2306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4171950</wp:posOffset>
            </wp:positionV>
            <wp:extent cx="6114415" cy="17754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 xml:space="preserve">Learn more at </w:t>
      </w:r>
      <w:r>
        <w:rPr>
          <w:rFonts w:ascii="Arial" w:cs="Arial" w:eastAsia="Arial" w:hAnsi="Arial"/>
          <w:sz w:val="22"/>
          <w:szCs w:val="22"/>
          <w:u w:val="single" w:color="auto"/>
          <w:color w:val="0000FF"/>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607187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294755" cy="8729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4755" cy="87299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271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4755" cy="8627110"/>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o"/>
      <w:numFmt w:val="bullet"/>
      <w:start w:val="1"/>
    </w:lvl>
    <w:lvl w:ilvl="1">
      <w:lvlJc w:val="left"/>
      <w:lvlText w:val="(%2)"/>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upperLetter"/>
      <w:start w:val="1"/>
    </w:lvl>
  </w:abstractNum>
  <w:abstractNum w:abstractNumId="7">
    <w:nsid w:val="3804823E"/>
    <w:multiLevelType w:val="hybridMultilevel"/>
    <w:lvl w:ilvl="0">
      <w:lvlJc w:val="left"/>
      <w:lvlText w:val="%1:"/>
      <w:numFmt w:val="upperLetter"/>
      <w:start w:val="1"/>
    </w:lvl>
    <w:lvl w:ilvl="1">
      <w:lvlJc w:val="left"/>
      <w:lvlText w:val="•"/>
      <w:numFmt w:val="bullet"/>
      <w:start w:val="1"/>
    </w:lvl>
  </w:abstractNum>
  <w:abstractNum w:abstractNumId="8">
    <w:nsid w:val="77465F01"/>
    <w:multiLevelType w:val="hybridMultilevel"/>
    <w:lvl w:ilvl="0">
      <w:lvlJc w:val="left"/>
      <w:lvlText w:val="%1:"/>
      <w:numFmt w:val="upperLetter"/>
      <w:start w:val="1"/>
    </w:lvl>
    <w:lvl w:ilvl="1">
      <w:lvlJc w:val="left"/>
      <w:lvlText w:val="•"/>
      <w:numFmt w:val="bullet"/>
      <w:start w:val="1"/>
    </w:lvl>
  </w:abstractNum>
  <w:abstractNum w:abstractNumId="9">
    <w:nsid w:val="7724C67E"/>
    <w:multiLevelType w:val="hybridMultilevel"/>
    <w:lvl w:ilvl="0">
      <w:lvlJc w:val="left"/>
      <w:lvlText w:val="%1:"/>
      <w:numFmt w:val="upperLetter"/>
      <w:start w:val="1"/>
    </w:lvl>
  </w:abstractNum>
  <w:abstractNum w:abstractNumId="10">
    <w:nsid w:val="5C482A97"/>
    <w:multiLevelType w:val="hybridMultilevel"/>
    <w:lvl w:ilvl="0">
      <w:lvlJc w:val="left"/>
      <w:lvlText w:val="%1:"/>
      <w:numFmt w:val="upperLetter"/>
      <w:start w:val="1"/>
    </w:lvl>
  </w:abstractNum>
  <w:abstractNum w:abstractNumId="11">
    <w:nsid w:val="2463B9EA"/>
    <w:multiLevelType w:val="hybridMultilevel"/>
    <w:lvl w:ilvl="0">
      <w:lvlJc w:val="left"/>
      <w:lvlText w:val="%1:"/>
      <w:numFmt w:val="upperLetter"/>
      <w:start w:val="1"/>
    </w:lvl>
  </w:abstractNum>
  <w:abstractNum w:abstractNumId="12">
    <w:nsid w:val="5E884ADC"/>
    <w:multiLevelType w:val="hybridMultilevel"/>
    <w:lvl w:ilvl="0">
      <w:lvlJc w:val="left"/>
      <w:lvlText w:val="%1:"/>
      <w:numFmt w:val="upperLetter"/>
      <w:start w:val="1"/>
    </w:lvl>
  </w:abstractNum>
  <w:abstractNum w:abstractNumId="13">
    <w:nsid w:val="51EAD36B"/>
    <w:multiLevelType w:val="hybridMultilevel"/>
    <w:lvl w:ilvl="0">
      <w:lvlJc w:val="left"/>
      <w:lvlText w:val="%1:"/>
      <w:numFmt w:val="upperLetter"/>
      <w:start w:val="1"/>
    </w:lvl>
    <w:lvl w:ilvl="1">
      <w:lvlJc w:val="left"/>
      <w:lvlText w:val="•"/>
      <w:numFmt w:val="bullet"/>
      <w:start w:val="1"/>
    </w:lvl>
  </w:abstractNum>
  <w:abstractNum w:abstractNumId="14">
    <w:nsid w:val="2D517796"/>
    <w:multiLevelType w:val="hybridMultilevel"/>
    <w:lvl w:ilvl="0">
      <w:lvlJc w:val="left"/>
      <w:lvlText w:val="%1:"/>
      <w:numFmt w:val="upperLetter"/>
      <w:start w:val="1"/>
    </w:lvl>
  </w:abstractNum>
  <w:abstractNum w:abstractNumId="15">
    <w:nsid w:val="580BD78F"/>
    <w:multiLevelType w:val="hybridMultilevel"/>
    <w:lvl w:ilvl="0">
      <w:lvlJc w:val="left"/>
      <w:lvlText w:val="%1:"/>
      <w:numFmt w:val="upperLetter"/>
      <w:start w:val="1"/>
    </w:lvl>
    <w:lvl w:ilvl="1">
      <w:lvlJc w:val="left"/>
      <w:lvlText w:val="•"/>
      <w:numFmt w:val="bullet"/>
      <w:start w:val="1"/>
    </w:lvl>
  </w:abstractNum>
  <w:abstractNum w:abstractNumId="16">
    <w:nsid w:val="153EA438"/>
    <w:multiLevelType w:val="hybridMultilevel"/>
    <w:lvl w:ilvl="0">
      <w:lvlJc w:val="left"/>
      <w:lvlText w:val="%1:"/>
      <w:numFmt w:val="upperLetter"/>
      <w:start w:val="1"/>
    </w:lvl>
  </w:abstractNum>
  <w:abstractNum w:abstractNumId="17">
    <w:nsid w:val="3855585C"/>
    <w:multiLevelType w:val="hybridMultilevel"/>
    <w:lvl w:ilvl="0">
      <w:lvlJc w:val="left"/>
      <w:lvlText w:val="%1:"/>
      <w:numFmt w:val="upperLetter"/>
      <w:start w:val="1"/>
    </w:lvl>
  </w:abstractNum>
  <w:abstractNum w:abstractNumId="18">
    <w:nsid w:val="70A64E2A"/>
    <w:multiLevelType w:val="hybridMultilevel"/>
    <w:lvl w:ilvl="0">
      <w:lvlJc w:val="left"/>
      <w:lvlText w:val="%1:"/>
      <w:numFmt w:val="upperLetter"/>
      <w:start w:val="1"/>
    </w:lvl>
  </w:abstractNum>
  <w:abstractNum w:abstractNumId="19">
    <w:nsid w:val="6A2342EC"/>
    <w:multiLevelType w:val="hybridMultilevel"/>
    <w:lvl w:ilvl="0">
      <w:lvlJc w:val="left"/>
      <w:lvlText w:val="%1:"/>
      <w:numFmt w:val="upperLetter"/>
      <w:start w:val="1"/>
    </w:lvl>
    <w:lvl w:ilvl="1">
      <w:lvlJc w:val="left"/>
      <w:lvlText w:val="•"/>
      <w:numFmt w:val="bullet"/>
      <w:start w:val="1"/>
    </w:lvl>
  </w:abstractNum>
  <w:abstractNum w:abstractNumId="20">
    <w:nsid w:val="2A487CB0"/>
    <w:multiLevelType w:val="hybridMultilevel"/>
    <w:lvl w:ilvl="0">
      <w:lvlJc w:val="left"/>
      <w:lvlText w:val="%1:"/>
      <w:numFmt w:val="upperLetter"/>
      <w:start w:val="1"/>
    </w:lvl>
  </w:abstractNum>
  <w:abstractNum w:abstractNumId="21">
    <w:nsid w:val="1D4ED43B"/>
    <w:multiLevelType w:val="hybridMultilevel"/>
    <w:lvl w:ilvl="0">
      <w:lvlJc w:val="left"/>
      <w:lvlText w:val="%1:"/>
      <w:numFmt w:val="upperLetter"/>
      <w:start w:val="1"/>
    </w:lvl>
  </w:abstractNum>
  <w:abstractNum w:abstractNumId="22">
    <w:nsid w:val="725A06FB"/>
    <w:multiLevelType w:val="hybridMultilevel"/>
    <w:lvl w:ilvl="0">
      <w:lvlJc w:val="left"/>
      <w:lvlText w:val="%1:"/>
      <w:numFmt w:val="upperLetter"/>
      <w:start w:val="17"/>
    </w:lvl>
  </w:abstractNum>
  <w:abstractNum w:abstractNumId="23">
    <w:nsid w:val="2CD89A32"/>
    <w:multiLevelType w:val="hybridMultilevel"/>
    <w:lvl w:ilvl="0">
      <w:lvlJc w:val="left"/>
      <w:lvlText w:val="%1:"/>
      <w:numFmt w:val="upperLetter"/>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decimal"/>
      <w:start w:val="1"/>
    </w:lvl>
    <w:lvl w:ilvl="1">
      <w:lvlJc w:val="left"/>
      <w:lvlText w:val="(%2)"/>
      <w:numFmt w:val="lowerLetter"/>
      <w:start w:val="5"/>
    </w:lvl>
  </w:abstractNum>
  <w:abstractNum w:abstractNumId="36">
    <w:nsid w:val="1BA026FA"/>
    <w:multiLevelType w:val="hybridMultilevel"/>
    <w:lvl w:ilvl="0">
      <w:lvlJc w:val="left"/>
      <w:lvlText w:val="(%1)"/>
      <w:numFmt w:val="decimal"/>
      <w:start w:val="4"/>
    </w:lvl>
    <w:lvl w:ilvl="1">
      <w:lvlJc w:val="left"/>
      <w:lvlText w:val="%2"/>
      <w:numFmt w:val="lowerLetter"/>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3"/>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lowerRoman"/>
      <w:start w:val="2"/>
    </w:lvl>
  </w:abstractNum>
  <w:abstractNum w:abstractNumId="56">
    <w:nsid w:val="10233C99"/>
    <w:multiLevelType w:val="hybridMultilevel"/>
    <w:lvl w:ilvl="0">
      <w:lvlJc w:val="left"/>
      <w:lvlText w:val="%1."/>
      <w:numFmt w:val="decimal"/>
      <w:start w:val="2"/>
    </w:lvl>
    <w:lvl w:ilvl="1">
      <w:lvlJc w:val="left"/>
      <w:lvlText w:val="(%2)"/>
      <w:numFmt w:val="lowerLetter"/>
      <w:start w:val="1"/>
    </w:lvl>
  </w:abstractNum>
  <w:abstractNum w:abstractNumId="57">
    <w:nsid w:val="3F6AB60F"/>
    <w:multiLevelType w:val="hybridMultilevel"/>
    <w:lvl w:ilvl="0">
      <w:lvlJc w:val="left"/>
      <w:lvlText w:val="(%1)"/>
      <w:numFmt w:val="lowerRoman"/>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3"/>
    </w:lvl>
    <w:lvl w:ilvl="1">
      <w:lvlJc w:val="left"/>
      <w:lvlText w:val="(%2)"/>
      <w:numFmt w:val="lowerLetter"/>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2019-12-08T16:54:14Z</dcterms:created>
  <dcterms:modified xsi:type="dcterms:W3CDTF">2019-12-08T16:54:14Z</dcterms:modified>
</cp:coreProperties>
</file>