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TEHLE DAVID M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400"/>
        <w:spacing w:after="0" w:line="39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NATIONAL VISION HOLDINGS, INC., 2435 COMMERCE AVENUE, BLDG. 2200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30096-4980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6"/>
                  <w:szCs w:val="16"/>
                  <w:u w:val="single" w:color="auto"/>
                  <w:color w:val="0000EE"/>
                </w:rPr>
                <w:t>National Vision Holdings, Inc.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EYE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06/11/2020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-2433320</wp:posOffset>
            </wp:positionH>
            <wp:positionV relativeFrom="paragraph">
              <wp:posOffset>269240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06/11/2020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3,632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15,153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Restricted stock award granted as director compensation, which will vest on the first anniversary of the grant date, subject to continued service through the applicable vesting date.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Jared Brandman, as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06/15/2020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245010" TargetMode="External"/><Relationship Id="rId14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2020-06-15T15:41:10Z</dcterms:created>
  <dcterms:modified xsi:type="dcterms:W3CDTF">2020-06-15T15:41:10Z</dcterms:modified>
</cp:coreProperties>
</file>