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1266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17145"/>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9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January 22, 2020</w:t>
      </w:r>
    </w:p>
    <w:p>
      <w:pPr>
        <w:spacing w:after="0" w:line="86"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spacing w:after="0" w:line="248" w:lineRule="exact"/>
        <w:rPr>
          <w:sz w:val="24"/>
          <w:szCs w:val="24"/>
          <w:color w:val="auto"/>
        </w:rPr>
      </w:pPr>
    </w:p>
    <w:tbl>
      <w:tblPr>
        <w:tblLayout w:type="fixed"/>
        <w:tblInd w:w="2340" w:type="dxa"/>
        <w:tblCellMar>
          <w:top w:w="0" w:type="dxa"/>
          <w:left w:w="0" w:type="dxa"/>
          <w:bottom w:w="0" w:type="dxa"/>
          <w:right w:w="0" w:type="dxa"/>
        </w:tblCellMar>
      </w:tblPr>
      <w:tr>
        <w:trPr>
          <w:trHeight w:val="210"/>
        </w:trPr>
        <w:tc>
          <w:tcPr>
            <w:tcW w:w="3560" w:type="dxa"/>
            <w:vAlign w:val="bottom"/>
          </w:tcPr>
          <w:p>
            <w:pPr>
              <w:jc w:val="center"/>
              <w:ind w:right="1539"/>
              <w:spacing w:after="0"/>
              <w:rPr>
                <w:sz w:val="20"/>
                <w:szCs w:val="20"/>
                <w:color w:val="auto"/>
              </w:rPr>
            </w:pPr>
            <w:r>
              <w:rPr>
                <w:rFonts w:ascii="Arial" w:cs="Arial" w:eastAsia="Arial" w:hAnsi="Arial"/>
                <w:sz w:val="16"/>
                <w:szCs w:val="16"/>
                <w:b w:val="1"/>
                <w:bCs w:val="1"/>
                <w:color w:val="auto"/>
                <w:w w:val="93"/>
              </w:rPr>
              <w:t>Delaware</w:t>
            </w:r>
          </w:p>
        </w:tc>
        <w:tc>
          <w:tcPr>
            <w:tcW w:w="2820" w:type="dxa"/>
            <w:vAlign w:val="bottom"/>
          </w:tcPr>
          <w:p>
            <w:pPr>
              <w:jc w:val="right"/>
              <w:ind w:right="139"/>
              <w:spacing w:after="0"/>
              <w:rPr>
                <w:sz w:val="20"/>
                <w:szCs w:val="20"/>
                <w:color w:val="auto"/>
              </w:rPr>
            </w:pPr>
            <w:r>
              <w:rPr>
                <w:rFonts w:ascii="Arial" w:cs="Arial" w:eastAsia="Arial" w:hAnsi="Arial"/>
                <w:sz w:val="16"/>
                <w:szCs w:val="16"/>
                <w:b w:val="1"/>
                <w:bCs w:val="1"/>
                <w:color w:val="auto"/>
              </w:rPr>
              <w:t>46-4841717</w:t>
            </w:r>
          </w:p>
        </w:tc>
      </w:tr>
      <w:tr>
        <w:trPr>
          <w:trHeight w:val="253"/>
        </w:trPr>
        <w:tc>
          <w:tcPr>
            <w:tcW w:w="3560" w:type="dxa"/>
            <w:vAlign w:val="bottom"/>
          </w:tcPr>
          <w:p>
            <w:pPr>
              <w:jc w:val="center"/>
              <w:ind w:right="1539"/>
              <w:spacing w:after="0"/>
              <w:rPr>
                <w:sz w:val="20"/>
                <w:szCs w:val="20"/>
                <w:color w:val="auto"/>
              </w:rPr>
            </w:pPr>
            <w:r>
              <w:rPr>
                <w:rFonts w:ascii="Arial" w:cs="Arial" w:eastAsia="Arial" w:hAnsi="Arial"/>
                <w:sz w:val="16"/>
                <w:szCs w:val="16"/>
                <w:color w:val="auto"/>
                <w:w w:val="94"/>
              </w:rPr>
              <w:t>(State or other jurisdiction of</w:t>
            </w:r>
          </w:p>
        </w:tc>
        <w:tc>
          <w:tcPr>
            <w:tcW w:w="2820" w:type="dxa"/>
            <w:vAlign w:val="bottom"/>
          </w:tcPr>
          <w:p>
            <w:pPr>
              <w:jc w:val="center"/>
              <w:ind w:left="1519"/>
              <w:spacing w:after="0"/>
              <w:rPr>
                <w:sz w:val="20"/>
                <w:szCs w:val="20"/>
                <w:color w:val="auto"/>
              </w:rPr>
            </w:pPr>
            <w:r>
              <w:rPr>
                <w:rFonts w:ascii="Arial" w:cs="Arial" w:eastAsia="Arial" w:hAnsi="Arial"/>
                <w:sz w:val="16"/>
                <w:szCs w:val="16"/>
                <w:color w:val="auto"/>
                <w:w w:val="93"/>
              </w:rPr>
              <w:t>(I.R.S. Employer</w:t>
            </w:r>
          </w:p>
        </w:tc>
      </w:tr>
      <w:tr>
        <w:trPr>
          <w:trHeight w:val="206"/>
        </w:trPr>
        <w:tc>
          <w:tcPr>
            <w:tcW w:w="3560" w:type="dxa"/>
            <w:vAlign w:val="bottom"/>
          </w:tcPr>
          <w:p>
            <w:pPr>
              <w:jc w:val="center"/>
              <w:ind w:right="1539"/>
              <w:spacing w:after="0"/>
              <w:rPr>
                <w:sz w:val="20"/>
                <w:szCs w:val="20"/>
                <w:color w:val="auto"/>
              </w:rPr>
            </w:pPr>
            <w:r>
              <w:rPr>
                <w:rFonts w:ascii="Arial" w:cs="Arial" w:eastAsia="Arial" w:hAnsi="Arial"/>
                <w:sz w:val="16"/>
                <w:szCs w:val="16"/>
                <w:color w:val="auto"/>
                <w:w w:val="93"/>
              </w:rPr>
              <w:t>incorporation or organization)</w:t>
            </w:r>
          </w:p>
        </w:tc>
        <w:tc>
          <w:tcPr>
            <w:tcW w:w="2820" w:type="dxa"/>
            <w:vAlign w:val="bottom"/>
          </w:tcPr>
          <w:p>
            <w:pPr>
              <w:jc w:val="center"/>
              <w:ind w:left="1519"/>
              <w:spacing w:after="0"/>
              <w:rPr>
                <w:sz w:val="20"/>
                <w:szCs w:val="20"/>
                <w:color w:val="auto"/>
              </w:rPr>
            </w:pPr>
            <w:r>
              <w:rPr>
                <w:rFonts w:ascii="Arial" w:cs="Arial" w:eastAsia="Arial" w:hAnsi="Arial"/>
                <w:sz w:val="16"/>
                <w:szCs w:val="16"/>
                <w:color w:val="auto"/>
                <w:w w:val="97"/>
              </w:rPr>
              <w:t>Identification No.)</w:t>
            </w:r>
          </w:p>
        </w:tc>
      </w:tr>
      <w:tr>
        <w:trPr>
          <w:trHeight w:val="540"/>
        </w:trPr>
        <w:tc>
          <w:tcPr>
            <w:tcW w:w="3560" w:type="dxa"/>
            <w:vAlign w:val="bottom"/>
          </w:tcPr>
          <w:p>
            <w:pPr>
              <w:jc w:val="center"/>
              <w:ind w:right="1539"/>
              <w:spacing w:after="0"/>
              <w:rPr>
                <w:sz w:val="20"/>
                <w:szCs w:val="20"/>
                <w:color w:val="auto"/>
              </w:rPr>
            </w:pPr>
            <w:r>
              <w:rPr>
                <w:rFonts w:ascii="Arial" w:cs="Arial" w:eastAsia="Arial" w:hAnsi="Arial"/>
                <w:sz w:val="16"/>
                <w:szCs w:val="16"/>
                <w:b w:val="1"/>
                <w:bCs w:val="1"/>
                <w:color w:val="auto"/>
                <w:w w:val="90"/>
              </w:rPr>
              <w:t>2435 Commerce Ave.</w:t>
            </w:r>
          </w:p>
        </w:tc>
        <w:tc>
          <w:tcPr>
            <w:tcW w:w="2820" w:type="dxa"/>
            <w:vAlign w:val="bottom"/>
          </w:tcPr>
          <w:p>
            <w:pPr>
              <w:spacing w:after="0"/>
              <w:rPr>
                <w:sz w:val="24"/>
                <w:szCs w:val="24"/>
                <w:color w:val="auto"/>
              </w:rPr>
            </w:pPr>
          </w:p>
        </w:tc>
      </w:tr>
      <w:tr>
        <w:trPr>
          <w:trHeight w:val="270"/>
        </w:trPr>
        <w:tc>
          <w:tcPr>
            <w:tcW w:w="3560" w:type="dxa"/>
            <w:vAlign w:val="bottom"/>
          </w:tcPr>
          <w:p>
            <w:pPr>
              <w:jc w:val="center"/>
              <w:ind w:right="1539"/>
              <w:spacing w:after="0"/>
              <w:rPr>
                <w:sz w:val="20"/>
                <w:szCs w:val="20"/>
                <w:color w:val="auto"/>
              </w:rPr>
            </w:pPr>
            <w:r>
              <w:rPr>
                <w:rFonts w:ascii="Arial" w:cs="Arial" w:eastAsia="Arial" w:hAnsi="Arial"/>
                <w:sz w:val="16"/>
                <w:szCs w:val="16"/>
                <w:b w:val="1"/>
                <w:bCs w:val="1"/>
                <w:color w:val="auto"/>
                <w:w w:val="90"/>
              </w:rPr>
              <w:t>Building 2200</w:t>
            </w:r>
          </w:p>
        </w:tc>
        <w:tc>
          <w:tcPr>
            <w:tcW w:w="282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70"/>
        </w:trPr>
        <w:tc>
          <w:tcPr>
            <w:tcW w:w="3560" w:type="dxa"/>
            <w:vAlign w:val="bottom"/>
          </w:tcPr>
          <w:p>
            <w:pPr>
              <w:ind w:left="320"/>
              <w:spacing w:after="0"/>
              <w:rPr>
                <w:sz w:val="20"/>
                <w:szCs w:val="20"/>
                <w:color w:val="auto"/>
              </w:rPr>
            </w:pPr>
            <w:r>
              <w:rPr>
                <w:rFonts w:ascii="Arial" w:cs="Arial" w:eastAsia="Arial" w:hAnsi="Arial"/>
                <w:sz w:val="16"/>
                <w:szCs w:val="16"/>
                <w:b w:val="1"/>
                <w:bCs w:val="1"/>
                <w:color w:val="auto"/>
              </w:rPr>
              <w:t xml:space="preserve">Duluth </w:t>
            </w:r>
            <w:r>
              <w:rPr>
                <w:rFonts w:ascii="Arial" w:cs="Arial" w:eastAsia="Arial" w:hAnsi="Arial"/>
                <w:sz w:val="16"/>
                <w:szCs w:val="16"/>
                <w:color w:val="auto"/>
              </w:rPr>
              <w:t>,</w:t>
            </w:r>
            <w:r>
              <w:rPr>
                <w:rFonts w:ascii="Arial" w:cs="Arial" w:eastAsia="Arial" w:hAnsi="Arial"/>
                <w:sz w:val="16"/>
                <w:szCs w:val="16"/>
                <w:b w:val="1"/>
                <w:bCs w:val="1"/>
                <w:color w:val="auto"/>
              </w:rPr>
              <w:t xml:space="preserve"> Georgia</w:t>
            </w:r>
          </w:p>
        </w:tc>
        <w:tc>
          <w:tcPr>
            <w:tcW w:w="2820" w:type="dxa"/>
            <w:vAlign w:val="bottom"/>
          </w:tcPr>
          <w:p>
            <w:pPr>
              <w:jc w:val="center"/>
              <w:ind w:left="1519"/>
              <w:spacing w:after="0"/>
              <w:rPr>
                <w:sz w:val="20"/>
                <w:szCs w:val="20"/>
                <w:color w:val="auto"/>
              </w:rPr>
            </w:pPr>
            <w:r>
              <w:rPr>
                <w:rFonts w:ascii="Arial" w:cs="Arial" w:eastAsia="Arial" w:hAnsi="Arial"/>
                <w:sz w:val="16"/>
                <w:szCs w:val="16"/>
                <w:color w:val="auto"/>
                <w:w w:val="92"/>
              </w:rPr>
              <w:t>(Zip Code)</w:t>
            </w:r>
          </w:p>
        </w:tc>
      </w:tr>
    </w:tbl>
    <w:p>
      <w:pPr>
        <w:spacing w:after="0" w:line="64" w:lineRule="exact"/>
        <w:rPr>
          <w:sz w:val="24"/>
          <w:szCs w:val="24"/>
          <w:color w:val="auto"/>
        </w:rPr>
      </w:pPr>
    </w:p>
    <w:p>
      <w:pPr>
        <w:ind w:left="2020"/>
        <w:spacing w:after="0"/>
        <w:rPr>
          <w:sz w:val="20"/>
          <w:szCs w:val="20"/>
          <w:color w:val="auto"/>
        </w:rPr>
      </w:pPr>
      <w:r>
        <w:rPr>
          <w:rFonts w:ascii="Arial" w:cs="Arial" w:eastAsia="Arial" w:hAnsi="Arial"/>
          <w:sz w:val="16"/>
          <w:szCs w:val="16"/>
          <w:color w:val="auto"/>
        </w:rPr>
        <w:t>(Address of principal executive offices)</w:t>
      </w:r>
    </w:p>
    <w:p>
      <w:pPr>
        <w:spacing w:after="0" w:line="42"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76"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4"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9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w:t>
      </w:r>
    </w:p>
    <w:p>
      <w:pPr>
        <w:spacing w:after="0" w:line="138" w:lineRule="exact"/>
        <w:rPr>
          <w:sz w:val="24"/>
          <w:szCs w:val="24"/>
          <w:color w:val="auto"/>
        </w:rPr>
      </w:pPr>
    </w:p>
    <w:p>
      <w:pPr>
        <w:ind w:left="980"/>
        <w:spacing w:after="0" w:line="20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8"/>
          <w:szCs w:val="18"/>
          <w:color w:val="auto"/>
        </w:rPr>
        <w:t>Soliciting material pursuant to Rule 14a-12 under the Exchange Act (17 CFR 240.14a-12)</w:t>
      </w:r>
    </w:p>
    <w:p>
      <w:pPr>
        <w:spacing w:after="0" w:line="117" w:lineRule="exact"/>
        <w:rPr>
          <w:sz w:val="24"/>
          <w:szCs w:val="24"/>
          <w:color w:val="auto"/>
        </w:rPr>
      </w:pPr>
    </w:p>
    <w:p>
      <w:pPr>
        <w:ind w:left="980"/>
        <w:spacing w:after="0" w:line="20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8"/>
          <w:szCs w:val="18"/>
          <w:color w:val="auto"/>
        </w:rPr>
        <w:t>Pre-commencement communications pursuant to Rule 14d-2(b) under the Exchange Act (17 CFR 240.14d-2(b))</w:t>
      </w:r>
    </w:p>
    <w:p>
      <w:pPr>
        <w:spacing w:after="0" w:line="117" w:lineRule="exact"/>
        <w:rPr>
          <w:sz w:val="24"/>
          <w:szCs w:val="24"/>
          <w:color w:val="auto"/>
        </w:rPr>
      </w:pPr>
    </w:p>
    <w:p>
      <w:pPr>
        <w:ind w:left="980"/>
        <w:spacing w:after="0" w:line="20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8"/>
          <w:szCs w:val="18"/>
          <w:color w:val="auto"/>
        </w:rPr>
        <w:t>Pre-commencement communications pursuant to Rule 13e-4(c) under the Exchange Act (17 CFR 240.13e-4(c))</w:t>
      </w: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378"/>
        </w:trPr>
        <w:tc>
          <w:tcPr>
            <w:tcW w:w="4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22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43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Common stock, par value $0.01 per share</w:t>
            </w: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EYE</w:t>
            </w:r>
          </w:p>
        </w:tc>
        <w:tc>
          <w:tcPr>
            <w:tcW w:w="4220" w:type="dxa"/>
            <w:vAlign w:val="bottom"/>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2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1" w:lineRule="exact"/>
        <w:rPr>
          <w:sz w:val="24"/>
          <w:szCs w:val="24"/>
          <w:color w:val="auto"/>
        </w:rPr>
      </w:pPr>
    </w:p>
    <w:p>
      <w:pPr>
        <w:spacing w:after="0" w:line="207" w:lineRule="exact"/>
        <w:tabs>
          <w:tab w:leader="none" w:pos="8020" w:val="left"/>
        </w:tabs>
        <w:rPr>
          <w:sz w:val="20"/>
          <w:szCs w:val="20"/>
          <w:color w:val="auto"/>
        </w:rPr>
      </w:pPr>
      <w:r>
        <w:rPr>
          <w:rFonts w:ascii="Arial" w:cs="Arial" w:eastAsia="Arial" w:hAnsi="Arial"/>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266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ectPr>
          <w:pgSz w:w="11900" w:h="16838" w:orient="portrait"/>
          <w:cols w:equalWidth="0" w:num="1">
            <w:col w:w="11420"/>
          </w:cols>
          <w:pgMar w:left="240" w:top="104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National Vision, Inc. (“</w:t>
      </w:r>
      <w:r>
        <w:rPr>
          <w:rFonts w:ascii="Arial" w:cs="Arial" w:eastAsia="Arial" w:hAnsi="Arial"/>
          <w:sz w:val="17"/>
          <w:szCs w:val="17"/>
          <w:u w:val="single" w:color="auto"/>
          <w:color w:val="auto"/>
        </w:rPr>
        <w:t>NVI</w:t>
      </w:r>
      <w:r>
        <w:rPr>
          <w:rFonts w:ascii="Arial" w:cs="Arial" w:eastAsia="Arial" w:hAnsi="Arial"/>
          <w:sz w:val="17"/>
          <w:szCs w:val="17"/>
          <w:color w:val="auto"/>
        </w:rPr>
        <w:t>”), a wholly-owned subsidiary of National Vision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Amendment 3 to the Management &amp; Services Agreement (the “</w:t>
      </w:r>
      <w:r>
        <w:rPr>
          <w:rFonts w:ascii="Arial" w:cs="Arial" w:eastAsia="Arial" w:hAnsi="Arial"/>
          <w:sz w:val="17"/>
          <w:szCs w:val="17"/>
          <w:u w:val="single" w:color="auto"/>
          <w:color w:val="auto"/>
        </w:rPr>
        <w:t>Amendment</w:t>
      </w:r>
      <w:r>
        <w:rPr>
          <w:rFonts w:ascii="Arial" w:cs="Arial" w:eastAsia="Arial" w:hAnsi="Arial"/>
          <w:sz w:val="17"/>
          <w:szCs w:val="17"/>
          <w:color w:val="auto"/>
        </w:rPr>
        <w:t>”) with Walmart, Inc. (“</w:t>
      </w:r>
      <w:r>
        <w:rPr>
          <w:rFonts w:ascii="Arial" w:cs="Arial" w:eastAsia="Arial" w:hAnsi="Arial"/>
          <w:sz w:val="17"/>
          <w:szCs w:val="17"/>
          <w:u w:val="single" w:color="auto"/>
          <w:color w:val="auto"/>
        </w:rPr>
        <w:t>Walmart</w:t>
      </w:r>
      <w:r>
        <w:rPr>
          <w:rFonts w:ascii="Arial" w:cs="Arial" w:eastAsia="Arial" w:hAnsi="Arial"/>
          <w:sz w:val="17"/>
          <w:szCs w:val="17"/>
          <w:color w:val="auto"/>
        </w:rPr>
        <w:t>”), which will be effective as of January 23, 2020. The Amendment updates the terms of the Management &amp; Services Agreement (the “MSA”) between Walmart and NVI, dated as of May 1, 2012, as amended, to (1) add five additional vision centers located in Georgia to the MSA at a mutually agreeable “go-live date” for each new center and (2) extend the current term of the MSA by six months, to February 23, 2021, and provide that the MSA will automatically renew for an additional three year term unless, no later than July 23, 2020, one party gives the other party written notice of non-renewal. All other terms and conditions of the MSA remain in effect. As a result of the Amendment, the Company will now be managing 231 vision centers within Walmart stores pursuant to the MSA.</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copy of the Amendment is filed herewith as Exhibit 10.1 and incorporated herein by reference. The above description of the Amendment is qualified in its entirety by reference to such exhibit.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ectPr>
          <w:pgSz w:w="11900" w:h="16838" w:orient="portrait"/>
          <w:cols w:equalWidth="0" w:num="1">
            <w:col w:w="11420"/>
          </w:cols>
          <w:pgMar w:left="240" w:top="55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00" w:type="dxa"/>
            <w:vAlign w:val="bottom"/>
          </w:tcPr>
          <w:p>
            <w:pPr>
              <w:ind w:left="2540"/>
              <w:spacing w:after="0"/>
              <w:rPr>
                <w:sz w:val="20"/>
                <w:szCs w:val="20"/>
                <w:color w:val="auto"/>
              </w:rPr>
            </w:pPr>
            <w:r>
              <w:rPr>
                <w:rFonts w:ascii="Arial" w:cs="Arial" w:eastAsia="Arial" w:hAnsi="Arial"/>
                <w:sz w:val="18"/>
                <w:szCs w:val="18"/>
                <w:b w:val="1"/>
                <w:bCs w:val="1"/>
                <w:color w:val="auto"/>
              </w:rPr>
              <w:t>EXHIBIT INDEX</w:t>
            </w:r>
          </w:p>
        </w:tc>
      </w:tr>
      <w:tr>
        <w:trPr>
          <w:trHeight w:val="338"/>
        </w:trPr>
        <w:tc>
          <w:tcPr>
            <w:tcW w:w="840" w:type="dxa"/>
            <w:vAlign w:val="bottom"/>
            <w:gridSpan w:val="2"/>
          </w:tcPr>
          <w:p>
            <w:pPr>
              <w:spacing w:after="0"/>
              <w:rPr>
                <w:sz w:val="20"/>
                <w:szCs w:val="20"/>
                <w:color w:val="auto"/>
              </w:rPr>
            </w:pPr>
            <w:r>
              <w:rPr>
                <w:rFonts w:ascii="Arial" w:cs="Arial" w:eastAsia="Arial" w:hAnsi="Arial"/>
                <w:sz w:val="18"/>
                <w:szCs w:val="18"/>
                <w:color w:val="auto"/>
                <w:w w:val="94"/>
              </w:rPr>
              <w:t>Exhibit No.</w:t>
            </w:r>
          </w:p>
        </w:tc>
        <w:tc>
          <w:tcPr>
            <w:tcW w:w="76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250"/>
        </w:trPr>
        <w:tc>
          <w:tcPr>
            <w:tcW w:w="840" w:type="dxa"/>
            <w:vAlign w:val="bottom"/>
            <w:gridSpan w:val="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760" w:type="dxa"/>
            <w:vAlign w:val="bottom"/>
          </w:tcPr>
          <w:p>
            <w:pPr>
              <w:spacing w:after="0"/>
              <w:rPr>
                <w:sz w:val="21"/>
                <w:szCs w:val="21"/>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0"/>
              </w:rPr>
              <w:t>Amendment 3 to the Management and Services Agreement between Walmart, Inc. and National Vision, Inc. effective as of January 23,</w:t>
            </w:r>
          </w:p>
        </w:tc>
      </w:tr>
      <w:tr>
        <w:trPr>
          <w:trHeight w:val="237"/>
        </w:trPr>
        <w:tc>
          <w:tcPr>
            <w:tcW w:w="300" w:type="dxa"/>
            <w:vAlign w:val="bottom"/>
            <w:tcBorders>
              <w:top w:val="single" w:sz="8" w:color="0000FF"/>
            </w:tcBorders>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2020.</w:t>
            </w:r>
          </w:p>
        </w:tc>
        <w:tc>
          <w:tcPr>
            <w:tcW w:w="8900" w:type="dxa"/>
            <w:vAlign w:val="bottom"/>
          </w:tcPr>
          <w:p>
            <w:pPr>
              <w:spacing w:after="0"/>
              <w:rPr>
                <w:sz w:val="20"/>
                <w:szCs w:val="20"/>
                <w:color w:val="auto"/>
              </w:rPr>
            </w:pPr>
          </w:p>
        </w:tc>
      </w:tr>
      <w:tr>
        <w:trPr>
          <w:trHeight w:val="270"/>
        </w:trPr>
        <w:tc>
          <w:tcPr>
            <w:tcW w:w="300" w:type="dxa"/>
            <w:vAlign w:val="bottom"/>
          </w:tcPr>
          <w:p>
            <w:pPr>
              <w:spacing w:after="0"/>
              <w:rPr>
                <w:sz w:val="20"/>
                <w:szCs w:val="20"/>
                <w:color w:val="auto"/>
              </w:rPr>
            </w:pPr>
            <w:r>
              <w:rPr>
                <w:rFonts w:ascii="Arial" w:cs="Arial" w:eastAsia="Arial" w:hAnsi="Arial"/>
                <w:sz w:val="18"/>
                <w:szCs w:val="18"/>
                <w:color w:val="auto"/>
                <w:w w:val="93"/>
              </w:rPr>
              <w:t>104</w:t>
            </w:r>
          </w:p>
        </w:tc>
        <w:tc>
          <w:tcPr>
            <w:tcW w:w="5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ectPr>
          <w:pgSz w:w="11900" w:h="16838" w:orient="portrait"/>
          <w:cols w:equalWidth="0" w:num="1">
            <w:col w:w="11340"/>
          </w:cols>
          <w:pgMar w:left="280" w:top="553" w:right="27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333"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320" w:type="dxa"/>
            <w:vAlign w:val="bottom"/>
          </w:tcPr>
          <w:p>
            <w:pPr>
              <w:ind w:left="40"/>
              <w:spacing w:after="0"/>
              <w:rPr>
                <w:sz w:val="20"/>
                <w:szCs w:val="20"/>
                <w:color w:val="auto"/>
              </w:rPr>
            </w:pPr>
            <w:r>
              <w:rPr>
                <w:rFonts w:ascii="Arial" w:cs="Arial" w:eastAsia="Arial" w:hAnsi="Arial"/>
                <w:sz w:val="18"/>
                <w:szCs w:val="18"/>
                <w:color w:val="auto"/>
              </w:rPr>
              <w:t>National Vision Holdings, Inc.</w:t>
            </w:r>
          </w:p>
        </w:tc>
      </w:tr>
      <w:tr>
        <w:trPr>
          <w:trHeight w:val="486"/>
        </w:trPr>
        <w:tc>
          <w:tcPr>
            <w:tcW w:w="2900" w:type="dxa"/>
            <w:vAlign w:val="bottom"/>
          </w:tcPr>
          <w:p>
            <w:pPr>
              <w:spacing w:after="0"/>
              <w:rPr>
                <w:sz w:val="20"/>
                <w:szCs w:val="20"/>
                <w:color w:val="auto"/>
              </w:rPr>
            </w:pPr>
            <w:r>
              <w:rPr>
                <w:rFonts w:ascii="Arial" w:cs="Arial" w:eastAsia="Arial" w:hAnsi="Arial"/>
                <w:sz w:val="18"/>
                <w:szCs w:val="18"/>
                <w:color w:val="auto"/>
              </w:rPr>
              <w:t>Date: January 22, 2020</w:t>
            </w:r>
          </w:p>
        </w:tc>
        <w:tc>
          <w:tcPr>
            <w:tcW w:w="2600" w:type="dxa"/>
            <w:vAlign w:val="bottom"/>
          </w:tcPr>
          <w:p>
            <w:pPr>
              <w:ind w:left="1240"/>
              <w:spacing w:after="0"/>
              <w:rPr>
                <w:sz w:val="20"/>
                <w:szCs w:val="20"/>
                <w:color w:val="auto"/>
              </w:rPr>
            </w:pPr>
            <w:r>
              <w:rPr>
                <w:rFonts w:ascii="Arial" w:cs="Arial" w:eastAsia="Arial" w:hAnsi="Arial"/>
                <w:sz w:val="18"/>
                <w:szCs w:val="18"/>
                <w:color w:val="auto"/>
              </w:rPr>
              <w:t>By:</w:t>
            </w:r>
          </w:p>
        </w:tc>
        <w:tc>
          <w:tcPr>
            <w:tcW w:w="5320" w:type="dxa"/>
            <w:vAlign w:val="bottom"/>
          </w:tcPr>
          <w:p>
            <w:pPr>
              <w:ind w:left="40"/>
              <w:spacing w:after="0"/>
              <w:rPr>
                <w:sz w:val="20"/>
                <w:szCs w:val="20"/>
                <w:color w:val="auto"/>
              </w:rPr>
            </w:pPr>
            <w:r>
              <w:rPr>
                <w:rFonts w:ascii="Arial" w:cs="Arial" w:eastAsia="Arial" w:hAnsi="Arial"/>
                <w:sz w:val="18"/>
                <w:szCs w:val="18"/>
                <w:color w:val="auto"/>
              </w:rPr>
              <w:t>/s/ Jared Brandman</w:t>
            </w:r>
          </w:p>
        </w:tc>
      </w:tr>
      <w:tr>
        <w:trPr>
          <w:trHeight w:val="27"/>
        </w:trPr>
        <w:tc>
          <w:tcPr>
            <w:tcW w:w="2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spacing w:after="0"/>
              <w:rPr>
                <w:sz w:val="20"/>
                <w:szCs w:val="20"/>
                <w:color w:val="auto"/>
              </w:rPr>
            </w:pPr>
          </w:p>
        </w:tc>
        <w:tc>
          <w:tcPr>
            <w:tcW w:w="2600" w:type="dxa"/>
            <w:vAlign w:val="bottom"/>
          </w:tcPr>
          <w:p>
            <w:pPr>
              <w:ind w:left="1240"/>
              <w:spacing w:after="0"/>
              <w:rPr>
                <w:sz w:val="20"/>
                <w:szCs w:val="20"/>
                <w:color w:val="auto"/>
              </w:rPr>
            </w:pPr>
            <w:r>
              <w:rPr>
                <w:rFonts w:ascii="Arial" w:cs="Arial" w:eastAsia="Arial" w:hAnsi="Arial"/>
                <w:sz w:val="18"/>
                <w:szCs w:val="18"/>
                <w:color w:val="auto"/>
              </w:rPr>
              <w:t>Name:</w:t>
            </w:r>
          </w:p>
        </w:tc>
        <w:tc>
          <w:tcPr>
            <w:tcW w:w="5320" w:type="dxa"/>
            <w:vAlign w:val="bottom"/>
          </w:tcPr>
          <w:p>
            <w:pPr>
              <w:ind w:left="40"/>
              <w:spacing w:after="0"/>
              <w:rPr>
                <w:sz w:val="20"/>
                <w:szCs w:val="20"/>
                <w:color w:val="auto"/>
              </w:rPr>
            </w:pPr>
            <w:r>
              <w:rPr>
                <w:rFonts w:ascii="Arial" w:cs="Arial" w:eastAsia="Arial" w:hAnsi="Arial"/>
                <w:sz w:val="18"/>
                <w:szCs w:val="18"/>
                <w:color w:val="auto"/>
              </w:rPr>
              <w:t>Jared Brandman</w:t>
            </w:r>
          </w:p>
        </w:tc>
      </w:tr>
      <w:tr>
        <w:trPr>
          <w:trHeight w:val="270"/>
        </w:trPr>
        <w:tc>
          <w:tcPr>
            <w:tcW w:w="2900" w:type="dxa"/>
            <w:vAlign w:val="bottom"/>
          </w:tcPr>
          <w:p>
            <w:pPr>
              <w:spacing w:after="0"/>
              <w:rPr>
                <w:sz w:val="23"/>
                <w:szCs w:val="23"/>
                <w:color w:val="auto"/>
              </w:rPr>
            </w:pPr>
          </w:p>
        </w:tc>
        <w:tc>
          <w:tcPr>
            <w:tcW w:w="2600" w:type="dxa"/>
            <w:vAlign w:val="bottom"/>
          </w:tcPr>
          <w:p>
            <w:pPr>
              <w:ind w:left="1240"/>
              <w:spacing w:after="0"/>
              <w:rPr>
                <w:sz w:val="20"/>
                <w:szCs w:val="20"/>
                <w:color w:val="auto"/>
              </w:rPr>
            </w:pPr>
            <w:r>
              <w:rPr>
                <w:rFonts w:ascii="Arial" w:cs="Arial" w:eastAsia="Arial" w:hAnsi="Arial"/>
                <w:sz w:val="18"/>
                <w:szCs w:val="18"/>
                <w:color w:val="auto"/>
              </w:rPr>
              <w:t>Title:</w:t>
            </w:r>
          </w:p>
        </w:tc>
        <w:tc>
          <w:tcPr>
            <w:tcW w:w="5320" w:type="dxa"/>
            <w:vAlign w:val="bottom"/>
          </w:tcPr>
          <w:p>
            <w:pPr>
              <w:ind w:left="4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320"/>
          </w:cols>
          <w:pgMar w:left="240" w:top="553"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AMENDMENT 3 TO THE MANAGEMENT &amp; SERVICES AGREEMENT BETWEEN WALMART, INC. AND NATIONAL VISION, INC.</w:t>
      </w:r>
    </w:p>
    <w:p>
      <w:pPr>
        <w:spacing w:after="0" w:line="9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Amendment 3 to the MANAGEMENT &amp; SERVICES AGREEMENT, dated as of May 1, 2012, as amended (the “</w:t>
      </w:r>
      <w:r>
        <w:rPr>
          <w:rFonts w:ascii="Arial" w:cs="Arial" w:eastAsia="Arial" w:hAnsi="Arial"/>
          <w:sz w:val="18"/>
          <w:szCs w:val="18"/>
          <w:u w:val="single" w:color="auto"/>
          <w:color w:val="auto"/>
        </w:rPr>
        <w:t>Agreement</w:t>
      </w:r>
      <w:r>
        <w:rPr>
          <w:rFonts w:ascii="Arial" w:cs="Arial" w:eastAsia="Arial" w:hAnsi="Arial"/>
          <w:sz w:val="18"/>
          <w:szCs w:val="18"/>
          <w:color w:val="auto"/>
        </w:rPr>
        <w:t>”), between Walmart, Inc. (f/k/a Wal-Mart Stores, Inc.) (“</w:t>
      </w:r>
      <w:r>
        <w:rPr>
          <w:rFonts w:ascii="Arial" w:cs="Arial" w:eastAsia="Arial" w:hAnsi="Arial"/>
          <w:sz w:val="18"/>
          <w:szCs w:val="18"/>
          <w:u w:val="single" w:color="auto"/>
          <w:color w:val="auto"/>
        </w:rPr>
        <w:t>Walmart</w:t>
      </w:r>
      <w:r>
        <w:rPr>
          <w:rFonts w:ascii="Arial" w:cs="Arial" w:eastAsia="Arial" w:hAnsi="Arial"/>
          <w:sz w:val="18"/>
          <w:szCs w:val="18"/>
          <w:color w:val="auto"/>
        </w:rPr>
        <w:t>”) and National Vision, Inc. (“</w:t>
      </w:r>
      <w:r>
        <w:rPr>
          <w:rFonts w:ascii="Arial" w:cs="Arial" w:eastAsia="Arial" w:hAnsi="Arial"/>
          <w:sz w:val="18"/>
          <w:szCs w:val="18"/>
          <w:u w:val="single" w:color="auto"/>
          <w:color w:val="auto"/>
        </w:rPr>
        <w:t>Manager</w:t>
      </w:r>
      <w:r>
        <w:rPr>
          <w:rFonts w:ascii="Arial" w:cs="Arial" w:eastAsia="Arial" w:hAnsi="Arial"/>
          <w:sz w:val="18"/>
          <w:szCs w:val="18"/>
          <w:color w:val="auto"/>
        </w:rPr>
        <w:t>”) is effective as of January 23, 2020. All capitalized terms used but not defined in this amendment have the meaning given those terms in the Agreement.</w:t>
      </w:r>
    </w:p>
    <w:p>
      <w:pPr>
        <w:spacing w:after="0" w:line="73" w:lineRule="exact"/>
        <w:rPr>
          <w:sz w:val="20"/>
          <w:szCs w:val="20"/>
          <w:color w:val="auto"/>
        </w:rPr>
      </w:pPr>
    </w:p>
    <w:p>
      <w:pPr>
        <w:jc w:val="both"/>
        <w:ind w:right="20" w:firstLine="621"/>
        <w:spacing w:after="0" w:line="277" w:lineRule="auto"/>
        <w:rPr>
          <w:sz w:val="20"/>
          <w:szCs w:val="20"/>
          <w:color w:val="auto"/>
        </w:rPr>
      </w:pPr>
      <w:r>
        <w:rPr>
          <w:rFonts w:ascii="Arial" w:cs="Arial" w:eastAsia="Arial" w:hAnsi="Arial"/>
          <w:sz w:val="18"/>
          <w:szCs w:val="18"/>
          <w:color w:val="auto"/>
        </w:rPr>
        <w:t>Based upon the terms and conditions of the Agreement and other good and valuable consideration, the receipt and sufficiency of which is hereby acknowledged. Walmart and Manager agree to the following:</w:t>
      </w:r>
    </w:p>
    <w:p>
      <w:pPr>
        <w:spacing w:after="0" w:line="116" w:lineRule="exact"/>
        <w:rPr>
          <w:sz w:val="20"/>
          <w:szCs w:val="20"/>
          <w:color w:val="auto"/>
        </w:rPr>
      </w:pPr>
    </w:p>
    <w:p>
      <w:pPr>
        <w:ind w:left="960" w:hanging="331"/>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Changes to Section VIII. Duration, Termination, and Default</w:t>
      </w:r>
      <w:r>
        <w:rPr>
          <w:rFonts w:ascii="Arial" w:cs="Arial" w:eastAsia="Arial" w:hAnsi="Arial"/>
          <w:sz w:val="18"/>
          <w:szCs w:val="18"/>
          <w:color w:val="auto"/>
        </w:rPr>
        <w:t>. Section VIII. Duration, Termination, and Default subsection A. Duration 1. is hereby deleted in its entirety and replaced with the paragraph below</w:t>
      </w:r>
    </w:p>
    <w:p>
      <w:pPr>
        <w:spacing w:after="0" w:line="62" w:lineRule="exact"/>
        <w:rPr>
          <w:rFonts w:ascii="Arial" w:cs="Arial" w:eastAsia="Arial" w:hAnsi="Arial"/>
          <w:sz w:val="18"/>
          <w:szCs w:val="18"/>
          <w:color w:val="auto"/>
        </w:rPr>
      </w:pPr>
    </w:p>
    <w:p>
      <w:pPr>
        <w:jc w:val="both"/>
        <w:ind w:left="960"/>
        <w:spacing w:after="0" w:line="259" w:lineRule="auto"/>
        <w:rPr>
          <w:rFonts w:ascii="Arial" w:cs="Arial" w:eastAsia="Arial" w:hAnsi="Arial"/>
          <w:sz w:val="18"/>
          <w:szCs w:val="18"/>
          <w:color w:val="auto"/>
        </w:rPr>
      </w:pPr>
      <w:r>
        <w:rPr>
          <w:rFonts w:ascii="Arial" w:cs="Arial" w:eastAsia="Arial" w:hAnsi="Arial"/>
          <w:sz w:val="18"/>
          <w:szCs w:val="18"/>
          <w:color w:val="auto"/>
        </w:rPr>
        <w:t>“This Agreement begins on the Effective Date and continues until February 23, 2021, unless sooner terminated or extended in accordance with the terms of this Agreement. This Agreement will automatically renew for an additional three (3) year term unless, no later than July 23, 2020, one Party gives the other Party written notice of non-renewal. The initial term and any renewal term of this Agreement are referred collectively as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jc w:val="both"/>
        <w:ind w:left="960" w:hanging="331"/>
        <w:spacing w:after="0" w:line="264"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Addition of Centers / Amendment to Schedule A</w:t>
      </w:r>
      <w:r>
        <w:rPr>
          <w:rFonts w:ascii="Arial" w:cs="Arial" w:eastAsia="Arial" w:hAnsi="Arial"/>
          <w:sz w:val="18"/>
          <w:szCs w:val="18"/>
          <w:color w:val="auto"/>
        </w:rPr>
        <w:t>. Schedule A to the Agreement is hereby amended by adding the Centers listed on Schedule A hereto (the “</w:t>
      </w:r>
      <w:r>
        <w:rPr>
          <w:rFonts w:ascii="Arial" w:cs="Arial" w:eastAsia="Arial" w:hAnsi="Arial"/>
          <w:sz w:val="18"/>
          <w:szCs w:val="18"/>
          <w:u w:val="single" w:color="auto"/>
          <w:color w:val="auto"/>
        </w:rPr>
        <w:t>New Centers</w:t>
      </w:r>
      <w:r>
        <w:rPr>
          <w:rFonts w:ascii="Arial" w:cs="Arial" w:eastAsia="Arial" w:hAnsi="Arial"/>
          <w:sz w:val="18"/>
          <w:szCs w:val="18"/>
          <w:color w:val="auto"/>
        </w:rPr>
        <w:t>”). The parties agree to cooperate with each other to complete all actions necessary to transition and set a mutually agreeable “go-live date” for each of the New Centers being added to the Agreement.</w:t>
      </w:r>
    </w:p>
    <w:p>
      <w:pPr>
        <w:spacing w:after="0" w:line="23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parties do hereby agree to make the above modifications to the Agreement. These modifications are valid as if</w:t>
      </w:r>
      <w:r>
        <w:rPr>
          <w:rFonts w:ascii="Arial" w:cs="Arial" w:eastAsia="Arial" w:hAnsi="Arial"/>
          <w:sz w:val="18"/>
          <w:szCs w:val="18"/>
          <w:b w:val="1"/>
          <w:bCs w:val="1"/>
          <w:color w:val="auto"/>
        </w:rPr>
        <w:t xml:space="preserve"> </w:t>
      </w:r>
      <w:r>
        <w:rPr>
          <w:rFonts w:ascii="Arial" w:cs="Arial" w:eastAsia="Arial" w:hAnsi="Arial"/>
          <w:sz w:val="18"/>
          <w:szCs w:val="18"/>
          <w:color w:val="auto"/>
        </w:rPr>
        <w:t>they were included in the original Agreement.</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380" w:type="dxa"/>
            <w:vAlign w:val="bottom"/>
            <w:gridSpan w:val="5"/>
          </w:tcPr>
          <w:p>
            <w:pPr>
              <w:spacing w:after="0"/>
              <w:rPr>
                <w:sz w:val="20"/>
                <w:szCs w:val="20"/>
                <w:color w:val="auto"/>
              </w:rPr>
            </w:pPr>
            <w:r>
              <w:rPr>
                <w:rFonts w:ascii="Arial" w:cs="Arial" w:eastAsia="Arial" w:hAnsi="Arial"/>
                <w:sz w:val="18"/>
                <w:szCs w:val="18"/>
                <w:b w:val="1"/>
                <w:bCs w:val="1"/>
                <w:color w:val="auto"/>
              </w:rPr>
              <w:t>National Vision, Inc.</w:t>
            </w:r>
          </w:p>
        </w:tc>
        <w:tc>
          <w:tcPr>
            <w:tcW w:w="7480" w:type="dxa"/>
            <w:vAlign w:val="bottom"/>
            <w:gridSpan w:val="7"/>
          </w:tcPr>
          <w:p>
            <w:pPr>
              <w:ind w:left="2860"/>
              <w:spacing w:after="0"/>
              <w:rPr>
                <w:sz w:val="20"/>
                <w:szCs w:val="20"/>
                <w:color w:val="auto"/>
              </w:rPr>
            </w:pPr>
            <w:r>
              <w:rPr>
                <w:rFonts w:ascii="Arial" w:cs="Arial" w:eastAsia="Arial" w:hAnsi="Arial"/>
                <w:sz w:val="18"/>
                <w:szCs w:val="18"/>
                <w:b w:val="1"/>
                <w:bCs w:val="1"/>
                <w:color w:val="auto"/>
              </w:rPr>
              <w:t>Walmart, Inc.</w:t>
            </w:r>
          </w:p>
        </w:tc>
      </w:tr>
      <w:tr>
        <w:trPr>
          <w:trHeight w:val="284"/>
        </w:trPr>
        <w:tc>
          <w:tcPr>
            <w:tcW w:w="2380" w:type="dxa"/>
            <w:vAlign w:val="bottom"/>
            <w:gridSpan w:val="5"/>
          </w:tcPr>
          <w:p>
            <w:pPr>
              <w:spacing w:after="0"/>
              <w:rPr>
                <w:sz w:val="20"/>
                <w:szCs w:val="20"/>
                <w:color w:val="auto"/>
              </w:rPr>
            </w:pPr>
            <w:r>
              <w:rPr>
                <w:rFonts w:ascii="Arial" w:cs="Arial" w:eastAsia="Arial" w:hAnsi="Arial"/>
                <w:sz w:val="18"/>
                <w:szCs w:val="18"/>
                <w:color w:val="auto"/>
              </w:rPr>
              <w:t>By: /s/ Reade Fahs</w:t>
            </w:r>
          </w:p>
        </w:tc>
        <w:tc>
          <w:tcPr>
            <w:tcW w:w="7480" w:type="dxa"/>
            <w:vAlign w:val="bottom"/>
            <w:gridSpan w:val="7"/>
          </w:tcPr>
          <w:p>
            <w:pPr>
              <w:ind w:left="2860"/>
              <w:spacing w:after="0"/>
              <w:rPr>
                <w:sz w:val="20"/>
                <w:szCs w:val="20"/>
                <w:color w:val="auto"/>
              </w:rPr>
            </w:pPr>
            <w:r>
              <w:rPr>
                <w:rFonts w:ascii="Arial" w:cs="Arial" w:eastAsia="Arial" w:hAnsi="Arial"/>
                <w:sz w:val="18"/>
                <w:szCs w:val="18"/>
                <w:color w:val="auto"/>
              </w:rPr>
              <w:t>By: /s/ Mony Iyer</w:t>
            </w: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304"/>
        </w:trPr>
        <w:tc>
          <w:tcPr>
            <w:tcW w:w="2380" w:type="dxa"/>
            <w:vAlign w:val="bottom"/>
            <w:gridSpan w:val="5"/>
          </w:tcPr>
          <w:p>
            <w:pPr>
              <w:spacing w:after="0"/>
              <w:rPr>
                <w:sz w:val="20"/>
                <w:szCs w:val="20"/>
                <w:color w:val="auto"/>
              </w:rPr>
            </w:pPr>
            <w:r>
              <w:rPr>
                <w:rFonts w:ascii="Arial" w:cs="Arial" w:eastAsia="Arial" w:hAnsi="Arial"/>
                <w:sz w:val="18"/>
                <w:szCs w:val="18"/>
                <w:color w:val="auto"/>
              </w:rPr>
              <w:t>Name: Reade Fahs</w:t>
            </w:r>
          </w:p>
        </w:tc>
        <w:tc>
          <w:tcPr>
            <w:tcW w:w="7480" w:type="dxa"/>
            <w:vAlign w:val="bottom"/>
            <w:gridSpan w:val="7"/>
          </w:tcPr>
          <w:p>
            <w:pPr>
              <w:ind w:left="2860"/>
              <w:spacing w:after="0"/>
              <w:rPr>
                <w:sz w:val="20"/>
                <w:szCs w:val="20"/>
                <w:color w:val="auto"/>
              </w:rPr>
            </w:pPr>
            <w:r>
              <w:rPr>
                <w:rFonts w:ascii="Arial" w:cs="Arial" w:eastAsia="Arial" w:hAnsi="Arial"/>
                <w:sz w:val="18"/>
                <w:szCs w:val="18"/>
                <w:color w:val="auto"/>
              </w:rPr>
              <w:t>Name: Mony Iyer</w:t>
            </w:r>
          </w:p>
        </w:tc>
      </w:tr>
      <w:tr>
        <w:trPr>
          <w:trHeight w:val="20"/>
        </w:trPr>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304"/>
        </w:trPr>
        <w:tc>
          <w:tcPr>
            <w:tcW w:w="2380" w:type="dxa"/>
            <w:vAlign w:val="bottom"/>
            <w:gridSpan w:val="5"/>
          </w:tcPr>
          <w:p>
            <w:pPr>
              <w:spacing w:after="0"/>
              <w:rPr>
                <w:sz w:val="20"/>
                <w:szCs w:val="20"/>
                <w:color w:val="auto"/>
              </w:rPr>
            </w:pPr>
            <w:r>
              <w:rPr>
                <w:rFonts w:ascii="Arial" w:cs="Arial" w:eastAsia="Arial" w:hAnsi="Arial"/>
                <w:sz w:val="18"/>
                <w:szCs w:val="18"/>
                <w:color w:val="auto"/>
              </w:rPr>
              <w:t>Title: Chief Executive Officer</w:t>
            </w:r>
          </w:p>
        </w:tc>
        <w:tc>
          <w:tcPr>
            <w:tcW w:w="7480" w:type="dxa"/>
            <w:vAlign w:val="bottom"/>
            <w:gridSpan w:val="7"/>
          </w:tcPr>
          <w:p>
            <w:pPr>
              <w:ind w:left="2860"/>
              <w:spacing w:after="0"/>
              <w:rPr>
                <w:sz w:val="20"/>
                <w:szCs w:val="20"/>
                <w:color w:val="auto"/>
              </w:rPr>
            </w:pPr>
            <w:r>
              <w:rPr>
                <w:rFonts w:ascii="Arial" w:cs="Arial" w:eastAsia="Arial" w:hAnsi="Arial"/>
                <w:sz w:val="18"/>
                <w:szCs w:val="18"/>
                <w:color w:val="auto"/>
                <w:w w:val="91"/>
              </w:rPr>
              <w:t>Title: Vice President, Optical Lead, Walmart Health &amp; Wellness</w:t>
            </w:r>
          </w:p>
        </w:tc>
      </w:tr>
      <w:tr>
        <w:trPr>
          <w:trHeight w:val="20"/>
        </w:trPr>
        <w:tc>
          <w:tcPr>
            <w:tcW w:w="420" w:type="dxa"/>
            <w:vAlign w:val="bottom"/>
            <w:gridSpan w:val="2"/>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2940" w:type="dxa"/>
            <w:vAlign w:val="bottom"/>
            <w:gridSpan w:val="3"/>
            <w:shd w:val="clear" w:color="auto" w:fill="000000"/>
          </w:tcPr>
          <w:p>
            <w:pPr>
              <w:spacing w:after="0" w:line="20" w:lineRule="exact"/>
              <w:rPr>
                <w:sz w:val="1"/>
                <w:szCs w:val="1"/>
                <w:color w:val="auto"/>
              </w:rPr>
            </w:pPr>
          </w:p>
        </w:tc>
      </w:tr>
      <w:tr>
        <w:trPr>
          <w:trHeight w:val="304"/>
        </w:trPr>
        <w:tc>
          <w:tcPr>
            <w:tcW w:w="2380" w:type="dxa"/>
            <w:vAlign w:val="bottom"/>
            <w:gridSpan w:val="5"/>
          </w:tcPr>
          <w:p>
            <w:pPr>
              <w:spacing w:after="0"/>
              <w:rPr>
                <w:sz w:val="20"/>
                <w:szCs w:val="20"/>
                <w:color w:val="auto"/>
              </w:rPr>
            </w:pPr>
            <w:r>
              <w:rPr>
                <w:rFonts w:ascii="Arial" w:cs="Arial" w:eastAsia="Arial" w:hAnsi="Arial"/>
                <w:sz w:val="18"/>
                <w:szCs w:val="18"/>
                <w:color w:val="auto"/>
              </w:rPr>
              <w:t>Date: January 22, 2020</w:t>
            </w:r>
          </w:p>
        </w:tc>
        <w:tc>
          <w:tcPr>
            <w:tcW w:w="7480" w:type="dxa"/>
            <w:vAlign w:val="bottom"/>
            <w:gridSpan w:val="7"/>
          </w:tcPr>
          <w:p>
            <w:pPr>
              <w:ind w:left="2860"/>
              <w:spacing w:after="0"/>
              <w:rPr>
                <w:sz w:val="20"/>
                <w:szCs w:val="20"/>
                <w:color w:val="auto"/>
              </w:rPr>
            </w:pPr>
            <w:r>
              <w:rPr>
                <w:rFonts w:ascii="Arial" w:cs="Arial" w:eastAsia="Arial" w:hAnsi="Arial"/>
                <w:sz w:val="18"/>
                <w:szCs w:val="18"/>
                <w:color w:val="auto"/>
              </w:rPr>
              <w:t>Date: January 22, 2020</w:t>
            </w: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ectPr>
          <w:pgSz w:w="11900" w:h="16838" w:orient="portrait"/>
          <w:cols w:equalWidth="0" w:num="1">
            <w:col w:w="11420"/>
          </w:cols>
          <w:pgMar w:left="240" w:top="346"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List of Centers and Minimum Hours of Operation</w:t>
      </w: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9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Store #</w:t>
            </w:r>
          </w:p>
        </w:tc>
        <w:tc>
          <w:tcPr>
            <w:tcW w:w="1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City</w:t>
            </w:r>
          </w:p>
        </w:tc>
        <w:tc>
          <w:tcPr>
            <w:tcW w:w="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State</w:t>
            </w: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Sun</w:t>
            </w: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Mon</w:t>
            </w: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Tue</w:t>
            </w: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Wed</w:t>
            </w: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Thu</w:t>
            </w:r>
          </w:p>
        </w:tc>
        <w:tc>
          <w:tcPr>
            <w:tcW w:w="11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Fri</w:t>
            </w: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Sat</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459</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Covington</w:t>
            </w:r>
          </w:p>
        </w:tc>
        <w:tc>
          <w:tcPr>
            <w:tcW w:w="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1076</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Macon</w:t>
            </w:r>
          </w:p>
        </w:tc>
        <w:tc>
          <w:tcPr>
            <w:tcW w:w="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3388</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Lawrenceville (S)</w:t>
            </w:r>
          </w:p>
        </w:tc>
        <w:tc>
          <w:tcPr>
            <w:tcW w:w="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7185</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Coal Mountain</w:t>
            </w:r>
          </w:p>
        </w:tc>
        <w:tc>
          <w:tcPr>
            <w:tcW w:w="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237"/>
        </w:trPr>
        <w:tc>
          <w:tcPr>
            <w:tcW w:w="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7194</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Adel</w:t>
            </w:r>
          </w:p>
        </w:tc>
        <w:tc>
          <w:tcPr>
            <w:tcW w:w="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9am-7pm</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440"/>
      </w:cols>
      <w:pgMar w:left="240" w:top="33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2020-01-22T15:06:16Z</dcterms:created>
  <dcterms:modified xsi:type="dcterms:W3CDTF">2020-01-22T15:06:16Z</dcterms:modified>
</cp:coreProperties>
</file>