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42"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KKR Fund Holdings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80"/>
        <w:spacing w:after="0" w:line="331" w:lineRule="auto"/>
        <w:rPr>
          <w:sz w:val="20"/>
          <w:szCs w:val="20"/>
          <w:color w:val="auto"/>
        </w:rPr>
      </w:pPr>
      <w:r>
        <w:rPr>
          <w:rFonts w:ascii="Arial" w:cs="Arial" w:eastAsia="Arial" w:hAnsi="Arial"/>
          <w:sz w:val="18"/>
          <w:szCs w:val="18"/>
          <w:color w:val="0000FF"/>
        </w:rPr>
        <w:t>C/O KOHLBERG KRAVIS ROBERTS &amp; CO. L.P. 9 WEST 57TH STREET, SUITE 4200</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National Vision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720" w:type="dxa"/>
            <w:vAlign w:val="bottom"/>
            <w:gridSpan w:val="3"/>
          </w:tcPr>
          <w:p>
            <w:pPr>
              <w:ind w:left="80"/>
              <w:spacing w:after="0"/>
              <w:rPr>
                <w:sz w:val="20"/>
                <w:szCs w:val="20"/>
                <w:color w:val="auto"/>
              </w:rPr>
            </w:pPr>
            <w:r>
              <w:rPr>
                <w:rFonts w:ascii="Arial" w:cs="Arial" w:eastAsia="Arial" w:hAnsi="Arial"/>
                <w:sz w:val="18"/>
                <w:szCs w:val="18"/>
                <w:color w:val="0000FF"/>
              </w:rPr>
              <w:t>07/30/2018</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4"/>
          <w:szCs w:val="24"/>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4"/>
          <w:szCs w:val="24"/>
          <w:color w:val="auto"/>
        </w:rPr>
      </w:pPr>
    </w:p>
    <w:p>
      <w:pPr>
        <w:sectPr>
          <w:pgSz w:w="11900" w:h="16842"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23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380"/>
              <w:spacing w:after="0" w:line="135" w:lineRule="exact"/>
              <w:rPr>
                <w:sz w:val="20"/>
                <w:szCs w:val="20"/>
                <w:color w:val="auto"/>
              </w:rPr>
            </w:pPr>
            <w:r>
              <w:rPr>
                <w:rFonts w:ascii="Arial" w:cs="Arial" w:eastAsia="Arial" w:hAnsi="Arial"/>
                <w:sz w:val="12"/>
                <w:szCs w:val="12"/>
                <w:b w:val="1"/>
                <w:bCs w:val="1"/>
                <w:color w:val="auto"/>
                <w:w w:val="99"/>
              </w:rPr>
              <w:t>(D)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8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8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w w:val="99"/>
              </w:rPr>
              <w:t>(A) or</w:t>
            </w:r>
          </w:p>
        </w:tc>
        <w:tc>
          <w:tcPr>
            <w:tcW w:w="100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9"/>
                <w:szCs w:val="9"/>
                <w:b w:val="1"/>
                <w:bCs w:val="1"/>
                <w:color w:val="auto"/>
              </w:rPr>
              <w:t>Reported</w:t>
            </w: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8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0"/>
                <w:szCs w:val="10"/>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500" w:type="dxa"/>
            <w:vAlign w:val="bottom"/>
            <w:gridSpan w:val="2"/>
          </w:tcPr>
          <w:p>
            <w:pPr>
              <w:ind w:left="40"/>
              <w:spacing w:after="0" w:line="12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1040" w:type="dxa"/>
            <w:vAlign w:val="bottom"/>
            <w:gridSpan w:val="2"/>
            <w:vMerge w:val="continue"/>
          </w:tcPr>
          <w:p>
            <w:pPr>
              <w:spacing w:after="0"/>
              <w:rPr>
                <w:sz w:val="6"/>
                <w:szCs w:val="6"/>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vMerge w:val="restart"/>
          </w:tcPr>
          <w:p>
            <w:pPr>
              <w:ind w:left="160"/>
              <w:spacing w:after="0"/>
              <w:rPr>
                <w:sz w:val="20"/>
                <w:szCs w:val="20"/>
                <w:color w:val="auto"/>
              </w:rPr>
            </w:pPr>
            <w:r>
              <w:rPr>
                <w:rFonts w:ascii="Arial" w:cs="Arial" w:eastAsia="Arial" w:hAnsi="Arial"/>
                <w:sz w:val="18"/>
                <w:szCs w:val="18"/>
                <w:color w:val="0000FF"/>
              </w:rPr>
              <w:t>07/30/2018</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400" w:type="dxa"/>
            <w:vAlign w:val="bottom"/>
          </w:tcPr>
          <w:p>
            <w:pPr>
              <w:spacing w:after="0"/>
              <w:rPr>
                <w:sz w:val="22"/>
                <w:szCs w:val="22"/>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8"/>
                <w:szCs w:val="18"/>
                <w:color w:val="0000FF"/>
              </w:rPr>
              <w:t>11,452,321   D</w:t>
            </w:r>
          </w:p>
        </w:tc>
        <w:tc>
          <w:tcPr>
            <w:tcW w:w="1000" w:type="dxa"/>
            <w:vAlign w:val="bottom"/>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38.2594</w:t>
            </w:r>
            <w:r>
              <w:rPr>
                <w:rFonts w:ascii="Arial" w:cs="Arial" w:eastAsia="Arial" w:hAnsi="Arial"/>
                <w:sz w:val="22"/>
                <w:szCs w:val="22"/>
                <w:color w:val="008000"/>
                <w:w w:val="90"/>
                <w:vertAlign w:val="superscript"/>
              </w:rPr>
              <w:t>(1)</w:t>
            </w:r>
          </w:p>
        </w:tc>
        <w:tc>
          <w:tcPr>
            <w:tcW w:w="40" w:type="dxa"/>
            <w:vAlign w:val="bottom"/>
          </w:tcPr>
          <w:p>
            <w:pPr>
              <w:spacing w:after="0"/>
              <w:rPr>
                <w:sz w:val="22"/>
                <w:szCs w:val="22"/>
                <w:color w:val="auto"/>
              </w:rPr>
            </w:pPr>
          </w:p>
        </w:tc>
        <w:tc>
          <w:tcPr>
            <w:tcW w:w="15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20,946,174</w:t>
            </w:r>
          </w:p>
        </w:tc>
        <w:tc>
          <w:tcPr>
            <w:tcW w:w="2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240" w:type="dxa"/>
            <w:vAlign w:val="bottom"/>
          </w:tcPr>
          <w:p>
            <w:pPr>
              <w:spacing w:after="0"/>
              <w:rPr>
                <w:sz w:val="22"/>
                <w:szCs w:val="22"/>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0000FF"/>
              </w:rPr>
              <w:t>See</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(2)(3)(4)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20" w:type="dxa"/>
            <w:vAlign w:val="bottom"/>
            <w:tcBorders>
              <w:top w:val="single" w:sz="8" w:color="2C2C2C"/>
            </w:tcBorders>
            <w:gridSpan w:val="15"/>
          </w:tcPr>
          <w:p>
            <w:pPr>
              <w:ind w:left="2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40" w:type="dxa"/>
            <w:vAlign w:val="bottom"/>
            <w:gridSpan w:val="12"/>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4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2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2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78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78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9"/>
              </w:rPr>
              <w:t>Date</w:t>
            </w:r>
          </w:p>
        </w:tc>
        <w:tc>
          <w:tcPr>
            <w:tcW w:w="128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Expiration</w:t>
            </w:r>
          </w:p>
        </w:tc>
        <w:tc>
          <w:tcPr>
            <w:tcW w:w="1040" w:type="dxa"/>
            <w:vAlign w:val="bottom"/>
            <w:gridSpan w:val="2"/>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KKR Fund Holdings L.P.</w:t>
              </w:r>
            </w:hyperlink>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40" w:type="dxa"/>
            <w:vAlign w:val="bottom"/>
          </w:tcPr>
          <w:p>
            <w:pPr>
              <w:ind w:left="32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5"/>
              </w:rPr>
              <w:t>C/O KOHLBERG KRAVIS ROBERTS &amp; CO.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9 WEST 57TH STREET, SUITE 4200</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1140" w:type="dxa"/>
            <w:vAlign w:val="bottom"/>
          </w:tcPr>
          <w:p>
            <w:pPr>
              <w:ind w:left="320"/>
              <w:spacing w:after="0"/>
              <w:rPr>
                <w:sz w:val="20"/>
                <w:szCs w:val="20"/>
                <w:color w:val="auto"/>
              </w:rPr>
            </w:pPr>
            <w:r>
              <w:rPr>
                <w:rFonts w:ascii="Arial" w:cs="Arial" w:eastAsia="Arial" w:hAnsi="Arial"/>
                <w:sz w:val="18"/>
                <w:szCs w:val="18"/>
                <w:color w:val="0000FF"/>
              </w:rPr>
              <w:t>10019</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40" w:type="dxa"/>
            <w:vAlign w:val="bottom"/>
          </w:tcPr>
          <w:p>
            <w:pPr>
              <w:ind w:left="3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spacing w:after="0" w:line="224" w:lineRule="exact"/>
              <w:rPr>
                <w:rFonts w:ascii="Arial" w:cs="Arial" w:eastAsia="Arial" w:hAnsi="Arial"/>
                <w:sz w:val="22"/>
                <w:szCs w:val="22"/>
                <w:color w:val="0000EE"/>
                <w:w w:val="96"/>
              </w:rPr>
            </w:pPr>
            <w:hyperlink r:id="rId14">
              <w:r>
                <w:rPr>
                  <w:rFonts w:ascii="Arial" w:cs="Arial" w:eastAsia="Arial" w:hAnsi="Arial"/>
                  <w:sz w:val="22"/>
                  <w:szCs w:val="22"/>
                  <w:color w:val="0000EE"/>
                  <w:w w:val="96"/>
                </w:rPr>
                <w:t>KKR Fund Holdings GP Ltd</w:t>
              </w:r>
            </w:hyperlink>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40" w:type="dxa"/>
            <w:vAlign w:val="bottom"/>
          </w:tcPr>
          <w:p>
            <w:pPr>
              <w:ind w:left="32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w w:val="95"/>
              </w:rPr>
              <w:t>C/O KOHLBERG KRAVIS ROBERTS &amp; CO. L.P.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9 WEST 57TH STREET, SUITE 4200</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6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1140" w:type="dxa"/>
            <w:vAlign w:val="bottom"/>
          </w:tcPr>
          <w:p>
            <w:pPr>
              <w:ind w:left="320"/>
              <w:spacing w:after="0"/>
              <w:rPr>
                <w:sz w:val="20"/>
                <w:szCs w:val="20"/>
                <w:color w:val="auto"/>
              </w:rPr>
            </w:pPr>
            <w:r>
              <w:rPr>
                <w:rFonts w:ascii="Arial" w:cs="Arial" w:eastAsia="Arial" w:hAnsi="Arial"/>
                <w:sz w:val="18"/>
                <w:szCs w:val="18"/>
                <w:color w:val="0000FF"/>
              </w:rPr>
              <w:t>10019</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40" w:type="dxa"/>
            <w:vAlign w:val="bottom"/>
          </w:tcPr>
          <w:p>
            <w:pPr>
              <w:ind w:left="3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KKR Group Holdings Corp.</w:t>
        </w:r>
      </w:hyperlink>
    </w:p>
    <w:p>
      <w:pPr>
        <w:sectPr>
          <w:pgSz w:w="11900" w:h="16842"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42" w:orient="portrait"/>
          <w:cols w:equalWidth="0" w:num="1">
            <w:col w:w="11420"/>
          </w:cols>
          <w:pgMar w:left="240" w:top="226" w:right="239" w:bottom="0" w:gutter="0" w:footer="0" w:header="0"/>
          <w:type w:val="continuous"/>
        </w:sectPr>
      </w:pPr>
    </w:p>
    <w:bookmarkStart w:id="1" w:name="page2"/>
    <w:bookmarkEnd w:id="1"/>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837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837438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40" w:type="dxa"/>
            <w:vAlign w:val="bottom"/>
          </w:tcPr>
          <w:p>
            <w:pPr>
              <w:spacing w:after="0"/>
              <w:rPr>
                <w:sz w:val="20"/>
                <w:szCs w:val="20"/>
                <w:color w:val="auto"/>
              </w:rPr>
            </w:pPr>
            <w:r>
              <w:rPr>
                <w:rFonts w:ascii="Arial" w:cs="Arial" w:eastAsia="Arial" w:hAnsi="Arial"/>
                <w:sz w:val="18"/>
                <w:szCs w:val="18"/>
                <w:color w:val="0000FF"/>
              </w:rPr>
              <w:t>NEW YORK</w:t>
            </w:r>
          </w:p>
        </w:tc>
        <w:tc>
          <w:tcPr>
            <w:tcW w:w="1300" w:type="dxa"/>
            <w:vAlign w:val="bottom"/>
          </w:tcPr>
          <w:p>
            <w:pPr>
              <w:ind w:left="2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2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tcBorders>
              <w:bottom w:val="single" w:sz="8" w:color="0000EE"/>
            </w:tcBorders>
          </w:tcPr>
          <w:p>
            <w:pPr>
              <w:spacing w:after="0" w:line="224" w:lineRule="exact"/>
              <w:rPr>
                <w:rFonts w:ascii="Arial" w:cs="Arial" w:eastAsia="Arial" w:hAnsi="Arial"/>
                <w:sz w:val="22"/>
                <w:szCs w:val="22"/>
                <w:color w:val="0000EE"/>
                <w:w w:val="95"/>
              </w:rPr>
            </w:pPr>
            <w:hyperlink r:id="rId17">
              <w:r>
                <w:rPr>
                  <w:rFonts w:ascii="Arial" w:cs="Arial" w:eastAsia="Arial" w:hAnsi="Arial"/>
                  <w:sz w:val="22"/>
                  <w:szCs w:val="22"/>
                  <w:color w:val="0000EE"/>
                  <w:w w:val="95"/>
                </w:rPr>
                <w:t>KKR &amp; Co. Inc.</w:t>
              </w:r>
            </w:hyperlink>
          </w:p>
        </w:tc>
        <w:tc>
          <w:tcPr>
            <w:tcW w:w="1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KKR Management LLC</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KRAVIS HENRY R</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ROBERTS GEORGE R</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2800 SAND HILL ROAD, SUITE 200</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3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MENLO PARK</w:t>
            </w:r>
          </w:p>
        </w:tc>
        <w:tc>
          <w:tcPr>
            <w:tcW w:w="1100" w:type="dxa"/>
            <w:vAlign w:val="bottom"/>
          </w:tcPr>
          <w:p>
            <w:pPr>
              <w:ind w:left="16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94025</w:t>
            </w:r>
          </w:p>
        </w:tc>
      </w:tr>
      <w:tr>
        <w:trPr>
          <w:trHeight w:val="158"/>
        </w:trPr>
        <w:tc>
          <w:tcPr>
            <w:tcW w:w="4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1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amount represents the secondary public offering price per share of common stock of National Vision Holdings, Inc., less the underwriting discount of $1.4906 per share.</w:t>
      </w:r>
    </w:p>
    <w:p>
      <w:pPr>
        <w:spacing w:after="0" w:line="41" w:lineRule="exact"/>
        <w:rPr>
          <w:rFonts w:ascii="Arial" w:cs="Arial" w:eastAsia="Arial" w:hAnsi="Arial"/>
          <w:sz w:val="14"/>
          <w:szCs w:val="14"/>
          <w:color w:val="008000"/>
        </w:rPr>
      </w:pPr>
    </w:p>
    <w:p>
      <w:pPr>
        <w:ind w:left="20" w:right="26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securities of National Vision Holdings, Inc. are held by KKR Vision Aggregator L.P. The general partner of KKR Vision Aggregator L.P. is KKR Vision Aggregator GP LLC. The sole member of KKR Vision Aggregator GP LLC is KKR North America Fund XI L.P. The general partner of KKR North America Fund XI L.P. is KKR Associates North America XI L.P. The general partner of KKR Associates North America XI L.P. is KKR North America XI Limited. The sole shareholder of KKR North America XI Limited is KKR Fund Holdings L.P.</w:t>
      </w:r>
    </w:p>
    <w:p>
      <w:pPr>
        <w:spacing w:after="0" w:line="2" w:lineRule="exact"/>
        <w:rPr>
          <w:rFonts w:ascii="Arial" w:cs="Arial" w:eastAsia="Arial" w:hAnsi="Arial"/>
          <w:sz w:val="12"/>
          <w:szCs w:val="12"/>
          <w:color w:val="008000"/>
        </w:rPr>
      </w:pPr>
    </w:p>
    <w:p>
      <w:pPr>
        <w:ind w:lef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KKR Fund Holdings GP Limited is a general partner of KKR Fund Holdings L.P. KKR Group Holdings Corp. is a general partner of KKR Fund Holdings L.P. and the sole shareholder of KKR Fund Holdings GP Limited. KKR &amp; Co. Inc. is the sole shareholder of KKR Group Holdings Corp. KKR Management LLC is the controlling shareholder of KKR &amp; Co. Inc. Messrs. Henry R. Kravis and George R. Roberts are the designated members of KKR Management LLC.</w:t>
      </w:r>
    </w:p>
    <w:p>
      <w:pPr>
        <w:spacing w:after="0" w:line="30" w:lineRule="exact"/>
        <w:rPr>
          <w:rFonts w:ascii="Arial" w:cs="Arial" w:eastAsia="Arial" w:hAnsi="Arial"/>
          <w:sz w:val="14"/>
          <w:szCs w:val="14"/>
          <w:color w:val="008000"/>
        </w:rPr>
      </w:pPr>
    </w:p>
    <w:p>
      <w:pPr>
        <w:ind w:left="20" w:right="20" w:firstLine="9"/>
        <w:spacing w:after="0" w:line="29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Because no more than 10 reporting persons can file any one Form 4 through the Securities and Exchange Commission's EDGAR system, certain affiliates of the Reporting Persons have filed a separate Form 4.</w:t>
      </w:r>
    </w:p>
    <w:p>
      <w:pPr>
        <w:spacing w:after="0" w:line="9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KKR FUND HOLDINGS L.P.  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KKR Group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73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Corp., a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4008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4008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490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89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sectPr>
          <w:pgSz w:w="11900" w:h="16859" w:orient="portrait"/>
          <w:cols w:equalWidth="0" w:num="1">
            <w:col w:w="11320"/>
          </w:cols>
          <w:pgMar w:left="260" w:top="131" w:right="319" w:bottom="0" w:gutter="0" w:footer="0" w:header="0"/>
        </w:sectPr>
      </w:pPr>
    </w:p>
    <w:bookmarkStart w:id="2" w:name="page3"/>
    <w:bookmarkEnd w:id="2"/>
    <w:p>
      <w:pPr>
        <w:ind w:left="682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69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Janetschek,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28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19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1940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KKR FUND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4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33477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LIMITED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49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6492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96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12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KKR GROUP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388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CORP.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13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131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896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512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382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03822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KKR &amp; CO.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303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96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Janetschek,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28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19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1940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KKR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068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30683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5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24587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474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4744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William J. Janetschek,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744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744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626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HENRY R. KRAVIS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585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585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490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3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245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GEORGE R. ROBERTS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41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817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381760"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893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245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08/01/2018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9000" w:space="120"/>
            <w:col w:w="1200"/>
          </w:cols>
          <w:pgMar w:left="280" w:top="131"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12" Type="http://schemas.openxmlformats.org/officeDocument/2006/relationships/hyperlink" Target="http://www.sec.gov/cgi-bin/browse-edgar?action=getcompany&amp;CIK=0001472698" TargetMode="External"/><Relationship Id="rId13" Type="http://schemas.openxmlformats.org/officeDocument/2006/relationships/hyperlink" Target="http://www.sec.gov/cgi-bin/browse-edgar?action=getcompany&amp;CIK=0001710155" TargetMode="External"/><Relationship Id="rId14" Type="http://schemas.openxmlformats.org/officeDocument/2006/relationships/hyperlink" Target="http://www.sec.gov/cgi-bin/browse-edgar?action=getcompany&amp;CIK=0001472697" TargetMode="External"/><Relationship Id="rId15" Type="http://schemas.openxmlformats.org/officeDocument/2006/relationships/hyperlink" Target="http://www.sec.gov/cgi-bin/browse-edgar?action=getcompany&amp;CIK=0001743754" TargetMode="External"/><Relationship Id="rId17" Type="http://schemas.openxmlformats.org/officeDocument/2006/relationships/hyperlink" Target="http://www.sec.gov/cgi-bin/browse-edgar?action=getcompany&amp;CIK=0001404912" TargetMode="External"/><Relationship Id="rId18" Type="http://schemas.openxmlformats.org/officeDocument/2006/relationships/hyperlink" Target="http://www.sec.gov/cgi-bin/browse-edgar?action=getcompany&amp;CIK=0001472694" TargetMode="External"/><Relationship Id="rId19" Type="http://schemas.openxmlformats.org/officeDocument/2006/relationships/hyperlink" Target="http://www.sec.gov/cgi-bin/browse-edgar?action=getcompany&amp;CIK=0001081714" TargetMode="External"/><Relationship Id="rId20" Type="http://schemas.openxmlformats.org/officeDocument/2006/relationships/hyperlink" Target="http://www.sec.gov/cgi-bin/browse-edgar?action=getcompany&amp;CIK=0001081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2019-12-23T21:55:35Z</dcterms:created>
  <dcterms:modified xsi:type="dcterms:W3CDTF">2019-12-23T21:55:35Z</dcterms:modified>
</cp:coreProperties>
</file>