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August 12,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left="2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left="2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001-38257</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46-4841717</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20" w:space="720"/>
            <w:col w:w="2620" w:space="720"/>
            <w:col w:w="3240"/>
          </w:cols>
          <w:pgMar w:left="240" w:top="535"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2435 COMMERCE AVENUE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BLDG. 2200</w:t>
      </w:r>
    </w:p>
    <w:p>
      <w:pPr>
        <w:jc w:val="center"/>
        <w:spacing w:after="0" w:line="230" w:lineRule="auto"/>
        <w:rPr>
          <w:sz w:val="20"/>
          <w:szCs w:val="20"/>
          <w:color w:val="auto"/>
        </w:rPr>
      </w:pPr>
      <w:r>
        <w:rPr>
          <w:rFonts w:ascii="Arial" w:cs="Arial" w:eastAsia="Arial" w:hAnsi="Arial"/>
          <w:sz w:val="22"/>
          <w:szCs w:val="22"/>
          <w:b w:val="1"/>
          <w:bCs w:val="1"/>
          <w:color w:val="auto"/>
        </w:rPr>
        <w:t>DULUTH, Georgia 30096-4980</w:t>
      </w:r>
    </w:p>
    <w:p>
      <w:pPr>
        <w:jc w:val="center"/>
        <w:spacing w:after="0" w:line="231" w:lineRule="auto"/>
        <w:rPr>
          <w:sz w:val="20"/>
          <w:szCs w:val="20"/>
          <w:color w:val="auto"/>
        </w:rPr>
      </w:pPr>
      <w:r>
        <w:rPr>
          <w:rFonts w:ascii="Arial" w:cs="Arial" w:eastAsia="Arial" w:hAnsi="Arial"/>
          <w:sz w:val="22"/>
          <w:szCs w:val="22"/>
          <w:b w:val="1"/>
          <w:bCs w:val="1"/>
          <w:color w:val="auto"/>
        </w:rPr>
        <w:t>(770) 822-3600</w:t>
      </w:r>
    </w:p>
    <w:p>
      <w:pPr>
        <w:jc w:val="center"/>
        <w:spacing w:after="0" w:line="230" w:lineRule="auto"/>
        <w:rPr>
          <w:sz w:val="20"/>
          <w:szCs w:val="20"/>
          <w:color w:val="auto"/>
        </w:rPr>
      </w:pPr>
      <w:r>
        <w:rPr>
          <w:rFonts w:ascii="Arial" w:cs="Arial" w:eastAsia="Arial" w:hAnsi="Arial"/>
          <w:sz w:val="22"/>
          <w:szCs w:val="22"/>
          <w:b w:val="1"/>
          <w:bCs w:val="1"/>
          <w:color w:val="auto"/>
        </w:rPr>
        <w:t>(Address,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including area code, of registrant’s principal executive offices)</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Trading Symbol(s)</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4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EYE</w:t>
            </w:r>
          </w:p>
        </w:tc>
        <w:tc>
          <w:tcPr>
            <w:tcW w:w="1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660"/>
        <w:spacing w:after="0" w:line="253" w:lineRule="exact"/>
        <w:tabs>
          <w:tab w:leader="none" w:pos="3540" w:val="left"/>
        </w:tabs>
        <w:rPr>
          <w:sz w:val="20"/>
          <w:szCs w:val="20"/>
          <w:color w:val="auto"/>
        </w:rPr>
      </w:pPr>
      <w:r>
        <w:rPr>
          <w:rFonts w:ascii="Arial" w:cs="Arial" w:eastAsia="Arial" w:hAnsi="Arial"/>
          <w:sz w:val="22"/>
          <w:szCs w:val="22"/>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73" w:lineRule="exact"/>
        <w:rPr>
          <w:sz w:val="24"/>
          <w:szCs w:val="24"/>
          <w:color w:val="auto"/>
        </w:rPr>
      </w:pPr>
    </w:p>
    <w:p>
      <w:pPr>
        <w:ind w:right="260"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On August 7, 2019, National Vision Holdings, Inc. (the “Company”) entered into an Underwriting Agreement (the “Underwriting Agreement”) by and among the Company, KKR Vision Aggregator L.P. (the “Selling Stockholder”), and Goldman Sachs &amp; Co. LLC, as underwriter (the “Underwriter”), relating to an underwritten offering of 9,149,908 shares, of the Company’s common stock, par value $0.01 per share, pursuant to the Company’s Registration Statement on Form S-3ASR (File No. 333-228382), filed on November 14, 2018. The offering was completed on August 12, 2019. The offering also included the Company’s repurchase of 819,134 shares out of the 9,149,908 shares of common stock subject to the offering from the Underwriter at $30.52 per share, which was the price the Underwriter purchased the shares from the Selling Stockholder in the offering. The closing of the share repurchase occurred substantially concurrently with closing of the offering, and the shares of the Company’s common stock that were repurchased by the Company were retired. The Company did not receive any proceeds from the offering.</w:t>
      </w:r>
    </w:p>
    <w:p>
      <w:pPr>
        <w:spacing w:after="0" w:line="186" w:lineRule="exact"/>
        <w:rPr>
          <w:sz w:val="20"/>
          <w:szCs w:val="20"/>
          <w:color w:val="auto"/>
        </w:rPr>
      </w:pPr>
    </w:p>
    <w:p>
      <w:pPr>
        <w:ind w:right="820" w:firstLine="648"/>
        <w:spacing w:after="0" w:line="251" w:lineRule="auto"/>
        <w:rPr>
          <w:sz w:val="20"/>
          <w:szCs w:val="20"/>
          <w:color w:val="auto"/>
        </w:rPr>
      </w:pPr>
      <w:r>
        <w:rPr>
          <w:rFonts w:ascii="Arial" w:cs="Arial" w:eastAsia="Arial" w:hAnsi="Arial"/>
          <w:sz w:val="22"/>
          <w:szCs w:val="22"/>
          <w:color w:val="auto"/>
        </w:rPr>
        <w:t>The description of the Underwriting Agreement is qualified in its entirety by the terms of such agreement, which is incorporated herein by reference and attached to this report as Exhibit 1.1.</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ind w:left="800" w:hanging="792"/>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Exhibits.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20" w:type="dxa"/>
            <w:vAlign w:val="bottom"/>
          </w:tcPr>
          <w:p>
            <w:pPr>
              <w:ind w:left="2880"/>
              <w:spacing w:after="0"/>
              <w:rPr>
                <w:sz w:val="20"/>
                <w:szCs w:val="20"/>
                <w:color w:val="auto"/>
              </w:rPr>
            </w:pPr>
            <w:r>
              <w:rPr>
                <w:rFonts w:ascii="Arial" w:cs="Arial" w:eastAsia="Arial" w:hAnsi="Arial"/>
                <w:sz w:val="22"/>
                <w:szCs w:val="22"/>
                <w:b w:val="1"/>
                <w:bCs w:val="1"/>
                <w:color w:val="auto"/>
              </w:rPr>
              <w:t>EXHIBIT INDEX</w:t>
            </w:r>
          </w:p>
        </w:tc>
      </w:tr>
      <w:tr>
        <w:trPr>
          <w:trHeight w:val="409"/>
        </w:trPr>
        <w:tc>
          <w:tcPr>
            <w:tcW w:w="11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Underwriting Agreement, dated August 7, 2019, by and among National Vision Holdings, Inc., the Selling Stockholder named therein and</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Goldman Sachs &amp; Co. LLC, as underwriter.</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Opinion of Simpson Thacher &amp; Bartlett LLP</w:t>
            </w:r>
          </w:p>
        </w:tc>
      </w:tr>
      <w:tr>
        <w:trPr>
          <w:trHeight w:val="412"/>
        </w:trPr>
        <w:tc>
          <w:tcPr>
            <w:tcW w:w="84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Simpson Thacher &amp; Bartlett LLP (including in Exhibit 5.1)</w:t>
            </w:r>
          </w:p>
        </w:tc>
      </w:tr>
      <w:tr>
        <w:trPr>
          <w:trHeight w:val="453"/>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69"/>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53"/>
        </w:trPr>
        <w:tc>
          <w:tcPr>
            <w:tcW w:w="3680" w:type="dxa"/>
            <w:vAlign w:val="bottom"/>
          </w:tcPr>
          <w:p>
            <w:pPr>
              <w:spacing w:after="0"/>
              <w:rPr>
                <w:sz w:val="20"/>
                <w:szCs w:val="20"/>
                <w:color w:val="auto"/>
              </w:rPr>
            </w:pPr>
            <w:r>
              <w:rPr>
                <w:rFonts w:ascii="Arial" w:cs="Arial" w:eastAsia="Arial" w:hAnsi="Arial"/>
                <w:sz w:val="18"/>
                <w:szCs w:val="18"/>
                <w:color w:val="auto"/>
              </w:rPr>
              <w:t>Date: August 12, 2019</w:t>
            </w:r>
          </w:p>
        </w:tc>
        <w:tc>
          <w:tcPr>
            <w:tcW w:w="2960" w:type="dxa"/>
            <w:vAlign w:val="bottom"/>
          </w:tcPr>
          <w:p>
            <w:pPr>
              <w:ind w:left="20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Brandman</w:t>
            </w:r>
          </w:p>
        </w:tc>
      </w:tr>
      <w:tr>
        <w:trPr>
          <w:trHeight w:val="202"/>
        </w:trPr>
        <w:tc>
          <w:tcPr>
            <w:tcW w:w="3680" w:type="dxa"/>
            <w:vAlign w:val="bottom"/>
          </w:tcPr>
          <w:p>
            <w:pPr>
              <w:spacing w:after="0"/>
              <w:rPr>
                <w:sz w:val="17"/>
                <w:szCs w:val="17"/>
                <w:color w:val="auto"/>
              </w:rPr>
            </w:pPr>
          </w:p>
        </w:tc>
        <w:tc>
          <w:tcPr>
            <w:tcW w:w="296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Jared Brandman</w:t>
            </w:r>
          </w:p>
        </w:tc>
      </w:tr>
      <w:tr>
        <w:trPr>
          <w:trHeight w:val="230"/>
        </w:trPr>
        <w:tc>
          <w:tcPr>
            <w:tcW w:w="3680" w:type="dxa"/>
            <w:vAlign w:val="bottom"/>
          </w:tcPr>
          <w:p>
            <w:pPr>
              <w:spacing w:after="0"/>
              <w:rPr>
                <w:sz w:val="20"/>
                <w:szCs w:val="20"/>
                <w:color w:val="auto"/>
              </w:rPr>
            </w:pPr>
          </w:p>
        </w:tc>
        <w:tc>
          <w:tcPr>
            <w:tcW w:w="2960" w:type="dxa"/>
            <w:vAlign w:val="bottom"/>
          </w:tcPr>
          <w:p>
            <w:pPr>
              <w:ind w:left="20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601"/>
        </w:trPr>
        <w:tc>
          <w:tcPr>
            <w:tcW w:w="36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Vision Holdings,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9,149,908 Shares</w:t>
      </w:r>
    </w:p>
    <w:p>
      <w:pPr>
        <w:ind w:left="5040"/>
        <w:spacing w:after="0" w:line="238" w:lineRule="auto"/>
        <w:rPr>
          <w:sz w:val="20"/>
          <w:szCs w:val="20"/>
          <w:color w:val="auto"/>
        </w:rPr>
      </w:pPr>
      <w:r>
        <w:rPr>
          <w:rFonts w:ascii="Arial" w:cs="Arial" w:eastAsia="Arial" w:hAnsi="Arial"/>
          <w:sz w:val="22"/>
          <w:szCs w:val="22"/>
          <w:color w:val="auto"/>
        </w:rPr>
        <w:t>Common Stock</w:t>
      </w:r>
    </w:p>
    <w:p>
      <w:pPr>
        <w:ind w:left="4980"/>
        <w:spacing w:after="0"/>
        <w:rPr>
          <w:sz w:val="20"/>
          <w:szCs w:val="20"/>
          <w:color w:val="auto"/>
        </w:rPr>
      </w:pPr>
      <w:r>
        <w:rPr>
          <w:rFonts w:ascii="Arial" w:cs="Arial" w:eastAsia="Arial" w:hAnsi="Arial"/>
          <w:sz w:val="22"/>
          <w:szCs w:val="22"/>
          <w:color w:val="auto"/>
        </w:rPr>
        <w:t>($0.01 par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jc w:val="right"/>
        <w:spacing w:after="0" w:line="238" w:lineRule="auto"/>
        <w:rPr>
          <w:sz w:val="20"/>
          <w:szCs w:val="20"/>
          <w:color w:val="auto"/>
        </w:rPr>
      </w:pPr>
      <w:r>
        <w:rPr>
          <w:rFonts w:ascii="Arial" w:cs="Arial" w:eastAsia="Arial" w:hAnsi="Arial"/>
          <w:sz w:val="22"/>
          <w:szCs w:val="22"/>
          <w:color w:val="auto"/>
        </w:rPr>
        <w:t>August 7, 2019</w:t>
      </w:r>
    </w:p>
    <w:p>
      <w:pPr>
        <w:spacing w:after="0" w:line="230" w:lineRule="auto"/>
        <w:rPr>
          <w:sz w:val="20"/>
          <w:szCs w:val="20"/>
          <w:color w:val="auto"/>
        </w:rPr>
      </w:pPr>
      <w:r>
        <w:rPr>
          <w:rFonts w:ascii="Arial" w:cs="Arial" w:eastAsia="Arial" w:hAnsi="Arial"/>
          <w:sz w:val="22"/>
          <w:szCs w:val="22"/>
          <w:color w:val="auto"/>
        </w:rPr>
        <w:t>Goldman Sachs &amp; Co. LLC</w:t>
      </w:r>
    </w:p>
    <w:p>
      <w:pPr>
        <w:spacing w:after="0" w:line="231" w:lineRule="auto"/>
        <w:rPr>
          <w:sz w:val="20"/>
          <w:szCs w:val="20"/>
          <w:color w:val="auto"/>
        </w:rPr>
      </w:pPr>
      <w:r>
        <w:rPr>
          <w:rFonts w:ascii="Arial" w:cs="Arial" w:eastAsia="Arial" w:hAnsi="Arial"/>
          <w:sz w:val="22"/>
          <w:szCs w:val="22"/>
          <w:color w:val="auto"/>
        </w:rPr>
        <w:t>200 West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40" w:firstLine="1297"/>
        <w:spacing w:after="0" w:line="234" w:lineRule="auto"/>
        <w:rPr>
          <w:sz w:val="20"/>
          <w:szCs w:val="20"/>
          <w:color w:val="auto"/>
        </w:rPr>
      </w:pPr>
      <w:r>
        <w:rPr>
          <w:rFonts w:ascii="Arial" w:cs="Arial" w:eastAsia="Arial" w:hAnsi="Arial"/>
          <w:sz w:val="22"/>
          <w:szCs w:val="22"/>
          <w:color w:val="auto"/>
        </w:rPr>
        <w:t>KKR Vision Aggregator L.P. (the “Selling Stockholder”), as a stockholder of National Vision Holdings, Inc., a Delaware corporation (the “Company”), proposes to sell to the several underwriters named in Schedule I hereto (the “Underwriters”), for whom you (the “Representatives”) are acting as representatives, 9,149,908 shares (the “Securities”) of the Company’s common stock, par value $0.01 per share (“Common Stock”). Certain terms used herein are defined in Section 24 hereof. To the extent there are no additional Underwriters listed in Schedule I other than you, the term Representatives as used herein shall mean you, as Underwriter, and the terms Representatives and Underwriters shall mean either the singular or plural as the context requires.</w:t>
      </w:r>
    </w:p>
    <w:p>
      <w:pPr>
        <w:spacing w:after="0" w:line="218"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Subject to the sale of the Shares by the Selling Stockholder to the Underwriters in compliance with the terms of this Agreement, the Underwriters have agreed to sell to the Company, and the Company has agreed to herein to purchase from the Underwriters (the “Share Repurchase”), an aggregate of 819,134 Shares (the “Repurchase Shares”) pursuant to Section 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right="60" w:firstLine="1297"/>
        <w:spacing w:after="0" w:line="270" w:lineRule="auto"/>
        <w:rPr>
          <w:sz w:val="20"/>
          <w:szCs w:val="20"/>
          <w:color w:val="auto"/>
        </w:rPr>
      </w:pPr>
      <w:r>
        <w:rPr>
          <w:rFonts w:ascii="Arial" w:cs="Arial" w:eastAsia="Arial" w:hAnsi="Arial"/>
          <w:sz w:val="19"/>
          <w:szCs w:val="19"/>
          <w:color w:val="auto"/>
        </w:rPr>
        <w:t>The Company has prepared and filed with the Commission an “automatic shelf registration statement” as defined under Rule 405 of the Securities Act on Form S-3, File No. 333-228382, including a base prospectus (the “Base Prospectus”), to be used in connection with the public offering and sale of the Securities. Such registration statement, as amended, including the financial statements, exhibits and schedules thereto, in the form in which it became effective under the Securities Act, including all documents incorporated or deemed to be incorporated by reference therein and any information deemed to be a part thereof at the time of effectiveness pursuant to Rule 430A or Rule 430B under the Securities Act, is called the “Registration Statement.” The preliminary prospectus supplement dated August 7, 2019 describing the Securities and the offering thereof (the “Preliminary Prospectus Supplement”), together with the Base Prospectus, is called the “Preliminary Prospectus,” and the Preliminary Prospectus and any other prospectus supplement to the Base Prospectus in preliminary form that describes the Securities and the offering thereof and is used prior to the filing of the Prospectus (as defined below), together with the Base Prospectus, is called a “preliminary prospectus.” As used herein, the term “Prospectus” shall mean the final prospectus supplement to the Base Prospectus that describes the Securities and the offering thereof (the “Final Prospectus Supplement”), together with the Base Prospectus, in the form first used by the Underwriters to confirm sales of the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“Execution Time” is 4:30 p.m. (New York City time) on August 7, 2019. As used herein, “Time of Sale Prospectus” means the Preliminary Prospectus, as amended or supplemented immediately prior to the Execution Time, together with the free writing prospectuses, if any, identified in Schedule II hereto and the information included on Schedule II hereto.</w:t>
      </w:r>
    </w:p>
    <w:p>
      <w:pPr>
        <w:spacing w:after="0" w:line="200" w:lineRule="exact"/>
        <w:rPr>
          <w:sz w:val="20"/>
          <w:szCs w:val="20"/>
          <w:color w:val="auto"/>
        </w:rPr>
      </w:pPr>
    </w:p>
    <w:p>
      <w:pPr>
        <w:spacing w:after="0" w:line="23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“Exchange Act”) that is or is deemed to be incorporated by reference in the Registration Statement, the Preliminary Prospectus, any preliminary prospectus, the Base Prospectus, or the Prospectus, as the case may be. All references in this Agreement to the Registration Statement, the Preliminary Prospectus, any preliminary prospectus, the Base Prospectus or the Prospectus, any amendments or supplements to any of the foregoing, or any Issuer Free Writing Prospectus, shall include any copy thereof filed with the Commission pursuant to its Electronic Data Gathering, Analysis and Retrieval System (“EDGAR”).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and the Selling Stockholder hereby confirm their respective agreements with the Underwriters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ind w:right="100" w:firstLine="656"/>
        <w:spacing w:after="0" w:line="251"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Underwriter as set forth below in this Section 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40" w:right="160" w:firstLine="656"/>
        <w:spacing w:after="0" w:line="271" w:lineRule="auto"/>
        <w:tabs>
          <w:tab w:leader="none" w:pos="138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Registration Statement is an “automatic shelf registration statement,” as defined in Rule 405 under the Securities Act, and became effective upon its filing with the Commission on November 14, 2018. The Company has not received from the Commission any notice pursuant to Rule 401(g)(2) under the Securities Act objecting to the Company’s use of the automatic shelf registration form.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29, 2018 (the “Annual Report”)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Securities in reliance on the exemption of Rule 163 under the Securities Act, the Company was a “well known seasoned issuer” as defined in Rule 405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40" w:firstLine="656"/>
        <w:spacing w:after="0" w:line="269" w:lineRule="auto"/>
        <w:tabs>
          <w:tab w:leader="none" w:pos="14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Securities. Each of the Registration Statement and any post-effective amendment thereto, at the time it became or becomes effective, complied or will comply, and when the Prospectus (and any supplement thereto) is first filed in accordance with Rule 424(b) and on the Closing Date (as defined herein), will comply in all material respects with the applicable requirements of the Securities Act;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will not contain any untrue statement of a material fact or omit to state any material fact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7" w:name="page8"/>
    <w:bookmarkEnd w:id="7"/>
    <w:p>
      <w:pPr>
        <w:ind w:left="-40" w:right="20" w:firstLine="656"/>
        <w:spacing w:after="0" w:line="277" w:lineRule="auto"/>
        <w:tabs>
          <w:tab w:leader="none" w:pos="1388" w:val="left"/>
        </w:tabs>
        <w:numPr>
          <w:ilvl w:val="0"/>
          <w:numId w:val="5"/>
        </w:numPr>
        <w:rPr>
          <w:rFonts w:ascii="Arial" w:cs="Arial" w:eastAsia="Arial" w:hAnsi="Arial"/>
          <w:sz w:val="19"/>
          <w:szCs w:val="19"/>
          <w:color w:val="auto"/>
        </w:rPr>
      </w:pPr>
      <w:r>
        <w:rPr>
          <w:rFonts w:ascii="Arial" w:cs="Arial" w:eastAsia="Arial" w:hAnsi="Arial"/>
          <w:sz w:val="19"/>
          <w:szCs w:val="19"/>
          <w:color w:val="auto"/>
        </w:rPr>
        <w:t>(i) The Disclosure Package and the price to the public and the number of Securities to be included on the cover page of the Prospectus, when taken together as a whole, and (ii) each electronic road show, if any, when taken together as a whole with the Disclosure Package and the price to the public and the number of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180" w:lineRule="exact"/>
        <w:rPr>
          <w:rFonts w:ascii="Arial" w:cs="Arial" w:eastAsia="Arial" w:hAnsi="Arial"/>
          <w:sz w:val="19"/>
          <w:szCs w:val="19"/>
          <w:color w:val="auto"/>
        </w:rPr>
      </w:pPr>
    </w:p>
    <w:p>
      <w:pPr>
        <w:ind w:left="-40" w:right="100" w:firstLine="656"/>
        <w:spacing w:after="0" w:line="238" w:lineRule="auto"/>
        <w:tabs>
          <w:tab w:leader="none" w:pos="14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2" w:lineRule="exact"/>
        <w:rPr>
          <w:rFonts w:ascii="Arial" w:cs="Arial" w:eastAsia="Arial" w:hAnsi="Arial"/>
          <w:sz w:val="22"/>
          <w:szCs w:val="22"/>
          <w:color w:val="auto"/>
        </w:rPr>
      </w:pPr>
    </w:p>
    <w:p>
      <w:pPr>
        <w:ind w:left="-40" w:right="140" w:firstLine="656"/>
        <w:spacing w:after="0" w:line="277" w:lineRule="auto"/>
        <w:tabs>
          <w:tab w:leader="none" w:pos="1388" w:val="left"/>
        </w:tabs>
        <w:numPr>
          <w:ilvl w:val="0"/>
          <w:numId w:val="5"/>
        </w:numPr>
        <w:rPr>
          <w:rFonts w:ascii="Arial" w:cs="Arial" w:eastAsia="Arial" w:hAnsi="Arial"/>
          <w:sz w:val="19"/>
          <w:szCs w:val="19"/>
          <w:color w:val="auto"/>
        </w:rPr>
      </w:pPr>
      <w:r>
        <w:rPr>
          <w:rFonts w:ascii="Arial" w:cs="Arial" w:eastAsia="Arial" w:hAnsi="Arial"/>
          <w:sz w:val="19"/>
          <w:szCs w:val="19"/>
          <w:color w:val="auto"/>
        </w:rPr>
        <w:t>Each Issuer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179" w:lineRule="exact"/>
        <w:rPr>
          <w:rFonts w:ascii="Arial" w:cs="Arial" w:eastAsia="Arial" w:hAnsi="Arial"/>
          <w:sz w:val="19"/>
          <w:szCs w:val="19"/>
          <w:color w:val="auto"/>
        </w:rPr>
      </w:pPr>
    </w:p>
    <w:p>
      <w:pPr>
        <w:ind w:left="-40" w:right="200" w:firstLine="656"/>
        <w:spacing w:after="0" w:line="258" w:lineRule="auto"/>
        <w:tabs>
          <w:tab w:leader="none" w:pos="1418" w:val="left"/>
        </w:tabs>
        <w:numPr>
          <w:ilvl w:val="0"/>
          <w:numId w:val="5"/>
        </w:numPr>
        <w:rPr>
          <w:rFonts w:ascii="Arial" w:cs="Arial" w:eastAsia="Arial" w:hAnsi="Arial"/>
          <w:sz w:val="21"/>
          <w:szCs w:val="21"/>
          <w:color w:val="auto"/>
        </w:rPr>
      </w:pPr>
      <w:r>
        <w:rPr>
          <w:rFonts w:ascii="Arial" w:cs="Arial" w:eastAsia="Arial" w:hAnsi="Arial"/>
          <w:sz w:val="21"/>
          <w:szCs w:val="21"/>
          <w:color w:val="auto"/>
        </w:rPr>
        <w:t>None of the Company or any Significant Subsidiary (as defined below) is, nor after giving effect to the Share Repurchase as herein contemplated will be, an “investment company” as defined in the Investment Company Act, without taking account of any exemption arising out of the number of holders of the Company’s securities.</w:t>
      </w:r>
    </w:p>
    <w:p>
      <w:pPr>
        <w:spacing w:after="0" w:line="193" w:lineRule="exact"/>
        <w:rPr>
          <w:rFonts w:ascii="Arial" w:cs="Arial" w:eastAsia="Arial" w:hAnsi="Arial"/>
          <w:sz w:val="21"/>
          <w:szCs w:val="21"/>
          <w:color w:val="auto"/>
        </w:rPr>
      </w:pPr>
    </w:p>
    <w:p>
      <w:pPr>
        <w:ind w:left="-40" w:right="440" w:firstLine="656"/>
        <w:spacing w:after="0" w:line="251" w:lineRule="auto"/>
        <w:tabs>
          <w:tab w:leader="none" w:pos="14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paid or agreed to pay to any person any compensation for soliciting another to purchase any Securities (except as contemplated in this Agreement).</w:t>
      </w:r>
    </w:p>
    <w:p>
      <w:pPr>
        <w:spacing w:after="0" w:line="200" w:lineRule="exact"/>
        <w:rPr>
          <w:rFonts w:ascii="Arial" w:cs="Arial" w:eastAsia="Arial" w:hAnsi="Arial"/>
          <w:sz w:val="22"/>
          <w:szCs w:val="22"/>
          <w:color w:val="auto"/>
        </w:rPr>
      </w:pPr>
    </w:p>
    <w:p>
      <w:pPr>
        <w:ind w:left="-40" w:firstLine="656"/>
        <w:spacing w:after="0" w:line="238" w:lineRule="auto"/>
        <w:tabs>
          <w:tab w:leader="none" w:pos="14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18" w:right="279" w:bottom="1440" w:gutter="0" w:footer="0" w:header="0"/>
        </w:sectPr>
      </w:pPr>
    </w:p>
    <w:bookmarkStart w:id="8" w:name="page9"/>
    <w:bookmarkEnd w:id="8"/>
    <w:p>
      <w:pPr>
        <w:ind w:left="-20" w:right="60" w:firstLine="656"/>
        <w:spacing w:after="0" w:line="274" w:lineRule="auto"/>
        <w:tabs>
          <w:tab w:leader="none" w:pos="1426" w:val="left"/>
        </w:tabs>
        <w:numPr>
          <w:ilvl w:val="0"/>
          <w:numId w:val="6"/>
        </w:numPr>
        <w:rPr>
          <w:rFonts w:ascii="Arial" w:cs="Arial" w:eastAsia="Arial" w:hAnsi="Arial"/>
          <w:sz w:val="19"/>
          <w:szCs w:val="19"/>
          <w:color w:val="auto"/>
        </w:rPr>
      </w:pPr>
      <w:r>
        <w:rPr>
          <w:rFonts w:ascii="Arial" w:cs="Arial" w:eastAsia="Arial" w:hAnsi="Arial"/>
          <w:sz w:val="19"/>
          <w:szCs w:val="19"/>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186" w:lineRule="exact"/>
        <w:rPr>
          <w:rFonts w:ascii="Arial" w:cs="Arial" w:eastAsia="Arial" w:hAnsi="Arial"/>
          <w:sz w:val="19"/>
          <w:szCs w:val="19"/>
          <w:color w:val="auto"/>
        </w:rPr>
      </w:pPr>
    </w:p>
    <w:p>
      <w:pPr>
        <w:ind w:left="-20" w:right="200" w:firstLine="656"/>
        <w:spacing w:after="0" w:line="251" w:lineRule="auto"/>
        <w:tabs>
          <w:tab w:leader="none" w:pos="142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has no “significant subsidiary,” as defined in Rule 1-02(w) of Regulation S-X under the Securities Act, other than those subsidiaries listed on Schedule III (each, a “Significant Subsidiary”).</w:t>
      </w:r>
    </w:p>
    <w:p>
      <w:pPr>
        <w:spacing w:after="0" w:line="200" w:lineRule="exact"/>
        <w:rPr>
          <w:rFonts w:ascii="Arial" w:cs="Arial" w:eastAsia="Arial" w:hAnsi="Arial"/>
          <w:sz w:val="22"/>
          <w:szCs w:val="22"/>
          <w:color w:val="auto"/>
        </w:rPr>
      </w:pPr>
    </w:p>
    <w:p>
      <w:pPr>
        <w:ind w:left="-20" w:firstLine="656"/>
        <w:spacing w:after="0" w:line="244" w:lineRule="auto"/>
        <w:tabs>
          <w:tab w:leader="none" w:pos="1420" w:val="left"/>
        </w:tabs>
        <w:numPr>
          <w:ilvl w:val="0"/>
          <w:numId w:val="6"/>
        </w:numPr>
        <w:rPr>
          <w:rFonts w:ascii="Arial" w:cs="Arial" w:eastAsia="Arial" w:hAnsi="Arial"/>
          <w:sz w:val="21"/>
          <w:szCs w:val="21"/>
          <w:color w:val="auto"/>
        </w:rPr>
      </w:pPr>
      <w:r>
        <w:rPr>
          <w:rFonts w:ascii="Arial" w:cs="Arial" w:eastAsia="Arial" w:hAnsi="Arial"/>
          <w:sz w:val="21"/>
          <w:szCs w:val="21"/>
          <w:color w:val="auto"/>
        </w:rPr>
        <w:t>As of June 29, 2019, all the outstanding shares of capital stock or membership interests, as applicable, of the Company (including the Securities to be sold by the Selling Stockholder) and each subsidiary listed on Exhibit 21.1 of the Annual Report incorporated by reference into the Disclosure Package and the Prospectus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Securities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09" w:lineRule="exact"/>
        <w:rPr>
          <w:rFonts w:ascii="Arial" w:cs="Arial" w:eastAsia="Arial" w:hAnsi="Arial"/>
          <w:sz w:val="21"/>
          <w:szCs w:val="21"/>
          <w:color w:val="auto"/>
        </w:rPr>
      </w:pPr>
    </w:p>
    <w:p>
      <w:pPr>
        <w:ind w:left="1440" w:hanging="804"/>
        <w:spacing w:after="0"/>
        <w:tabs>
          <w:tab w:leader="none" w:pos="14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left="-20" w:right="20" w:firstLine="656"/>
        <w:spacing w:after="0" w:line="246" w:lineRule="auto"/>
        <w:tabs>
          <w:tab w:leader="none" w:pos="1426" w:val="left"/>
        </w:tabs>
        <w:numPr>
          <w:ilvl w:val="0"/>
          <w:numId w:val="6"/>
        </w:numPr>
        <w:rPr>
          <w:rFonts w:ascii="Arial" w:cs="Arial" w:eastAsia="Arial" w:hAnsi="Arial"/>
          <w:sz w:val="21"/>
          <w:szCs w:val="21"/>
          <w:color w:val="auto"/>
        </w:rPr>
      </w:pPr>
      <w:r>
        <w:rPr>
          <w:rFonts w:ascii="Arial" w:cs="Arial" w:eastAsia="Arial" w:hAnsi="Arial"/>
          <w:sz w:val="21"/>
          <w:szCs w:val="21"/>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Securities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9" w:name="page10"/>
    <w:bookmarkEnd w:id="9"/>
    <w:p>
      <w:pPr>
        <w:ind w:left="-20" w:firstLine="656"/>
        <w:spacing w:after="0" w:line="273"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None of the consummation of the transactions contemplated hereby (including the Share Repurchase),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9" w:lineRule="exact"/>
        <w:rPr>
          <w:rFonts w:ascii="Arial" w:cs="Arial" w:eastAsia="Arial" w:hAnsi="Arial"/>
          <w:sz w:val="19"/>
          <w:szCs w:val="19"/>
          <w:color w:val="auto"/>
        </w:rPr>
      </w:pPr>
    </w:p>
    <w:p>
      <w:pPr>
        <w:ind w:left="-20" w:right="120" w:firstLine="656"/>
        <w:spacing w:after="0" w:line="277"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Annual Report,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179" w:lineRule="exact"/>
        <w:rPr>
          <w:rFonts w:ascii="Arial" w:cs="Arial" w:eastAsia="Arial" w:hAnsi="Arial"/>
          <w:sz w:val="19"/>
          <w:szCs w:val="19"/>
          <w:color w:val="auto"/>
        </w:rPr>
      </w:pPr>
    </w:p>
    <w:p>
      <w:pPr>
        <w:ind w:left="-20" w:right="220" w:firstLine="656"/>
        <w:spacing w:after="0" w:line="287"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(ii) each management stockholder’s agreement between the Company and each stockholder party thereto and (iii) each director stockholder’s agreement between the Company and each stockholder party thereto.</w:t>
      </w:r>
    </w:p>
    <w:p>
      <w:pPr>
        <w:spacing w:after="0" w:line="170" w:lineRule="exact"/>
        <w:rPr>
          <w:rFonts w:ascii="Arial" w:cs="Arial" w:eastAsia="Arial" w:hAnsi="Arial"/>
          <w:sz w:val="19"/>
          <w:szCs w:val="19"/>
          <w:color w:val="auto"/>
        </w:rPr>
      </w:pPr>
    </w:p>
    <w:p>
      <w:pPr>
        <w:ind w:left="-20" w:right="20" w:firstLine="656"/>
        <w:spacing w:after="0" w:line="272"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Annual Report incorporated by reference into the Disclosure Package and the Prospectus fairly presents in all material respects, on the basis stated in the Annual Report, the information included therein; and the summary historical financial data set forth under the heading “Prospectus Supplement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0" w:name="page11"/>
    <w:bookmarkEnd w:id="10"/>
    <w:p>
      <w:pPr>
        <w:ind w:left="-20" w:right="120" w:firstLine="656"/>
        <w:spacing w:after="0" w:line="247" w:lineRule="auto"/>
        <w:tabs>
          <w:tab w:leader="none" w:pos="1438" w:val="left"/>
        </w:tabs>
        <w:numPr>
          <w:ilvl w:val="0"/>
          <w:numId w:val="8"/>
        </w:numPr>
        <w:rPr>
          <w:rFonts w:ascii="Arial" w:cs="Arial" w:eastAsia="Arial" w:hAnsi="Arial"/>
          <w:sz w:val="21"/>
          <w:szCs w:val="21"/>
          <w:color w:val="auto"/>
        </w:rPr>
      </w:pPr>
      <w:r>
        <w:rPr>
          <w:rFonts w:ascii="Arial" w:cs="Arial" w:eastAsia="Arial" w:hAnsi="Arial"/>
          <w:sz w:val="21"/>
          <w:szCs w:val="21"/>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05" w:lineRule="exact"/>
        <w:rPr>
          <w:rFonts w:ascii="Arial" w:cs="Arial" w:eastAsia="Arial" w:hAnsi="Arial"/>
          <w:sz w:val="21"/>
          <w:szCs w:val="21"/>
          <w:color w:val="auto"/>
        </w:rPr>
      </w:pPr>
    </w:p>
    <w:p>
      <w:pPr>
        <w:ind w:left="-20" w:firstLine="656"/>
        <w:spacing w:after="0" w:line="235" w:lineRule="auto"/>
        <w:tabs>
          <w:tab w:leader="none" w:pos="145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15" w:lineRule="exact"/>
        <w:rPr>
          <w:rFonts w:ascii="Arial" w:cs="Arial" w:eastAsia="Arial" w:hAnsi="Arial"/>
          <w:sz w:val="22"/>
          <w:szCs w:val="22"/>
          <w:color w:val="auto"/>
        </w:rPr>
      </w:pPr>
    </w:p>
    <w:p>
      <w:pPr>
        <w:ind w:left="-20" w:right="20" w:firstLine="656"/>
        <w:spacing w:after="0" w:line="279" w:lineRule="auto"/>
        <w:tabs>
          <w:tab w:leader="none" w:pos="142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177" w:lineRule="exact"/>
        <w:rPr>
          <w:rFonts w:ascii="Arial" w:cs="Arial" w:eastAsia="Arial" w:hAnsi="Arial"/>
          <w:sz w:val="19"/>
          <w:szCs w:val="19"/>
          <w:color w:val="auto"/>
        </w:rPr>
      </w:pPr>
    </w:p>
    <w:p>
      <w:pPr>
        <w:ind w:left="-20" w:right="80" w:firstLine="656"/>
        <w:spacing w:after="0" w:line="274" w:lineRule="auto"/>
        <w:tabs>
          <w:tab w:leader="none" w:pos="142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1" w:name="page12"/>
    <w:bookmarkEnd w:id="11"/>
    <w:p>
      <w:pPr>
        <w:ind w:left="-20" w:right="20" w:firstLine="656"/>
        <w:spacing w:after="0" w:line="287" w:lineRule="auto"/>
        <w:tabs>
          <w:tab w:leader="none" w:pos="142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Deloitte &amp; Touche LLP, who has audited the consolidated financial statements of the Company as of December 29, 2018 and December 30, 2017 and for each of the three fiscal years in the period ended December 29, 2018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170" w:lineRule="exact"/>
        <w:rPr>
          <w:rFonts w:ascii="Arial" w:cs="Arial" w:eastAsia="Arial" w:hAnsi="Arial"/>
          <w:sz w:val="19"/>
          <w:szCs w:val="19"/>
          <w:color w:val="auto"/>
        </w:rPr>
      </w:pPr>
    </w:p>
    <w:p>
      <w:pPr>
        <w:ind w:left="-20" w:firstLine="656"/>
        <w:spacing w:after="0" w:line="279" w:lineRule="auto"/>
        <w:tabs>
          <w:tab w:leader="none" w:pos="1414" w:val="left"/>
        </w:tabs>
        <w:numPr>
          <w:ilvl w:val="0"/>
          <w:numId w:val="9"/>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77" w:lineRule="exact"/>
        <w:rPr>
          <w:rFonts w:ascii="Arial" w:cs="Arial" w:eastAsia="Arial" w:hAnsi="Arial"/>
          <w:sz w:val="19"/>
          <w:szCs w:val="19"/>
          <w:color w:val="auto"/>
        </w:rPr>
      </w:pPr>
    </w:p>
    <w:p>
      <w:pPr>
        <w:ind w:left="-20" w:right="160" w:firstLine="656"/>
        <w:spacing w:after="0"/>
        <w:tabs>
          <w:tab w:leader="none" w:pos="142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 of the Securities to the Underwriters.</w:t>
      </w:r>
    </w:p>
    <w:p>
      <w:pPr>
        <w:spacing w:after="0" w:line="213" w:lineRule="exact"/>
        <w:rPr>
          <w:rFonts w:ascii="Arial" w:cs="Arial" w:eastAsia="Arial" w:hAnsi="Arial"/>
          <w:sz w:val="22"/>
          <w:szCs w:val="22"/>
          <w:color w:val="auto"/>
        </w:rPr>
      </w:pPr>
    </w:p>
    <w:p>
      <w:pPr>
        <w:ind w:left="-20" w:right="440" w:firstLine="656"/>
        <w:spacing w:after="0"/>
        <w:tabs>
          <w:tab w:leader="none" w:pos="142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13" w:lineRule="exact"/>
        <w:rPr>
          <w:rFonts w:ascii="Arial" w:cs="Arial" w:eastAsia="Arial" w:hAnsi="Arial"/>
          <w:sz w:val="22"/>
          <w:szCs w:val="22"/>
          <w:color w:val="auto"/>
        </w:rPr>
      </w:pPr>
    </w:p>
    <w:p>
      <w:pPr>
        <w:ind w:left="-20" w:right="120" w:firstLine="656"/>
        <w:spacing w:after="0" w:line="251" w:lineRule="auto"/>
        <w:tabs>
          <w:tab w:leader="none" w:pos="140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and its subsidiaries, taken as a whole, are insured against such losses and risks and in such amounts as are prudent and customary in the businesses in which they are engaged or as required by law.</w:t>
      </w:r>
    </w:p>
    <w:p>
      <w:pPr>
        <w:spacing w:after="0" w:line="200" w:lineRule="exact"/>
        <w:rPr>
          <w:sz w:val="20"/>
          <w:szCs w:val="20"/>
          <w:color w:val="auto"/>
        </w:rPr>
      </w:pPr>
    </w:p>
    <w:p>
      <w:pPr>
        <w:ind w:left="-20" w:right="140" w:firstLine="656"/>
        <w:spacing w:after="0" w:line="275" w:lineRule="auto"/>
        <w:tabs>
          <w:tab w:leader="none" w:pos="1396"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2" w:name="page13"/>
    <w:bookmarkEnd w:id="12"/>
    <w:p>
      <w:pPr>
        <w:ind w:left="-40" w:right="40" w:firstLine="656"/>
        <w:spacing w:after="0" w:line="277" w:lineRule="auto"/>
        <w:tabs>
          <w:tab w:leader="none" w:pos="14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80" w:lineRule="exact"/>
        <w:rPr>
          <w:rFonts w:ascii="Arial" w:cs="Arial" w:eastAsia="Arial" w:hAnsi="Arial"/>
          <w:sz w:val="19"/>
          <w:szCs w:val="19"/>
          <w:color w:val="auto"/>
        </w:rPr>
      </w:pPr>
    </w:p>
    <w:p>
      <w:pPr>
        <w:ind w:left="-40" w:right="40" w:firstLine="656"/>
        <w:spacing w:after="0" w:line="273" w:lineRule="auto"/>
        <w:tabs>
          <w:tab w:leader="none" w:pos="1376"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188" w:lineRule="exact"/>
        <w:rPr>
          <w:rFonts w:ascii="Arial" w:cs="Arial" w:eastAsia="Arial" w:hAnsi="Arial"/>
          <w:sz w:val="19"/>
          <w:szCs w:val="19"/>
          <w:color w:val="auto"/>
        </w:rPr>
      </w:pPr>
    </w:p>
    <w:p>
      <w:pPr>
        <w:ind w:left="-40" w:right="160" w:firstLine="656"/>
        <w:spacing w:after="0" w:line="251" w:lineRule="auto"/>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and its subsidiaries maintain “disclosure controls and procedures” (as such term is defined in Rule 13a-15(e) under the Exchange Act); such disclosure controls and procedures are effective.</w:t>
      </w:r>
    </w:p>
    <w:p>
      <w:pPr>
        <w:spacing w:after="0" w:line="200" w:lineRule="exact"/>
        <w:rPr>
          <w:rFonts w:ascii="Arial" w:cs="Arial" w:eastAsia="Arial" w:hAnsi="Arial"/>
          <w:sz w:val="22"/>
          <w:szCs w:val="22"/>
          <w:color w:val="auto"/>
        </w:rPr>
      </w:pPr>
    </w:p>
    <w:p>
      <w:pPr>
        <w:ind w:left="-40" w:firstLine="656"/>
        <w:spacing w:after="0" w:line="273" w:lineRule="auto"/>
        <w:tabs>
          <w:tab w:leader="none" w:pos="1376"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83" w:lineRule="exact"/>
        <w:rPr>
          <w:rFonts w:ascii="Arial" w:cs="Arial" w:eastAsia="Arial" w:hAnsi="Arial"/>
          <w:sz w:val="19"/>
          <w:szCs w:val="19"/>
          <w:color w:val="auto"/>
        </w:rPr>
      </w:pPr>
    </w:p>
    <w:p>
      <w:pPr>
        <w:jc w:val="both"/>
        <w:ind w:left="-40" w:right="600" w:firstLine="656"/>
        <w:spacing w:after="0" w:line="297" w:lineRule="auto"/>
        <w:tabs>
          <w:tab w:leader="none" w:pos="1378" w:val="left"/>
        </w:tabs>
        <w:numPr>
          <w:ilvl w:val="0"/>
          <w:numId w:val="11"/>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18" w:right="279" w:bottom="1440" w:gutter="0" w:footer="0" w:header="0"/>
        </w:sectPr>
      </w:pPr>
    </w:p>
    <w:bookmarkStart w:id="13" w:name="page14"/>
    <w:bookmarkEnd w:id="13"/>
    <w:p>
      <w:pPr>
        <w:ind w:left="-60" w:firstLine="656"/>
        <w:spacing w:after="0" w:line="271" w:lineRule="auto"/>
        <w:tabs>
          <w:tab w:leader="none" w:pos="13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89" w:lineRule="exact"/>
        <w:rPr>
          <w:rFonts w:ascii="Arial" w:cs="Arial" w:eastAsia="Arial" w:hAnsi="Arial"/>
          <w:sz w:val="19"/>
          <w:szCs w:val="19"/>
          <w:color w:val="auto"/>
        </w:rPr>
      </w:pPr>
    </w:p>
    <w:p>
      <w:pPr>
        <w:ind w:left="1380" w:hanging="784"/>
        <w:spacing w:after="0"/>
        <w:tabs>
          <w:tab w:leader="none" w:pos="1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60" w:right="120" w:firstLine="656"/>
        <w:spacing w:after="0" w:line="238" w:lineRule="auto"/>
        <w:tabs>
          <w:tab w:leader="none" w:pos="139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12" w:lineRule="exact"/>
        <w:rPr>
          <w:rFonts w:ascii="Arial" w:cs="Arial" w:eastAsia="Arial" w:hAnsi="Arial"/>
          <w:sz w:val="22"/>
          <w:szCs w:val="22"/>
          <w:color w:val="auto"/>
        </w:rPr>
      </w:pPr>
    </w:p>
    <w:p>
      <w:pPr>
        <w:ind w:left="-60" w:right="220" w:firstLine="656"/>
        <w:spacing w:after="0" w:line="297" w:lineRule="auto"/>
        <w:tabs>
          <w:tab w:leader="none" w:pos="1392"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 forward-looking statement (within the meaning of Section 27A of the Securities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161" w:lineRule="exact"/>
        <w:rPr>
          <w:rFonts w:ascii="Arial" w:cs="Arial" w:eastAsia="Arial" w:hAnsi="Arial"/>
          <w:sz w:val="19"/>
          <w:szCs w:val="19"/>
          <w:color w:val="auto"/>
        </w:rPr>
      </w:pPr>
    </w:p>
    <w:p>
      <w:pPr>
        <w:ind w:left="-60" w:right="40" w:firstLine="656"/>
        <w:spacing w:after="0" w:line="247" w:lineRule="auto"/>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14" w:name="page15"/>
    <w:bookmarkEnd w:id="14"/>
    <w:p>
      <w:pPr>
        <w:ind w:left="-8" w:right="60" w:firstLine="656"/>
        <w:spacing w:after="0" w:line="249" w:lineRule="auto"/>
        <w:tabs>
          <w:tab w:leader="none" w:pos="1444" w:val="left"/>
        </w:tabs>
        <w:numPr>
          <w:ilvl w:val="1"/>
          <w:numId w:val="13"/>
        </w:numPr>
        <w:rPr>
          <w:rFonts w:ascii="Arial" w:cs="Arial" w:eastAsia="Arial" w:hAnsi="Arial"/>
          <w:sz w:val="21"/>
          <w:szCs w:val="21"/>
          <w:color w:val="auto"/>
        </w:rPr>
      </w:pPr>
      <w:r>
        <w:rPr>
          <w:rFonts w:ascii="Arial" w:cs="Arial" w:eastAsia="Arial" w:hAnsi="Arial"/>
          <w:sz w:val="21"/>
          <w:szCs w:val="21"/>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206" w:lineRule="exact"/>
        <w:rPr>
          <w:rFonts w:ascii="Arial" w:cs="Arial" w:eastAsia="Arial" w:hAnsi="Arial"/>
          <w:sz w:val="21"/>
          <w:szCs w:val="21"/>
          <w:color w:val="auto"/>
        </w:rPr>
      </w:pPr>
    </w:p>
    <w:p>
      <w:pPr>
        <w:ind w:left="-8" w:firstLine="656"/>
        <w:spacing w:after="0" w:line="273" w:lineRule="auto"/>
        <w:tabs>
          <w:tab w:leader="none" w:pos="1444" w:val="left"/>
        </w:tabs>
        <w:numPr>
          <w:ilvl w:val="1"/>
          <w:numId w:val="13"/>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183" w:lineRule="exact"/>
        <w:rPr>
          <w:rFonts w:ascii="Arial" w:cs="Arial" w:eastAsia="Arial" w:hAnsi="Arial"/>
          <w:sz w:val="19"/>
          <w:szCs w:val="19"/>
          <w:color w:val="auto"/>
        </w:rPr>
      </w:pPr>
    </w:p>
    <w:p>
      <w:pPr>
        <w:ind w:left="-8" w:firstLine="656"/>
        <w:spacing w:after="0" w:line="267" w:lineRule="auto"/>
        <w:tabs>
          <w:tab w:leader="none" w:pos="1432" w:val="left"/>
        </w:tabs>
        <w:numPr>
          <w:ilvl w:val="1"/>
          <w:numId w:val="13"/>
        </w:numPr>
        <w:rPr>
          <w:rFonts w:ascii="Arial" w:cs="Arial" w:eastAsia="Arial" w:hAnsi="Arial"/>
          <w:sz w:val="19"/>
          <w:szCs w:val="19"/>
          <w:color w:val="auto"/>
        </w:rPr>
      </w:pPr>
      <w:r>
        <w:rPr>
          <w:rFonts w:ascii="Arial" w:cs="Arial" w:eastAsia="Arial" w:hAnsi="Arial"/>
          <w:sz w:val="19"/>
          <w:szCs w:val="19"/>
          <w:color w:val="auto"/>
        </w:rPr>
        <w:t>Except as described in the Disclosure Package and the Prospectus</w:t>
      </w:r>
      <w:r>
        <w:rPr>
          <w:rFonts w:ascii="Arial" w:cs="Arial" w:eastAsia="Arial" w:hAnsi="Arial"/>
          <w:sz w:val="19"/>
          <w:szCs w:val="19"/>
          <w:color w:val="1F497D"/>
        </w:rPr>
        <w:t>,</w:t>
      </w:r>
      <w:r>
        <w:rPr>
          <w:rFonts w:ascii="Arial" w:cs="Arial" w:eastAsia="Arial" w:hAnsi="Arial"/>
          <w:sz w:val="19"/>
          <w:szCs w:val="19"/>
          <w:color w:val="auto"/>
        </w:rPr>
        <w:t xml:space="preserve">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 (i) 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w:t>
      </w:r>
    </w:p>
    <w:p>
      <w:pPr>
        <w:spacing w:after="0" w:line="18" w:lineRule="exact"/>
        <w:rPr>
          <w:rFonts w:ascii="Arial" w:cs="Arial" w:eastAsia="Arial" w:hAnsi="Arial"/>
          <w:sz w:val="19"/>
          <w:szCs w:val="19"/>
          <w:color w:val="auto"/>
        </w:rPr>
      </w:pPr>
    </w:p>
    <w:p>
      <w:pPr>
        <w:ind w:left="-8" w:right="20" w:firstLine="8"/>
        <w:spacing w:after="0" w:line="268" w:lineRule="auto"/>
        <w:tabs>
          <w:tab w:leader="none" w:pos="154" w:val="left"/>
        </w:tabs>
        <w:numPr>
          <w:ilvl w:val="0"/>
          <w:numId w:val="13"/>
        </w:numPr>
        <w:rPr>
          <w:rFonts w:ascii="Arial" w:cs="Arial" w:eastAsia="Arial" w:hAnsi="Arial"/>
          <w:sz w:val="19"/>
          <w:szCs w:val="19"/>
          <w:color w:val="auto"/>
        </w:rPr>
      </w:pPr>
      <w:r>
        <w:rPr>
          <w:rFonts w:ascii="Arial" w:cs="Arial" w:eastAsia="Arial" w:hAnsi="Arial"/>
          <w:sz w:val="19"/>
          <w:szCs w:val="19"/>
          <w:color w:val="auto"/>
        </w:rPr>
        <w:t>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w:t>
      </w:r>
      <w:r>
        <w:rPr>
          <w:rFonts w:ascii="Arial" w:cs="Arial" w:eastAsia="Arial" w:hAnsi="Arial"/>
          <w:sz w:val="19"/>
          <w:szCs w:val="19"/>
          <w:color w:val="1F497D"/>
        </w:rPr>
        <w:t>,</w:t>
      </w:r>
      <w:r>
        <w:rPr>
          <w:rFonts w:ascii="Arial" w:cs="Arial" w:eastAsia="Arial" w:hAnsi="Arial"/>
          <w:sz w:val="19"/>
          <w:szCs w:val="19"/>
          <w:color w:val="auto"/>
        </w:rPr>
        <w:t xml:space="preserve">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w:t>
      </w:r>
      <w:r>
        <w:rPr>
          <w:rFonts w:ascii="Arial" w:cs="Arial" w:eastAsia="Arial" w:hAnsi="Arial"/>
          <w:sz w:val="19"/>
          <w:szCs w:val="19"/>
          <w:color w:val="1F497D"/>
        </w:rPr>
        <w:t>,</w:t>
      </w:r>
      <w:r>
        <w:rPr>
          <w:rFonts w:ascii="Arial" w:cs="Arial" w:eastAsia="Arial" w:hAnsi="Arial"/>
          <w:sz w:val="19"/>
          <w:szCs w:val="19"/>
          <w:color w:val="auto"/>
        </w:rPr>
        <w:t xml:space="preserve">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ectPr>
          <w:pgSz w:w="11900" w:h="16838" w:orient="portrait"/>
          <w:cols w:equalWidth="0" w:num="1">
            <w:col w:w="11392"/>
          </w:cols>
          <w:pgMar w:left="248" w:top="118" w:right="259" w:bottom="38" w:gutter="0" w:footer="0" w:header="0"/>
        </w:sectPr>
      </w:pP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18" w:right="259" w:bottom="38" w:gutter="0" w:footer="0" w:header="0"/>
          <w:type w:val="continuous"/>
        </w:sectPr>
      </w:pPr>
    </w:p>
    <w:bookmarkStart w:id="15" w:name="page16"/>
    <w:bookmarkEnd w:id="15"/>
    <w:p>
      <w:pPr>
        <w:ind w:left="-20" w:firstLine="656"/>
        <w:spacing w:after="0" w:line="271" w:lineRule="auto"/>
        <w:tabs>
          <w:tab w:leader="none" w:pos="14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6" w:name="page17"/>
    <w:bookmarkEnd w:id="16"/>
    <w:p>
      <w:pPr>
        <w:ind w:right="320" w:firstLine="656"/>
        <w:spacing w:after="0" w:line="251" w:lineRule="auto"/>
        <w:tabs>
          <w:tab w:leader="none" w:pos="14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does not have any debt securities outstanding that have been rated by any “nationally recognized statistical rating organization” as defined in Section 3(a)(62) of the Exchange Act.</w:t>
      </w:r>
    </w:p>
    <w:p>
      <w:pPr>
        <w:spacing w:after="0" w:line="201" w:lineRule="exact"/>
        <w:rPr>
          <w:sz w:val="20"/>
          <w:szCs w:val="20"/>
          <w:color w:val="auto"/>
        </w:rPr>
      </w:pPr>
    </w:p>
    <w:p>
      <w:pPr>
        <w:ind w:right="20" w:firstLine="1297"/>
        <w:spacing w:after="0"/>
        <w:rPr>
          <w:sz w:val="20"/>
          <w:szCs w:val="20"/>
          <w:color w:val="auto"/>
        </w:rPr>
      </w:pPr>
      <w:r>
        <w:rPr>
          <w:rFonts w:ascii="Arial" w:cs="Arial" w:eastAsia="Arial" w:hAnsi="Arial"/>
          <w:sz w:val="22"/>
          <w:szCs w:val="22"/>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213" w:lineRule="exact"/>
        <w:rPr>
          <w:sz w:val="20"/>
          <w:szCs w:val="20"/>
          <w:color w:val="auto"/>
        </w:rPr>
      </w:pPr>
    </w:p>
    <w:p>
      <w:pPr>
        <w:ind w:right="480" w:firstLine="656"/>
        <w:spacing w:after="0" w:line="251" w:lineRule="auto"/>
        <w:tabs>
          <w:tab w:leader="none" w:pos="1459"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Selling Stockholder.</w:t>
      </w:r>
      <w:r>
        <w:rPr>
          <w:rFonts w:ascii="Arial" w:cs="Arial" w:eastAsia="Arial" w:hAnsi="Arial"/>
          <w:sz w:val="22"/>
          <w:szCs w:val="22"/>
          <w:color w:val="auto"/>
        </w:rPr>
        <w:t xml:space="preserve"> The Selling Stockholder represents, warrants and covenants to the Company and the Underwriters as follows:</w:t>
      </w:r>
    </w:p>
    <w:p>
      <w:pPr>
        <w:spacing w:after="0" w:line="200"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or on behalf of the Selling Stockholder.</w:t>
      </w:r>
    </w:p>
    <w:p>
      <w:pPr>
        <w:spacing w:after="0" w:line="267" w:lineRule="exact"/>
        <w:rPr>
          <w:rFonts w:ascii="Arial" w:cs="Arial" w:eastAsia="Arial" w:hAnsi="Arial"/>
          <w:sz w:val="19"/>
          <w:szCs w:val="19"/>
          <w:color w:val="auto"/>
        </w:rPr>
      </w:pPr>
    </w:p>
    <w:p>
      <w:pPr>
        <w:ind w:left="1440" w:hanging="784"/>
        <w:spacing w:after="0"/>
        <w:tabs>
          <w:tab w:leader="none" w:pos="14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656"/>
        <w:spacing w:after="0" w:line="272" w:lineRule="auto"/>
        <w:tabs>
          <w:tab w:leader="none" w:pos="14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Upon payment for the Securities to be sold by the Selling Stockholder pursuant to this Agreement, delivery of such Securities, as directed by the Representatives, to Cede &amp; Co. (“Cede”) or such other nominee as may be designated by The Depository Trust Company (“DTC”), registration of such Securities in the name of Cede or such other nominee and the crediting of such Securities on the books of DTC to the securities account of the Underwriters (assuming that neither DTC nor the Underwriters has notice of any adverse claim (within the meaning of Section 8-105 of the New York Uniform Commercial Code (the “UCC”)) to such Securities),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asserted against the Underwriters with respect to such security entitlement; for purposes of this representation, the Selling Stockholder may assume that when such payment, delivery and crediting occur, (x) 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ind w:right="40" w:firstLine="656"/>
        <w:spacing w:after="0" w:line="272" w:lineRule="auto"/>
        <w:tabs>
          <w:tab w:leader="none" w:pos="14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execution and delivery by the Selling Stockholder of, and the performance by the Selling Stockholder of its obligations under, this Agreement will not contravene or conflict with, result in a breach of, or constitute a default (or, with the giving of notice or lapse of time, would be in default) under, or require the consent of any other party to, (i) the limited partnership agreement of the Selling Stockholder, (ii) any other agreement or instrument to which the Selling Stockholder is a party or by which it is bound or (iii) any provision of applicable law or any judgment, order, decree or regulation applicable to the Selling Stockholder of any court, regulatory body, administrative agency, governmental body or arbitrator having jurisdiction over the Selling Stockholder, except, in the case of the foregoing clauses (ii) and (iii) as would not, individually or in the aggregate, reasonably be expected to materially impact the Selling Stockholder’s ability to perform its obligations under this Agreement. No consent, approval, authorization or other order of, or registration or filing with, any court or other governmental authority or agency, is required for the consummation by the Selling Stockholder of the transactions contemplated in this Agreement, except such as may be required under the Securities Act, applicable state securities or blue sky laws and from the FINRA and such other approvals as have been or will be made or obtained on or prior to the Closing Date.</w:t>
      </w:r>
    </w:p>
    <w:p>
      <w:pPr>
        <w:spacing w:after="0" w:line="189" w:lineRule="exact"/>
        <w:rPr>
          <w:rFonts w:ascii="Arial" w:cs="Arial" w:eastAsia="Arial" w:hAnsi="Arial"/>
          <w:sz w:val="19"/>
          <w:szCs w:val="19"/>
          <w:color w:val="auto"/>
        </w:rPr>
      </w:pPr>
    </w:p>
    <w:p>
      <w:pPr>
        <w:ind w:right="160" w:firstLine="656"/>
        <w:spacing w:after="0" w:line="247" w:lineRule="auto"/>
        <w:tabs>
          <w:tab w:leader="none" w:pos="1428" w:val="left"/>
        </w:tabs>
        <w:numPr>
          <w:ilvl w:val="0"/>
          <w:numId w:val="18"/>
        </w:numPr>
        <w:rPr>
          <w:rFonts w:ascii="Arial" w:cs="Arial" w:eastAsia="Arial" w:hAnsi="Arial"/>
          <w:sz w:val="21"/>
          <w:szCs w:val="21"/>
          <w:color w:val="auto"/>
        </w:rPr>
      </w:pPr>
      <w:r>
        <w:rPr>
          <w:rFonts w:ascii="Arial" w:cs="Arial" w:eastAsia="Arial" w:hAnsi="Arial"/>
          <w:sz w:val="21"/>
          <w:szCs w:val="21"/>
          <w:color w:val="auto"/>
        </w:rPr>
        <w:t>All information furnished to the Company or the Underwriters by or on behalf of the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the Selling Stockholder under the caption “Selling Stockholder” in the Registration Statement, the Disclosure Package and the Prospectus (such information, the “Selling Stockholder Information”).</w:t>
      </w:r>
    </w:p>
    <w:p>
      <w:pPr>
        <w:spacing w:after="0" w:line="205" w:lineRule="exact"/>
        <w:rPr>
          <w:rFonts w:ascii="Arial" w:cs="Arial" w:eastAsia="Arial" w:hAnsi="Arial"/>
          <w:sz w:val="21"/>
          <w:szCs w:val="21"/>
          <w:color w:val="auto"/>
        </w:rPr>
      </w:pPr>
    </w:p>
    <w:p>
      <w:pPr>
        <w:ind w:right="400" w:firstLine="656"/>
        <w:spacing w:after="0" w:line="258" w:lineRule="auto"/>
        <w:tabs>
          <w:tab w:leader="none" w:pos="1458" w:val="left"/>
        </w:tabs>
        <w:numPr>
          <w:ilvl w:val="0"/>
          <w:numId w:val="18"/>
        </w:numPr>
        <w:rPr>
          <w:rFonts w:ascii="Arial" w:cs="Arial" w:eastAsia="Arial" w:hAnsi="Arial"/>
          <w:sz w:val="21"/>
          <w:szCs w:val="21"/>
          <w:color w:val="auto"/>
        </w:rPr>
      </w:pPr>
      <w:r>
        <w:rPr>
          <w:rFonts w:ascii="Arial" w:cs="Arial" w:eastAsia="Arial" w:hAnsi="Arial"/>
          <w:sz w:val="21"/>
          <w:szCs w:val="21"/>
          <w:color w:val="auto"/>
        </w:rPr>
        <w:t>Prior to the completion of the Underwriters’ distribution of the Securities, the Selling Stockholder has not distributed and will not distribute any offering material in connection with the offering and sale of the Securities other than the Registration Statement, the Preliminary Prospectus, the Disclosure Package and the Prospectus.</w:t>
      </w:r>
    </w:p>
    <w:p>
      <w:pPr>
        <w:spacing w:after="0" w:line="193" w:lineRule="exact"/>
        <w:rPr>
          <w:rFonts w:ascii="Arial" w:cs="Arial" w:eastAsia="Arial" w:hAnsi="Arial"/>
          <w:sz w:val="21"/>
          <w:szCs w:val="21"/>
          <w:color w:val="auto"/>
        </w:rPr>
      </w:pPr>
    </w:p>
    <w:p>
      <w:pPr>
        <w:ind w:firstLine="656"/>
        <w:spacing w:after="0"/>
        <w:tabs>
          <w:tab w:leader="none" w:pos="14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13" w:lineRule="exact"/>
        <w:rPr>
          <w:sz w:val="20"/>
          <w:szCs w:val="20"/>
          <w:color w:val="auto"/>
        </w:rPr>
      </w:pPr>
    </w:p>
    <w:p>
      <w:pPr>
        <w:jc w:val="both"/>
        <w:ind w:right="60" w:firstLine="1297"/>
        <w:spacing w:after="0" w:line="297" w:lineRule="auto"/>
        <w:rPr>
          <w:sz w:val="20"/>
          <w:szCs w:val="20"/>
          <w:color w:val="auto"/>
        </w:rPr>
      </w:pPr>
      <w:r>
        <w:rPr>
          <w:rFonts w:ascii="Arial" w:cs="Arial" w:eastAsia="Arial" w:hAnsi="Arial"/>
          <w:sz w:val="19"/>
          <w:szCs w:val="19"/>
          <w:color w:val="auto"/>
        </w:rPr>
        <w:t>Any certificate signed by or on behalf of the Selling Stockholder and delivered to the Representatives or to counsel for the Underwriters in connection with the offering of the Securities shall be deemed a representation and warranty by the Selling Stockholder to the Underwriters as to the matters covered thereby with respect to the Selling Stockholder.</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8" w:name="page19"/>
    <w:bookmarkEnd w:id="18"/>
    <w:p>
      <w:pPr>
        <w:jc w:val="both"/>
        <w:ind w:firstLine="1297"/>
        <w:spacing w:after="0" w:line="277" w:lineRule="auto"/>
        <w:rPr>
          <w:sz w:val="20"/>
          <w:szCs w:val="20"/>
          <w:color w:val="auto"/>
        </w:rPr>
      </w:pPr>
      <w:r>
        <w:rPr>
          <w:rFonts w:ascii="Arial" w:cs="Arial" w:eastAsia="Arial" w:hAnsi="Arial"/>
          <w:sz w:val="19"/>
          <w:szCs w:val="19"/>
          <w:color w:val="auto"/>
        </w:rPr>
        <w:t>The Selling Stockholder has a reasonable basis for making each of the representations set forth in this Section 2. The Selling Stockholder acknowledges that the Underwriters and, for purposes of the opinions to be delivered pursuant to Sections 8(b)</w:t>
      </w:r>
    </w:p>
    <w:p>
      <w:pPr>
        <w:ind w:right="20" w:firstLine="8"/>
        <w:spacing w:after="0" w:line="237" w:lineRule="auto"/>
        <w:tabs>
          <w:tab w:leader="none" w:pos="258"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and (iii) and Section 8(c) hereof, counsel to the Selling Stockholder and counsel to the Underwriters, will rely upon the accuracy and truthfulness of the foregoing representations and hereby consents to such reliance.</w:t>
      </w:r>
    </w:p>
    <w:p>
      <w:pPr>
        <w:spacing w:after="0" w:line="212" w:lineRule="exact"/>
        <w:rPr>
          <w:sz w:val="20"/>
          <w:szCs w:val="20"/>
          <w:color w:val="auto"/>
        </w:rPr>
      </w:pPr>
    </w:p>
    <w:p>
      <w:pPr>
        <w:ind w:left="1460" w:hanging="804"/>
        <w:spacing w:after="0"/>
        <w:tabs>
          <w:tab w:leader="none" w:pos="14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Purchase and Sale</w:t>
      </w:r>
      <w:r>
        <w:rPr>
          <w:rFonts w:ascii="Arial" w:cs="Arial" w:eastAsia="Arial" w:hAnsi="Arial"/>
          <w:sz w:val="22"/>
          <w:szCs w:val="22"/>
          <w:color w:val="auto"/>
        </w:rPr>
        <w:t>.</w:t>
      </w:r>
    </w:p>
    <w:p>
      <w:pPr>
        <w:spacing w:after="0" w:line="233" w:lineRule="exact"/>
        <w:rPr>
          <w:sz w:val="20"/>
          <w:szCs w:val="20"/>
          <w:color w:val="auto"/>
        </w:rPr>
      </w:pPr>
    </w:p>
    <w:p>
      <w:pPr>
        <w:ind w:right="20" w:firstLine="656"/>
        <w:spacing w:after="0" w:line="234" w:lineRule="auto"/>
        <w:tabs>
          <w:tab w:leader="none" w:pos="14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Subject to the terms and conditions and in reliance upon the representations and warranties herein set forth, the Selling Stockholder hereby agrees to sell to each Underwriter, and each Underwriter agrees, severally and not jointly, to purchase from the Selling Stockholder, at a purchase price of $30.52 per share, the amount of the Securities as set forth opposite such Underwriter’s name in Schedule I hereto. Contemporaneously with and, subject to the sale of Securities by the Selling Stockholder to the Underwriters in compliance with the terms of this Agreement, the Underwriters agree to sell to the Company, and the Company agrees to purchase from the Underwriters, an aggregate of 819,134 Shares at a purchase price per share set forth above in this Section 3.</w:t>
      </w:r>
    </w:p>
    <w:p>
      <w:pPr>
        <w:spacing w:after="0" w:line="218" w:lineRule="exact"/>
        <w:rPr>
          <w:rFonts w:ascii="Arial" w:cs="Arial" w:eastAsia="Arial" w:hAnsi="Arial"/>
          <w:sz w:val="22"/>
          <w:szCs w:val="22"/>
          <w:color w:val="auto"/>
        </w:rPr>
      </w:pPr>
    </w:p>
    <w:p>
      <w:pPr>
        <w:ind w:left="1440" w:hanging="784"/>
        <w:spacing w:after="0"/>
        <w:tabs>
          <w:tab w:leader="none" w:pos="1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sz w:val="20"/>
          <w:szCs w:val="20"/>
          <w:color w:val="auto"/>
        </w:rPr>
      </w:pPr>
    </w:p>
    <w:p>
      <w:pPr>
        <w:ind w:right="40" w:firstLine="656"/>
        <w:spacing w:after="0" w:line="271" w:lineRule="auto"/>
        <w:tabs>
          <w:tab w:leader="none" w:pos="145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Securities shall be made at the offices of Simpson Thacher &amp; Bartlett LLP, 425 Lexington Avenue, New York, New York 10017 at 10:00 AM, New York City time, on August 12, 2019, or at such time on such later date not more than two Business Days after the foregoing date as the Representatives shall designate, which date and time may be postponed by agreement between the Representatives, the Company and the Selling Stockholder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 by wire transfer payable in same-day funds to the account(s) specified by the Selling Stockholder in writing to the Representatives. Delivery of the Securities shall be made through the facilities of DTC unless the Representatives shall otherwise instruct. On the Closing Date, subject to the sale of the Securities by the Selling Stockholder to the Underwriters in compliance with the terms of this Agreement, and in consideration for the Repurchase Shares, the Company shall pay the purchase price set forth above for each Repurchase Share by wire transfer of federal (same-day) funds to the account specified by the Underwriters to the Company at least twenty-four hours in advance. Payment for the Repurchase Shares shall be made against delivery by the Underwriters of the Repurchase Shares to the Company through the facilities of the DTC for the account of the Company on the Closing Date.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100" w:firstLine="656"/>
        <w:spacing w:after="0" w:line="251" w:lineRule="auto"/>
        <w:tabs>
          <w:tab w:leader="none" w:pos="1459"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Prospectus.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ind w:left="1420" w:hanging="804"/>
        <w:spacing w:after="0"/>
        <w:tabs>
          <w:tab w:leader="none" w:pos="14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Agreements of the Company</w:t>
      </w:r>
      <w:r>
        <w:rPr>
          <w:rFonts w:ascii="Arial" w:cs="Arial" w:eastAsia="Arial" w:hAnsi="Arial"/>
          <w:sz w:val="22"/>
          <w:szCs w:val="22"/>
          <w:color w:val="auto"/>
        </w:rPr>
        <w:t>. The Company agrees with the several Underwriters as follows:</w:t>
      </w:r>
    </w:p>
    <w:p>
      <w:pPr>
        <w:spacing w:after="0" w:line="234" w:lineRule="exact"/>
        <w:rPr>
          <w:sz w:val="20"/>
          <w:szCs w:val="20"/>
          <w:color w:val="auto"/>
        </w:rPr>
      </w:pPr>
    </w:p>
    <w:p>
      <w:pPr>
        <w:ind w:left="-40" w:firstLine="656"/>
        <w:spacing w:after="0" w:line="270" w:lineRule="auto"/>
        <w:tabs>
          <w:tab w:leader="none" w:pos="13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to the Prospectus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Securities Act and (v) of the receipt by the Company of any notification with respect to the suspension of the qualification of the Securities for sale in any jurisdiction or the institution or threatening of any proceeding for such purpose. If required by Rule 430B(h) under the Securities Act, Company will prepare a form of prospectus in a form approved by the Underwriters and to file such form of prospectus pursuant to Rule 424(b) under the Securities Act not later than may be required by Rule 424(b) under the Securities Act; and to make no further amendment or supplement to such form of prospectus which shall be disapproved by the Underwriters promptly after reasonable notice thereof.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40" w:right="60" w:firstLine="656"/>
        <w:spacing w:after="0" w:line="246" w:lineRule="auto"/>
        <w:tabs>
          <w:tab w:leader="none" w:pos="14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20" w:name="page21"/>
    <w:bookmarkEnd w:id="20"/>
    <w:p>
      <w:pPr>
        <w:ind w:left="-20" w:firstLine="656"/>
        <w:spacing w:after="0" w:line="273" w:lineRule="auto"/>
        <w:tabs>
          <w:tab w:leader="none" w:pos="14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during such period of time after the first date of the offering of the Securities as in the opinion of counsel for the Underwriters a prospectus relating to the Securities is required by law to be delivered (including in circumstances where such requirement may be satisfied pursuant to Rule 172) (the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189" w:lineRule="exact"/>
        <w:rPr>
          <w:rFonts w:ascii="Arial" w:cs="Arial" w:eastAsia="Arial" w:hAnsi="Arial"/>
          <w:sz w:val="19"/>
          <w:szCs w:val="19"/>
          <w:color w:val="auto"/>
        </w:rPr>
      </w:pPr>
    </w:p>
    <w:p>
      <w:pPr>
        <w:ind w:left="-20" w:right="200" w:firstLine="656"/>
        <w:spacing w:after="0" w:line="297" w:lineRule="auto"/>
        <w:tabs>
          <w:tab w:leader="none" w:pos="1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Securities Act and Rule 158.</w:t>
      </w:r>
    </w:p>
    <w:p>
      <w:pPr>
        <w:spacing w:after="0" w:line="161" w:lineRule="exact"/>
        <w:rPr>
          <w:rFonts w:ascii="Arial" w:cs="Arial" w:eastAsia="Arial" w:hAnsi="Arial"/>
          <w:sz w:val="19"/>
          <w:szCs w:val="19"/>
          <w:color w:val="auto"/>
        </w:rPr>
      </w:pPr>
    </w:p>
    <w:p>
      <w:pPr>
        <w:ind w:left="-20" w:right="340" w:firstLine="656"/>
        <w:spacing w:after="0" w:line="251" w:lineRule="auto"/>
        <w:tabs>
          <w:tab w:leader="none" w:pos="1408"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will cooperate with the Representatives and use its commercially reasonable efforts to permit the Securities to be eligible for clearance and settlement through DTC.</w:t>
      </w:r>
    </w:p>
    <w:p>
      <w:pPr>
        <w:spacing w:after="0" w:line="200" w:lineRule="exact"/>
        <w:rPr>
          <w:rFonts w:ascii="Arial" w:cs="Arial" w:eastAsia="Arial" w:hAnsi="Arial"/>
          <w:sz w:val="22"/>
          <w:szCs w:val="22"/>
          <w:color w:val="auto"/>
        </w:rPr>
      </w:pPr>
    </w:p>
    <w:p>
      <w:pPr>
        <w:ind w:left="-20" w:right="140" w:firstLine="656"/>
        <w:spacing w:after="0" w:line="247" w:lineRule="auto"/>
        <w:tabs>
          <w:tab w:leader="none" w:pos="1438"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05" w:lineRule="exact"/>
        <w:rPr>
          <w:rFonts w:ascii="Arial" w:cs="Arial" w:eastAsia="Arial" w:hAnsi="Arial"/>
          <w:sz w:val="21"/>
          <w:szCs w:val="21"/>
          <w:color w:val="auto"/>
        </w:rPr>
      </w:pPr>
    </w:p>
    <w:p>
      <w:pPr>
        <w:ind w:left="-20" w:right="40" w:firstLine="656"/>
        <w:spacing w:after="0" w:line="279" w:lineRule="auto"/>
        <w:tabs>
          <w:tab w:leader="none" w:pos="1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21" w:name="page22"/>
    <w:bookmarkEnd w:id="21"/>
    <w:p>
      <w:pPr>
        <w:ind w:left="-20" w:firstLine="656"/>
        <w:spacing w:after="0" w:line="269" w:lineRule="auto"/>
        <w:tabs>
          <w:tab w:leader="none" w:pos="1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will not, without the prior written consent of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30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 or (F) the Share Repurchase.</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1440" w:hanging="804"/>
        <w:spacing w:after="0"/>
        <w:tabs>
          <w:tab w:leader="none" w:pos="14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20" w:right="340" w:firstLine="656"/>
        <w:spacing w:after="0" w:line="258" w:lineRule="auto"/>
        <w:tabs>
          <w:tab w:leader="none" w:pos="1426"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22" w:name="page23"/>
    <w:bookmarkEnd w:id="22"/>
    <w:p>
      <w:pPr>
        <w:ind w:left="-20" w:firstLine="656"/>
        <w:spacing w:after="0" w:line="269" w:lineRule="auto"/>
        <w:tabs>
          <w:tab w:leader="none" w:pos="1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The Selling Stockholder further agrees with the Underwriters to pay (directly or by reimbursement) all fees and expenses incident to the performance of the Selling Stockholder’s obligations under this Agreement that are not otherwise specifically provided for herein, including but not limited to stock transfer taxes, stamp duties and other similar taxes, and any other fees, expenses and taxes incident to the sale and delivery of the Securities to be sold by the Selling Stockholder to the Underwriters hereunder. This Section 6(k) shall not affect or modify any separate, valid agreement relating to the allocation of payment of expenses between the Company, on the one hand, and the Selling Stockholder, on the other hand.</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1440" w:hanging="804"/>
        <w:spacing w:after="0"/>
        <w:tabs>
          <w:tab w:leader="none" w:pos="14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23" w:name="page24"/>
    <w:bookmarkEnd w:id="23"/>
    <w:p>
      <w:pPr>
        <w:ind w:right="20" w:firstLine="656"/>
        <w:spacing w:after="0" w:line="271" w:lineRule="auto"/>
        <w:tabs>
          <w:tab w:leader="none" w:pos="144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Securities Act with respect to the offering (and will promptly notify the Company if any such proceeding against it is initiated during the period a prospectus is required by the Securities Act to be delivered (whether physically or through compliance with Rule 172 under the Securities Act or any similar rule) in connection with any sale of Securities).</w:t>
      </w:r>
    </w:p>
    <w:p>
      <w:pPr>
        <w:spacing w:after="0" w:line="200" w:lineRule="exact"/>
        <w:rPr>
          <w:sz w:val="20"/>
          <w:szCs w:val="20"/>
          <w:color w:val="auto"/>
        </w:rPr>
      </w:pPr>
    </w:p>
    <w:p>
      <w:pPr>
        <w:spacing w:after="0" w:line="233" w:lineRule="exact"/>
        <w:rPr>
          <w:sz w:val="20"/>
          <w:szCs w:val="20"/>
          <w:color w:val="auto"/>
        </w:rPr>
      </w:pPr>
    </w:p>
    <w:p>
      <w:pPr>
        <w:ind w:right="720" w:firstLine="656"/>
        <w:spacing w:after="0" w:line="251" w:lineRule="auto"/>
        <w:tabs>
          <w:tab w:leader="none" w:pos="145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Agreements of the Selling Stockholder</w:t>
      </w:r>
      <w:r>
        <w:rPr>
          <w:rFonts w:ascii="Arial" w:cs="Arial" w:eastAsia="Arial" w:hAnsi="Arial"/>
          <w:sz w:val="22"/>
          <w:szCs w:val="22"/>
          <w:color w:val="auto"/>
        </w:rPr>
        <w:t>. The Selling Stockholder agrees with the Company and the several Underwriters as follows:</w:t>
      </w:r>
    </w:p>
    <w:p>
      <w:pPr>
        <w:spacing w:after="0" w:line="200" w:lineRule="exact"/>
        <w:rPr>
          <w:rFonts w:ascii="Arial" w:cs="Arial" w:eastAsia="Arial" w:hAnsi="Arial"/>
          <w:sz w:val="22"/>
          <w:szCs w:val="22"/>
          <w:color w:val="auto"/>
        </w:rPr>
      </w:pPr>
    </w:p>
    <w:p>
      <w:pPr>
        <w:ind w:left="660" w:right="60" w:firstLine="645"/>
        <w:spacing w:after="0" w:line="282" w:lineRule="auto"/>
        <w:tabs>
          <w:tab w:leader="none" w:pos="2084"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Selling Stockholder will advise you promptly, and if requested by you, will confirm such advice in writing, during the period when a prospectus relating to the Securities is required by the Securities Act to be delivered (whether physically or through compliance with Rule 172 under the Securities Act or any similar rule), of any change in the Selling Stockholder Information in the Registration Statement, any preliminary prospectus, any free writing prospectus, the Prospectus or any amendment or supplement thereto relating to the Selling Stockholder.</w:t>
      </w:r>
    </w:p>
    <w:p>
      <w:pPr>
        <w:spacing w:after="0" w:line="174" w:lineRule="exact"/>
        <w:rPr>
          <w:rFonts w:ascii="Arial" w:cs="Arial" w:eastAsia="Arial" w:hAnsi="Arial"/>
          <w:sz w:val="19"/>
          <w:szCs w:val="19"/>
          <w:color w:val="auto"/>
        </w:rPr>
      </w:pPr>
    </w:p>
    <w:p>
      <w:pPr>
        <w:ind w:left="660" w:right="220" w:firstLine="645"/>
        <w:spacing w:after="0" w:line="274" w:lineRule="auto"/>
        <w:tabs>
          <w:tab w:leader="none" w:pos="2097" w:val="left"/>
        </w:tabs>
        <w:numPr>
          <w:ilvl w:val="1"/>
          <w:numId w:val="29"/>
        </w:numPr>
        <w:rPr>
          <w:rFonts w:ascii="Arial" w:cs="Arial" w:eastAsia="Arial" w:hAnsi="Arial"/>
          <w:sz w:val="21"/>
          <w:szCs w:val="21"/>
          <w:color w:val="auto"/>
        </w:rPr>
      </w:pPr>
      <w:r>
        <w:rPr>
          <w:rFonts w:ascii="Arial" w:cs="Arial" w:eastAsia="Arial" w:hAnsi="Arial"/>
          <w:sz w:val="21"/>
          <w:szCs w:val="21"/>
          <w:color w:val="auto"/>
        </w:rPr>
        <w:t>To deliver to the Underwriters prior to the Closing Date a properly completed and executed United States Treasury Department Form W-9, together with all required attachments, if any, of the Selling Stockholder.</w:t>
      </w:r>
    </w:p>
    <w:p>
      <w:pPr>
        <w:spacing w:after="0" w:line="178" w:lineRule="exact"/>
        <w:rPr>
          <w:sz w:val="20"/>
          <w:szCs w:val="20"/>
          <w:color w:val="auto"/>
        </w:rPr>
      </w:pPr>
    </w:p>
    <w:p>
      <w:pPr>
        <w:ind w:firstLine="554"/>
        <w:spacing w:after="0" w:line="251" w:lineRule="auto"/>
        <w:rPr>
          <w:sz w:val="20"/>
          <w:szCs w:val="20"/>
          <w:color w:val="auto"/>
        </w:rPr>
      </w:pPr>
      <w:r>
        <w:rPr>
          <w:rFonts w:ascii="Arial" w:cs="Arial" w:eastAsia="Arial" w:hAnsi="Arial"/>
          <w:sz w:val="22"/>
          <w:szCs w:val="22"/>
          <w:color w:val="auto"/>
        </w:rPr>
        <w:t>The Underwriters, may, in their sole discretion, waive in writing the performance by the Company or the Selling Stockholder of any one or more of the foregoing covenants or extend the time for their performance.</w:t>
      </w:r>
    </w:p>
    <w:p>
      <w:pPr>
        <w:spacing w:after="0" w:line="200" w:lineRule="exact"/>
        <w:rPr>
          <w:sz w:val="20"/>
          <w:szCs w:val="20"/>
          <w:color w:val="auto"/>
        </w:rPr>
      </w:pPr>
    </w:p>
    <w:p>
      <w:pPr>
        <w:ind w:right="120" w:firstLine="656"/>
        <w:spacing w:after="0" w:line="247" w:lineRule="auto"/>
        <w:tabs>
          <w:tab w:leader="none" w:pos="145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Conditions to the Obligations of the Underwriters</w:t>
      </w:r>
      <w:r>
        <w:rPr>
          <w:rFonts w:ascii="Arial" w:cs="Arial" w:eastAsia="Arial" w:hAnsi="Arial"/>
          <w:sz w:val="21"/>
          <w:szCs w:val="21"/>
          <w:color w:val="auto"/>
        </w:rPr>
        <w:t>. The obligations of the Underwriters to purchase the Securities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 contained herein as of the Execution Time, the Closing Date, to the accuracy of the statements of the Company and the Selling Stockholder made in any certificates pursuant to the provisions hereof, to the performance by the Company and the Selling Stockholder in all material respects of their respective obligations hereunder and to the following additional conditions:</w:t>
      </w:r>
    </w:p>
    <w:p>
      <w:pPr>
        <w:spacing w:after="0" w:line="205" w:lineRule="exact"/>
        <w:rPr>
          <w:sz w:val="20"/>
          <w:szCs w:val="20"/>
          <w:color w:val="auto"/>
        </w:rPr>
      </w:pPr>
    </w:p>
    <w:p>
      <w:pPr>
        <w:ind w:right="40" w:firstLine="656"/>
        <w:spacing w:after="0" w:line="236" w:lineRule="auto"/>
        <w:tabs>
          <w:tab w:leader="none" w:pos="142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Prospectus, and any supplement thereto, have been filed in the manner and within the time period required by Rule 424(b); any material required to be filed by the Company pursuant to Rule 433(d) under the Securities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both"/>
        <w:ind w:left="-120" w:right="40" w:firstLine="656"/>
        <w:spacing w:after="0" w:line="238" w:lineRule="auto"/>
        <w:tabs>
          <w:tab w:leader="none" w:pos="13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 The Company and the Selling Stockholder shall have requested and caused Simpson Thacher &amp; Bartlett LLP, counsel for the Company and the Selling Stockholder, to furnish to the Representatives an opinion letter and a negative assurance letter, each dated the Closing Date and in form and substance reasonably satisfactory to the Representatives, as set forth in Exhibit B hereto.</w:t>
      </w:r>
    </w:p>
    <w:p>
      <w:pPr>
        <w:spacing w:after="0" w:line="212" w:lineRule="exact"/>
        <w:rPr>
          <w:rFonts w:ascii="Arial" w:cs="Arial" w:eastAsia="Arial" w:hAnsi="Arial"/>
          <w:sz w:val="22"/>
          <w:szCs w:val="22"/>
          <w:color w:val="auto"/>
        </w:rPr>
      </w:pPr>
    </w:p>
    <w:p>
      <w:pPr>
        <w:ind w:left="460" w:right="60" w:firstLine="725"/>
        <w:spacing w:after="0"/>
        <w:tabs>
          <w:tab w:leader="none" w:pos="1561"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213" w:lineRule="exact"/>
        <w:rPr>
          <w:rFonts w:ascii="Arial" w:cs="Arial" w:eastAsia="Arial" w:hAnsi="Arial"/>
          <w:sz w:val="22"/>
          <w:szCs w:val="22"/>
          <w:color w:val="auto"/>
        </w:rPr>
      </w:pPr>
    </w:p>
    <w:p>
      <w:pPr>
        <w:ind w:left="-120" w:right="20" w:firstLine="656"/>
        <w:spacing w:after="0" w:line="252" w:lineRule="auto"/>
        <w:tabs>
          <w:tab w:leader="none" w:pos="1308"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201" w:lineRule="exact"/>
        <w:rPr>
          <w:rFonts w:ascii="Arial" w:cs="Arial" w:eastAsia="Arial" w:hAnsi="Arial"/>
          <w:sz w:val="21"/>
          <w:szCs w:val="21"/>
          <w:color w:val="auto"/>
        </w:rPr>
      </w:pPr>
    </w:p>
    <w:p>
      <w:pPr>
        <w:ind w:left="-120" w:right="100" w:firstLine="656"/>
        <w:spacing w:after="0" w:line="282" w:lineRule="auto"/>
        <w:tabs>
          <w:tab w:leader="none" w:pos="13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(if any) used in connection with the offering of the Securities, and this Agreement and that:</w:t>
      </w:r>
    </w:p>
    <w:p>
      <w:pPr>
        <w:spacing w:after="0" w:line="175" w:lineRule="exact"/>
        <w:rPr>
          <w:sz w:val="20"/>
          <w:szCs w:val="20"/>
          <w:color w:val="auto"/>
        </w:rPr>
      </w:pPr>
    </w:p>
    <w:p>
      <w:pPr>
        <w:ind w:left="540" w:firstLine="645"/>
        <w:spacing w:after="0" w:line="282" w:lineRule="auto"/>
        <w:tabs>
          <w:tab w:leader="none" w:pos="19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174" w:lineRule="exact"/>
        <w:rPr>
          <w:rFonts w:ascii="Arial" w:cs="Arial" w:eastAsia="Arial" w:hAnsi="Arial"/>
          <w:sz w:val="19"/>
          <w:szCs w:val="19"/>
          <w:color w:val="auto"/>
        </w:rPr>
      </w:pPr>
    </w:p>
    <w:p>
      <w:pPr>
        <w:ind w:left="540" w:right="80" w:firstLine="645"/>
        <w:spacing w:after="0" w:line="287" w:lineRule="auto"/>
        <w:tabs>
          <w:tab w:leader="none" w:pos="19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170" w:lineRule="exact"/>
        <w:rPr>
          <w:rFonts w:ascii="Arial" w:cs="Arial" w:eastAsia="Arial" w:hAnsi="Arial"/>
          <w:sz w:val="19"/>
          <w:szCs w:val="19"/>
          <w:color w:val="auto"/>
        </w:rPr>
      </w:pPr>
    </w:p>
    <w:p>
      <w:pPr>
        <w:ind w:left="540" w:right="100" w:firstLine="645"/>
        <w:spacing w:after="0" w:line="328" w:lineRule="auto"/>
        <w:tabs>
          <w:tab w:leader="none" w:pos="19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25" w:name="page26"/>
    <w:bookmarkEnd w:id="25"/>
    <w:p>
      <w:pPr>
        <w:ind w:left="-20" w:right="160" w:firstLine="656"/>
        <w:spacing w:after="0" w:line="277" w:lineRule="auto"/>
        <w:tabs>
          <w:tab w:leader="none" w:pos="1408" w:val="left"/>
        </w:tabs>
        <w:numPr>
          <w:ilvl w:val="0"/>
          <w:numId w:val="34"/>
        </w:numPr>
        <w:rPr>
          <w:rFonts w:ascii="Arial" w:cs="Arial" w:eastAsia="Arial" w:hAnsi="Arial"/>
          <w:sz w:val="19"/>
          <w:szCs w:val="19"/>
          <w:color w:val="auto"/>
        </w:rPr>
      </w:pPr>
      <w:r>
        <w:rPr>
          <w:rFonts w:ascii="Arial" w:cs="Arial" w:eastAsia="Arial" w:hAnsi="Arial"/>
          <w:sz w:val="19"/>
          <w:szCs w:val="19"/>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180" w:lineRule="exact"/>
        <w:rPr>
          <w:rFonts w:ascii="Arial" w:cs="Arial" w:eastAsia="Arial" w:hAnsi="Arial"/>
          <w:sz w:val="19"/>
          <w:szCs w:val="19"/>
          <w:color w:val="auto"/>
        </w:rPr>
      </w:pPr>
    </w:p>
    <w:p>
      <w:pPr>
        <w:ind w:left="-20" w:right="460" w:firstLine="656"/>
        <w:spacing w:after="0" w:line="251" w:lineRule="auto"/>
        <w:tabs>
          <w:tab w:leader="none" w:pos="1384" w:val="left"/>
        </w:tabs>
        <w:numPr>
          <w:ilvl w:val="0"/>
          <w:numId w:val="34"/>
        </w:numPr>
        <w:rPr>
          <w:rFonts w:ascii="Arial" w:cs="Arial" w:eastAsia="Arial" w:hAnsi="Arial"/>
          <w:sz w:val="22"/>
          <w:szCs w:val="22"/>
          <w:color w:val="auto"/>
        </w:rPr>
      </w:pPr>
      <w:r>
        <w:rPr>
          <w:rFonts w:ascii="Arial" w:cs="Arial" w:eastAsia="Arial" w:hAnsi="Arial"/>
          <w:sz w:val="22"/>
          <w:szCs w:val="22"/>
          <w:color w:val="auto"/>
        </w:rPr>
        <w:t>On the Closing Date, the Underwriters shall receive a written certificate executed by the general partner of the Selling Stockholder, dated as of such date, to the effect that:</w:t>
      </w:r>
    </w:p>
    <w:p>
      <w:pPr>
        <w:spacing w:after="0" w:line="200" w:lineRule="exact"/>
        <w:rPr>
          <w:rFonts w:ascii="Arial" w:cs="Arial" w:eastAsia="Arial" w:hAnsi="Arial"/>
          <w:sz w:val="22"/>
          <w:szCs w:val="22"/>
          <w:color w:val="auto"/>
        </w:rPr>
      </w:pPr>
    </w:p>
    <w:p>
      <w:pPr>
        <w:ind w:left="640" w:right="100" w:firstLine="645"/>
        <w:spacing w:after="0" w:line="238" w:lineRule="auto"/>
        <w:tabs>
          <w:tab w:leader="none" w:pos="2081"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representations and warranties of the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the Selling Stockholder on and as of such date; and</w:t>
      </w:r>
    </w:p>
    <w:p>
      <w:pPr>
        <w:spacing w:after="0" w:line="212" w:lineRule="exact"/>
        <w:rPr>
          <w:rFonts w:ascii="Arial" w:cs="Arial" w:eastAsia="Arial" w:hAnsi="Arial"/>
          <w:sz w:val="22"/>
          <w:szCs w:val="22"/>
          <w:color w:val="auto"/>
        </w:rPr>
      </w:pPr>
    </w:p>
    <w:p>
      <w:pPr>
        <w:ind w:left="640" w:right="280" w:firstLine="645"/>
        <w:spacing w:after="0" w:line="251" w:lineRule="auto"/>
        <w:tabs>
          <w:tab w:leader="none" w:pos="2081"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Selling Stockholder has complied in all material respects with all the agreements and satisfied all the conditions on its part to be performed or satisfied at or prior to such date.</w:t>
      </w:r>
    </w:p>
    <w:p>
      <w:pPr>
        <w:spacing w:after="0" w:line="200" w:lineRule="exact"/>
        <w:rPr>
          <w:rFonts w:ascii="Arial" w:cs="Arial" w:eastAsia="Arial" w:hAnsi="Arial"/>
          <w:sz w:val="22"/>
          <w:szCs w:val="22"/>
          <w:color w:val="auto"/>
        </w:rPr>
      </w:pPr>
    </w:p>
    <w:p>
      <w:pPr>
        <w:ind w:left="1420" w:hanging="784"/>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 w:firstLine="656"/>
        <w:spacing w:after="0" w:line="246" w:lineRule="auto"/>
        <w:tabs>
          <w:tab w:leader="none" w:pos="1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07" w:lineRule="exact"/>
        <w:rPr>
          <w:rFonts w:ascii="Arial" w:cs="Arial" w:eastAsia="Arial" w:hAnsi="Arial"/>
          <w:sz w:val="21"/>
          <w:szCs w:val="21"/>
          <w:color w:val="auto"/>
        </w:rPr>
      </w:pPr>
    </w:p>
    <w:p>
      <w:pPr>
        <w:ind w:left="1440" w:hanging="804"/>
        <w:spacing w:after="0"/>
        <w:tabs>
          <w:tab w:leader="none" w:pos="14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 w:firstLine="656"/>
        <w:spacing w:after="0" w:line="251" w:lineRule="auto"/>
        <w:tabs>
          <w:tab w:leader="none" w:pos="1426" w:val="left"/>
        </w:tabs>
        <w:numPr>
          <w:ilvl w:val="0"/>
          <w:numId w:val="34"/>
        </w:numPr>
        <w:rPr>
          <w:rFonts w:ascii="Arial" w:cs="Arial" w:eastAsia="Arial" w:hAnsi="Arial"/>
          <w:sz w:val="22"/>
          <w:szCs w:val="22"/>
          <w:color w:val="auto"/>
        </w:rPr>
      </w:pPr>
      <w:r>
        <w:rPr>
          <w:rFonts w:ascii="Arial" w:cs="Arial" w:eastAsia="Arial" w:hAnsi="Arial"/>
          <w:sz w:val="22"/>
          <w:szCs w:val="22"/>
          <w:color w:val="auto"/>
        </w:rPr>
        <w:t>On the Closing Date, the Securities shall have been approved for listing and admitted and authorized for trading on the NASDAQ Global Select Market (the “Exchange”).</w:t>
      </w:r>
    </w:p>
    <w:p>
      <w:pPr>
        <w:spacing w:after="0" w:line="200" w:lineRule="exact"/>
        <w:rPr>
          <w:rFonts w:ascii="Arial" w:cs="Arial" w:eastAsia="Arial" w:hAnsi="Arial"/>
          <w:sz w:val="22"/>
          <w:szCs w:val="22"/>
          <w:color w:val="auto"/>
        </w:rPr>
      </w:pPr>
    </w:p>
    <w:p>
      <w:pPr>
        <w:ind w:left="-20" w:right="80" w:firstLine="656"/>
        <w:spacing w:after="0" w:line="328" w:lineRule="auto"/>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shall have caused to be furnished to the Representatives from each executive officer and director of the Company listed on Exhibit A-1 hereto, a letter addressed to the Representatives substantially in the form of Exhibit A hereto.</w:t>
      </w:r>
    </w:p>
    <w:p>
      <w:pPr>
        <w:spacing w:after="0" w:line="132" w:lineRule="exact"/>
        <w:rPr>
          <w:rFonts w:ascii="Arial" w:cs="Arial" w:eastAsia="Arial" w:hAnsi="Arial"/>
          <w:sz w:val="19"/>
          <w:szCs w:val="19"/>
          <w:color w:val="auto"/>
        </w:rPr>
      </w:pPr>
    </w:p>
    <w:p>
      <w:pPr>
        <w:ind w:left="-20" w:firstLine="656"/>
        <w:spacing w:after="0" w:line="251" w:lineRule="auto"/>
        <w:tabs>
          <w:tab w:leader="none" w:pos="1426" w:val="left"/>
        </w:tabs>
        <w:numPr>
          <w:ilvl w:val="0"/>
          <w:numId w:val="34"/>
        </w:numPr>
        <w:rPr>
          <w:rFonts w:ascii="Arial" w:cs="Arial" w:eastAsia="Arial" w:hAnsi="Arial"/>
          <w:sz w:val="22"/>
          <w:szCs w:val="22"/>
          <w:color w:val="auto"/>
        </w:rPr>
      </w:pPr>
      <w:r>
        <w:rPr>
          <w:rFonts w:ascii="Arial" w:cs="Arial" w:eastAsia="Arial" w:hAnsi="Arial"/>
          <w:sz w:val="22"/>
          <w:szCs w:val="22"/>
          <w:color w:val="auto"/>
        </w:rPr>
        <w:t>Prior to the Closing Date, the Company shall have taken all action reasonably required to be taken by it to have the Securities declared eligible for clearance and settlement through DTC.</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26" w:name="page27"/>
    <w:bookmarkEnd w:id="26"/>
    <w:p>
      <w:pPr>
        <w:ind w:right="560" w:firstLine="656"/>
        <w:spacing w:after="0" w:line="251" w:lineRule="auto"/>
        <w:tabs>
          <w:tab w:leader="none" w:pos="1446" w:val="left"/>
        </w:tabs>
        <w:numPr>
          <w:ilvl w:val="0"/>
          <w:numId w:val="35"/>
        </w:numPr>
        <w:rPr>
          <w:rFonts w:ascii="Arial" w:cs="Arial" w:eastAsia="Arial" w:hAnsi="Arial"/>
          <w:sz w:val="22"/>
          <w:szCs w:val="22"/>
          <w:color w:val="auto"/>
        </w:rPr>
      </w:pPr>
      <w:r>
        <w:rPr>
          <w:rFonts w:ascii="Arial" w:cs="Arial" w:eastAsia="Arial" w:hAnsi="Arial"/>
          <w:sz w:val="22"/>
          <w:szCs w:val="22"/>
          <w:color w:val="auto"/>
        </w:rPr>
        <w:t>Prior to the Closing Date, the Company shall have furnished to the Representatives such further information, certificates and documents as the Representatives may reasonably request.</w:t>
      </w:r>
    </w:p>
    <w:p>
      <w:pPr>
        <w:spacing w:after="0" w:line="201" w:lineRule="exact"/>
        <w:rPr>
          <w:sz w:val="20"/>
          <w:szCs w:val="20"/>
          <w:color w:val="auto"/>
        </w:rPr>
      </w:pPr>
    </w:p>
    <w:p>
      <w:pPr>
        <w:jc w:val="both"/>
        <w:ind w:right="200" w:firstLine="1297"/>
        <w:spacing w:after="0"/>
        <w:rPr>
          <w:sz w:val="20"/>
          <w:szCs w:val="20"/>
          <w:color w:val="auto"/>
        </w:rPr>
      </w:pPr>
      <w:r>
        <w:rPr>
          <w:rFonts w:ascii="Arial" w:cs="Arial" w:eastAsia="Arial" w:hAnsi="Arial"/>
          <w:sz w:val="22"/>
          <w:szCs w:val="22"/>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213" w:lineRule="exact"/>
        <w:rPr>
          <w:sz w:val="20"/>
          <w:szCs w:val="20"/>
          <w:color w:val="auto"/>
        </w:rPr>
      </w:pPr>
    </w:p>
    <w:p>
      <w:pPr>
        <w:jc w:val="both"/>
        <w:ind w:right="320" w:firstLine="1297"/>
        <w:spacing w:after="0" w:line="328" w:lineRule="auto"/>
        <w:rPr>
          <w:sz w:val="20"/>
          <w:szCs w:val="20"/>
          <w:color w:val="auto"/>
        </w:rPr>
      </w:pPr>
      <w:r>
        <w:rPr>
          <w:rFonts w:ascii="Arial" w:cs="Arial" w:eastAsia="Arial" w:hAnsi="Arial"/>
          <w:sz w:val="19"/>
          <w:szCs w:val="19"/>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132" w:lineRule="exact"/>
        <w:rPr>
          <w:sz w:val="20"/>
          <w:szCs w:val="20"/>
          <w:color w:val="auto"/>
        </w:rPr>
      </w:pPr>
    </w:p>
    <w:p>
      <w:pPr>
        <w:ind w:firstLine="656"/>
        <w:spacing w:after="0" w:line="234" w:lineRule="auto"/>
        <w:tabs>
          <w:tab w:leader="none" w:pos="1459"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Reimbursement of Underwriters’ Expenses</w:t>
      </w:r>
      <w:r>
        <w:rPr>
          <w:rFonts w:ascii="Arial" w:cs="Arial" w:eastAsia="Arial" w:hAnsi="Arial"/>
          <w:sz w:val="22"/>
          <w:szCs w:val="22"/>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the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214" w:lineRule="exact"/>
        <w:rPr>
          <w:rFonts w:ascii="Arial" w:cs="Arial" w:eastAsia="Arial" w:hAnsi="Arial"/>
          <w:sz w:val="22"/>
          <w:szCs w:val="22"/>
          <w:color w:val="auto"/>
        </w:rPr>
      </w:pPr>
    </w:p>
    <w:p>
      <w:pPr>
        <w:ind w:left="1460" w:hanging="804"/>
        <w:spacing w:after="0"/>
        <w:tabs>
          <w:tab w:leader="none" w:pos="14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69" w:lineRule="auto"/>
        <w:tabs>
          <w:tab w:leader="none" w:pos="1428"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The Company agrees to indemnify and hold harmless each Underwriter, the directors, officers, selling agents and Affiliates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Securities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ind w:left="-20" w:firstLine="656"/>
        <w:spacing w:after="0" w:line="272" w:lineRule="auto"/>
        <w:tabs>
          <w:tab w:leader="none" w:pos="14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Selling Stockholder agrees to indemnify and hold harmless each Underwriter, the directors, officers, selling agents and Affiliates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 Information provided by the Selling Stockholder;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liability under this subsection of the Selling Stockholder shall be limited to an amount equal to the aggregate gross proceeds after underwriting commissions and discounts, but before expenses, to the Selling Stockholder from the sale of Securities sold by the Selling Stockholder hereunder (the “Selling Stockholder Net Proceeds”).</w:t>
      </w:r>
    </w:p>
    <w:p>
      <w:pPr>
        <w:spacing w:after="0" w:line="189" w:lineRule="exact"/>
        <w:rPr>
          <w:rFonts w:ascii="Arial" w:cs="Arial" w:eastAsia="Arial" w:hAnsi="Arial"/>
          <w:sz w:val="19"/>
          <w:szCs w:val="19"/>
          <w:color w:val="auto"/>
        </w:rPr>
      </w:pPr>
    </w:p>
    <w:p>
      <w:pPr>
        <w:ind w:left="-20" w:right="60" w:firstLine="656"/>
        <w:spacing w:after="0" w:line="273" w:lineRule="auto"/>
        <w:tabs>
          <w:tab w:leader="none" w:pos="1408"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Underwriter severally, and not jointly, agrees to indemnify and hold harmless (i) the Company, (ii) each person, if any, who controls (within the meaning of either the Securities Act or the Exchange Act) the Company or the Selling Stockholder, (iii) each of the directors of the Company who signs the Registration Statement, (iv) each of the officers of the Company who signs the Registration Statement, and (v) the Selling Stockholder, to the same extent as the foregoing indemnity from the Company and Selling Stockholder to each Underwriter, but only with reference to written information relating to such Underwriter furnished to the Company and/or Selling Stockholder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fifth paragraph and the sixteenth paragraph, under the heading “Underwriting”, constitute the only information furnished in writing by or on behalf of the several Underwriters for inclusion in the Registration Statement, Preliminary Prospectus, the Prospectus or any Issuer Free Writing Prospectus or any road show.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28" w:name="page29"/>
    <w:bookmarkEnd w:id="28"/>
    <w:p>
      <w:pPr>
        <w:ind w:left="-20" w:firstLine="656"/>
        <w:spacing w:after="0" w:line="268"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Goldman Sachs &amp; Co.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Goldman Sachs &amp; Co.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29" w:name="page30"/>
    <w:bookmarkEnd w:id="29"/>
    <w:p>
      <w:pPr>
        <w:ind w:left="-20" w:firstLine="656"/>
        <w:spacing w:after="0" w:line="268" w:lineRule="auto"/>
        <w:tabs>
          <w:tab w:leader="none" w:pos="1408"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 as applicable, and one or more of the Underwriters may be subject in such proportion as is appropriate to reflect the relative benefits received by the Company and/or the Selling Stockholder, as applicable, on the one hand and by the Underwriters on the other from the offering of the Securities. If the allocation provided by the immediately preceding sentence is unavailable for any reason or not permitted by applicable law, the Company and/or the Selling Stockholder, as applicable, and the Underwriters severally shall contribute in such proportion as is appropriate to reflect not only such relative benefits but also the relative fault of the Company and/or the Selling Stockholder, as applicable, on the one hand and of the Underwriters on the other in connection with the statements or omissions that resulted in such Losses, as well as any other relevant equitable considerations. Benefits received by the Company and/or the Selling Stockholder,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the Selling Stockholder’s obligations to contribute any amount under this paragraph (e) is limited in the manner and to the extent set forth in paragraph 10(b) and in no event shall the aggregate liability of the Selling Stockholder under paragraph 10(b) and this paragraph (e) exceed the limit set forth in paragraph 10(b).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30" w:name="page31"/>
    <w:bookmarkEnd w:id="30"/>
    <w:p>
      <w:pPr>
        <w:ind w:firstLine="656"/>
        <w:spacing w:after="0" w:line="270" w:lineRule="auto"/>
        <w:tabs>
          <w:tab w:leader="none" w:pos="145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that the aggregate amount of the Securities that the defaulting Underwriter or Underwriters agreed but failed to purchase shall exceed 10% of the aggregate amount of the Securities set forth in Schedule I hereto, the Company and the Selling Stockholder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 In the event of a default by any Underwriter as set forth in this Section 11, the Closing Date shall be postponed for such period, not exceeding five Business Days, to effect any changes that in the opinion of counsel for the Company and the Selling Stockholder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 or any nondefaulting Underwriter for damages occasioned by its default hereunder.</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firstLine="656"/>
        <w:spacing w:after="0" w:line="272" w:lineRule="auto"/>
        <w:tabs>
          <w:tab w:leader="none" w:pos="145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Representatives, by notice given to the Company and the Selling Stockholder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20" w:right="80" w:firstLine="656"/>
        <w:spacing w:after="0" w:line="248" w:lineRule="auto"/>
        <w:tabs>
          <w:tab w:leader="none" w:pos="143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Representations and Indemnities to Survive</w:t>
      </w:r>
      <w:r>
        <w:rPr>
          <w:rFonts w:ascii="Arial" w:cs="Arial" w:eastAsia="Arial" w:hAnsi="Arial"/>
          <w:sz w:val="21"/>
          <w:szCs w:val="21"/>
          <w:color w:val="auto"/>
        </w:rPr>
        <w:t>. The respective agreements, representations, warranties, indemnities and other statements of the Company or its officers, the Selling Stockholder and of the Underwriters set forth in or made pursuant to this Agreement will remain in full force and effect, regardless of any investigation made by or on behalf of any Underwriter, the Company, the Selling Stockholder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05" w:lineRule="exact"/>
        <w:rPr>
          <w:rFonts w:ascii="Arial" w:cs="Arial" w:eastAsia="Arial" w:hAnsi="Arial"/>
          <w:sz w:val="21"/>
          <w:szCs w:val="21"/>
          <w:color w:val="auto"/>
        </w:rPr>
      </w:pPr>
    </w:p>
    <w:p>
      <w:pPr>
        <w:ind w:left="-20" w:firstLine="656"/>
        <w:spacing w:after="0" w:line="226" w:lineRule="auto"/>
        <w:tabs>
          <w:tab w:leader="none" w:pos="143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will be in writing and effective only on receipt, and, if sent to the Representatives, will be mailed, delivered or telefaxed to Goldman Sachs &amp; Co. LLC at 200 West Street, New York, New York 10282, Attention: Registration Department; if sent to the Company,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Selling Stockholder: KKR Vision Aggregator L.P., c/o Kohlberg Kravis Roberts &amp; Co. L.P., 9 West 57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Street, Suite 4200, New York, New York 10019. The Company shall be entitled to act and rely upon any request, consent, notice or agreement given or made on behalf of the Underwriters by the Representatives.</w:t>
      </w:r>
    </w:p>
    <w:p>
      <w:pPr>
        <w:spacing w:after="0" w:line="217" w:lineRule="exact"/>
        <w:rPr>
          <w:rFonts w:ascii="Arial" w:cs="Arial" w:eastAsia="Arial" w:hAnsi="Arial"/>
          <w:sz w:val="21"/>
          <w:szCs w:val="21"/>
          <w:color w:val="auto"/>
        </w:rPr>
      </w:pPr>
    </w:p>
    <w:p>
      <w:pPr>
        <w:ind w:left="-20" w:right="20" w:firstLine="656"/>
        <w:spacing w:after="0" w:line="238" w:lineRule="auto"/>
        <w:tabs>
          <w:tab w:leader="none" w:pos="143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2" w:lineRule="exact"/>
        <w:rPr>
          <w:rFonts w:ascii="Arial" w:cs="Arial" w:eastAsia="Arial" w:hAnsi="Arial"/>
          <w:sz w:val="22"/>
          <w:szCs w:val="22"/>
          <w:color w:val="auto"/>
        </w:rPr>
      </w:pPr>
    </w:p>
    <w:p>
      <w:pPr>
        <w:ind w:left="-20" w:right="320" w:firstLine="656"/>
        <w:spacing w:after="0"/>
        <w:tabs>
          <w:tab w:leader="none" w:pos="143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WILL BE GOVERNED BY AND CONSTRUED IN ACCORDANCE WITH THE LAWS OF THE STATE OF NEW YORK APPLICABLE TO CONTRACTS MADE AND TO BE PERFORMED WITHIN THE STATE OF NEW YORK.</w:t>
      </w:r>
    </w:p>
    <w:p>
      <w:pPr>
        <w:spacing w:after="0" w:line="213" w:lineRule="exact"/>
        <w:rPr>
          <w:rFonts w:ascii="Arial" w:cs="Arial" w:eastAsia="Arial" w:hAnsi="Arial"/>
          <w:sz w:val="22"/>
          <w:szCs w:val="22"/>
          <w:color w:val="auto"/>
        </w:rPr>
      </w:pPr>
    </w:p>
    <w:p>
      <w:pPr>
        <w:ind w:left="-20" w:right="160" w:firstLine="656"/>
        <w:spacing w:after="0" w:line="252" w:lineRule="auto"/>
        <w:tabs>
          <w:tab w:leader="none" w:pos="143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32" w:name="page33"/>
    <w:bookmarkEnd w:id="32"/>
    <w:p>
      <w:pPr>
        <w:ind w:left="-20" w:right="20" w:firstLine="656"/>
        <w:spacing w:after="0" w:line="244" w:lineRule="auto"/>
        <w:tabs>
          <w:tab w:leader="none" w:pos="143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 Fiduciary Duty</w:t>
      </w:r>
      <w:r>
        <w:rPr>
          <w:rFonts w:ascii="Arial" w:cs="Arial" w:eastAsia="Arial" w:hAnsi="Arial"/>
          <w:sz w:val="21"/>
          <w:szCs w:val="21"/>
          <w:color w:val="auto"/>
        </w:rPr>
        <w:t>. The Company and the Selling Stockholder hereby acknowledge that (a) the purchase and sale of the Securities pursuant to this Agreement is an arm’s-length commercial transaction between the Company and the Selling Stockholder, on the one hand, and the Underwriters and any affiliate through which it may be acting, on the other, (b) the Underwriters are acting as principal and not as an agent or fiduciary of the Company or the Selling Stockholder and (c) the Company’s engagement of the Underwriters in connection with the offering and the process leading up to the offering is as independent contractors and not in any other capacity. Furthermore, the Company and the Selling Stockholder agree that they are solely responsible for making their own judgments in connection with the offering (irrespective of whether any of the Underwriters has advised or is currently advising the Company or the Selling Stockholder on related or other matters). The Company and the Selling Stockholder agree that they will not claim that the Underwriters have rendered advisory services of any nature or respect, or owe an agency, fiduciary or similar duty to the Company or the Selling Stockholder, in connection with such transaction or the process leading thereto.</w:t>
      </w:r>
    </w:p>
    <w:p>
      <w:pPr>
        <w:spacing w:after="0" w:line="217" w:lineRule="exact"/>
        <w:rPr>
          <w:rFonts w:ascii="Arial" w:cs="Arial" w:eastAsia="Arial" w:hAnsi="Arial"/>
          <w:sz w:val="21"/>
          <w:szCs w:val="21"/>
          <w:color w:val="auto"/>
        </w:rPr>
      </w:pPr>
    </w:p>
    <w:p>
      <w:pPr>
        <w:ind w:left="1440" w:hanging="804"/>
        <w:spacing w:after="0"/>
        <w:tabs>
          <w:tab w:leader="none" w:pos="14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p>
    <w:p>
      <w:pPr>
        <w:spacing w:after="0" w:line="233" w:lineRule="exact"/>
        <w:rPr>
          <w:sz w:val="20"/>
          <w:szCs w:val="20"/>
          <w:color w:val="auto"/>
        </w:rPr>
      </w:pPr>
    </w:p>
    <w:p>
      <w:pPr>
        <w:ind w:left="-20" w:right="140" w:firstLine="656"/>
        <w:spacing w:after="0" w:line="287" w:lineRule="auto"/>
        <w:tabs>
          <w:tab w:leader="none" w:pos="1408"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0" w:lineRule="exact"/>
        <w:rPr>
          <w:rFonts w:ascii="Arial" w:cs="Arial" w:eastAsia="Arial" w:hAnsi="Arial"/>
          <w:sz w:val="19"/>
          <w:szCs w:val="19"/>
          <w:color w:val="auto"/>
        </w:rPr>
      </w:pPr>
    </w:p>
    <w:p>
      <w:pPr>
        <w:ind w:left="-20" w:right="240" w:firstLine="656"/>
        <w:spacing w:after="0" w:line="287" w:lineRule="auto"/>
        <w:tabs>
          <w:tab w:leader="none" w:pos="14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0" w:lineRule="exact"/>
        <w:rPr>
          <w:rFonts w:ascii="Arial" w:cs="Arial" w:eastAsia="Arial" w:hAnsi="Arial"/>
          <w:sz w:val="19"/>
          <w:szCs w:val="19"/>
          <w:color w:val="auto"/>
        </w:rPr>
      </w:pPr>
    </w:p>
    <w:p>
      <w:pPr>
        <w:ind w:left="-20" w:firstLine="656"/>
        <w:spacing w:after="0" w:line="246" w:lineRule="auto"/>
        <w:tabs>
          <w:tab w:leader="none" w:pos="1408"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 purposes of this Section 19,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8" w:lineRule="exact"/>
        <w:rPr>
          <w:sz w:val="20"/>
          <w:szCs w:val="20"/>
          <w:color w:val="auto"/>
        </w:rPr>
      </w:pPr>
    </w:p>
    <w:p>
      <w:pPr>
        <w:ind w:left="-20" w:right="120" w:firstLine="656"/>
        <w:spacing w:after="0" w:line="328" w:lineRule="auto"/>
        <w:tabs>
          <w:tab w:leader="none" w:pos="143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all prior agreements and understandings (whether written or oral) among the Company, the Selling Stockholder and the Underwriters, or any of them, with respect to the subject matter hereof.</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33" w:name="page34"/>
    <w:bookmarkEnd w:id="33"/>
    <w:p>
      <w:pPr>
        <w:ind w:firstLine="656"/>
        <w:spacing w:after="0" w:line="238" w:lineRule="auto"/>
        <w:tabs>
          <w:tab w:leader="none" w:pos="145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THE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2" w:lineRule="exact"/>
        <w:rPr>
          <w:rFonts w:ascii="Arial" w:cs="Arial" w:eastAsia="Arial" w:hAnsi="Arial"/>
          <w:sz w:val="22"/>
          <w:szCs w:val="22"/>
          <w:color w:val="auto"/>
        </w:rPr>
      </w:pPr>
    </w:p>
    <w:p>
      <w:pPr>
        <w:jc w:val="both"/>
        <w:ind w:right="240" w:firstLine="656"/>
        <w:spacing w:after="0"/>
        <w:tabs>
          <w:tab w:leader="none" w:pos="145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213" w:lineRule="exact"/>
        <w:rPr>
          <w:rFonts w:ascii="Arial" w:cs="Arial" w:eastAsia="Arial" w:hAnsi="Arial"/>
          <w:sz w:val="22"/>
          <w:szCs w:val="22"/>
          <w:color w:val="auto"/>
        </w:rPr>
      </w:pPr>
    </w:p>
    <w:p>
      <w:pPr>
        <w:ind w:left="1460" w:hanging="804"/>
        <w:spacing w:after="0"/>
        <w:tabs>
          <w:tab w:leader="none" w:pos="14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 hereof.</w:t>
      </w:r>
    </w:p>
    <w:p>
      <w:pPr>
        <w:spacing w:after="0" w:line="267" w:lineRule="exact"/>
        <w:rPr>
          <w:rFonts w:ascii="Arial" w:cs="Arial" w:eastAsia="Arial" w:hAnsi="Arial"/>
          <w:sz w:val="19"/>
          <w:szCs w:val="19"/>
          <w:color w:val="auto"/>
        </w:rPr>
      </w:pPr>
    </w:p>
    <w:p>
      <w:pPr>
        <w:ind w:left="1460" w:hanging="804"/>
        <w:spacing w:after="0"/>
        <w:tabs>
          <w:tab w:leader="none" w:pos="14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“Affiliate” shall have the meaning specified in Rule 501(b) of Regulation 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mean this underwriting agreement.</w:t>
      </w:r>
    </w:p>
    <w:p>
      <w:pPr>
        <w:spacing w:after="0" w:line="23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“Business Day” shall mean any day other than a Saturday, a Sunday or a legal holiday or a day on which commercial banking institutions or trust companies are authorized or required by law to close in New York City.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3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170"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“Effective Date” shall mean each date and time that the Registration Statement, any post-effective amendment or amendments thereto became or becomes effective.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“Execution Time” shall mean 4:30 p.m. on August 7,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“Investment Company Act” shall mean the Investment Company Act of 1940, as amended, and the rules and regulations of the Commission promulgated thereunder.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“Issuer Free Writing Prospectus” shall mean an issuer free writing prospectus, as defined in Rule 433.</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4" w:name="page35"/>
    <w:bookmarkEnd w:id="34"/>
    <w:p>
      <w:pPr>
        <w:ind w:right="280"/>
        <w:spacing w:after="0" w:line="251" w:lineRule="auto"/>
        <w:rPr>
          <w:sz w:val="20"/>
          <w:szCs w:val="20"/>
          <w:color w:val="auto"/>
        </w:rPr>
      </w:pPr>
      <w:r>
        <w:rPr>
          <w:rFonts w:ascii="Arial" w:cs="Arial" w:eastAsia="Arial" w:hAnsi="Arial"/>
          <w:sz w:val="22"/>
          <w:szCs w:val="22"/>
          <w:color w:val="auto"/>
        </w:rPr>
        <w:t>“Rule 158”, “Rule 163”, “Rule 164”, “Rule 172”, “Rule 401,” “Rule 405”, “Rule 415”, “Rule 424”, “Rule 430A,” “Rule 430B,” and “Rule 433” refer to such rules under the Securities Act.</w:t>
      </w:r>
    </w:p>
    <w:p>
      <w:pPr>
        <w:spacing w:after="0" w:line="20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“Rule 430 Information” shall mean information with respect to the Securities and the offering thereof permitted to be omitted from the Registration Statement when it becomes effective pursuant to Rule 430A or 430B.</w:t>
      </w:r>
    </w:p>
    <w:p>
      <w:pPr>
        <w:spacing w:after="0" w:line="20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“Securities Act” shall mean the Securities Act of 1933, as amended, and the rules and regulations of the Commission promulgated thereunder.</w:t>
      </w:r>
    </w:p>
    <w:p>
      <w:pPr>
        <w:spacing w:after="0" w:line="200" w:lineRule="exact"/>
        <w:rPr>
          <w:sz w:val="20"/>
          <w:szCs w:val="20"/>
          <w:color w:val="auto"/>
        </w:rPr>
      </w:pPr>
    </w:p>
    <w:p>
      <w:pPr>
        <w:ind w:right="80" w:firstLine="656"/>
        <w:spacing w:after="0" w:line="275" w:lineRule="auto"/>
        <w:tabs>
          <w:tab w:leader="none" w:pos="145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Allocation of Selling Stockholder Securities</w:t>
      </w:r>
      <w:r>
        <w:rPr>
          <w:rFonts w:ascii="Arial" w:cs="Arial" w:eastAsia="Arial" w:hAnsi="Arial"/>
          <w:sz w:val="19"/>
          <w:szCs w:val="19"/>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18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 and the several Underwriters.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Brandman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Jared Brandman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w w:val="96"/>
              </w:rPr>
              <w:t>Senior Vice President, General Counsel and</w:t>
            </w:r>
          </w:p>
        </w:tc>
      </w:tr>
      <w:tr>
        <w:trPr>
          <w:trHeight w:val="230"/>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20"/>
                <w:szCs w:val="20"/>
                <w:color w:val="auto"/>
              </w:rPr>
            </w:pPr>
            <w:r>
              <w:rPr>
                <w:rFonts w:ascii="Arial" w:cs="Arial" w:eastAsia="Arial" w:hAnsi="Arial"/>
                <w:sz w:val="18"/>
                <w:szCs w:val="18"/>
                <w:color w:val="auto"/>
              </w:rPr>
              <w:t>KKR Vision Aggregator GP LLC,</w:t>
            </w:r>
          </w:p>
        </w:tc>
      </w:tr>
      <w:tr>
        <w:trPr>
          <w:trHeight w:val="230"/>
        </w:trPr>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Nate Taylor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Nate Taylor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foregoing Agreement is hereby confirmed and accepted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Wood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Elizabeth Wood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22"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7900" w:type="dxa"/>
            <w:vAlign w:val="bottom"/>
            <w:gridSpan w:val="6"/>
          </w:tcPr>
          <w:p>
            <w:pPr>
              <w:ind w:left="1540"/>
              <w:spacing w:after="0"/>
              <w:rPr>
                <w:sz w:val="20"/>
                <w:szCs w:val="20"/>
                <w:color w:val="auto"/>
              </w:rPr>
            </w:pPr>
            <w:r>
              <w:rPr>
                <w:rFonts w:ascii="Arial" w:cs="Arial" w:eastAsia="Arial" w:hAnsi="Arial"/>
                <w:sz w:val="22"/>
                <w:szCs w:val="22"/>
                <w:color w:val="auto"/>
              </w:rPr>
              <w:t>SCHEDULE I</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gridSpan w:val="4"/>
          </w:tcPr>
          <w:p>
            <w:pPr>
              <w:jc w:val="center"/>
              <w:spacing w:after="0"/>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190"/>
        </w:trPr>
        <w:tc>
          <w:tcPr>
            <w:tcW w:w="3540" w:type="dxa"/>
            <w:vAlign w:val="bottom"/>
            <w:gridSpan w:val="3"/>
          </w:tcPr>
          <w:p>
            <w:pPr>
              <w:spacing w:after="0" w:line="190" w:lineRule="exact"/>
              <w:rPr>
                <w:sz w:val="20"/>
                <w:szCs w:val="20"/>
                <w:color w:val="auto"/>
              </w:rPr>
            </w:pPr>
            <w:r>
              <w:rPr>
                <w:rFonts w:ascii="Arial" w:cs="Arial" w:eastAsia="Arial" w:hAnsi="Arial"/>
                <w:sz w:val="18"/>
                <w:szCs w:val="18"/>
                <w:color w:val="auto"/>
              </w:rPr>
              <w:t>Underwriters</w:t>
            </w: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20" w:type="dxa"/>
            <w:vAlign w:val="bottom"/>
            <w:gridSpan w:val="4"/>
          </w:tcPr>
          <w:p>
            <w:pPr>
              <w:jc w:val="center"/>
              <w:spacing w:after="0" w:line="190" w:lineRule="exact"/>
              <w:rPr>
                <w:sz w:val="20"/>
                <w:szCs w:val="20"/>
                <w:color w:val="auto"/>
              </w:rPr>
            </w:pPr>
            <w:r>
              <w:rPr>
                <w:rFonts w:ascii="Arial" w:cs="Arial" w:eastAsia="Arial" w:hAnsi="Arial"/>
                <w:sz w:val="18"/>
                <w:szCs w:val="18"/>
                <w:color w:val="auto"/>
                <w:w w:val="86"/>
              </w:rPr>
              <w:t>to be Purchased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7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9,149,908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9,149,908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9" w:name="page40"/>
    <w:bookmarkEnd w:id="39"/>
    <w:p>
      <w:pPr>
        <w:ind w:left="5060"/>
        <w:spacing w:after="0"/>
        <w:rPr>
          <w:sz w:val="20"/>
          <w:szCs w:val="20"/>
          <w:color w:val="auto"/>
        </w:rPr>
      </w:pPr>
      <w:r>
        <w:rPr>
          <w:rFonts w:ascii="Arial" w:cs="Arial" w:eastAsia="Arial" w:hAnsi="Arial"/>
          <w:sz w:val="22"/>
          <w:szCs w:val="22"/>
          <w:color w:val="auto"/>
        </w:rPr>
        <w:t>SCHEDULE II</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Schedule of Free Writing Prospectuses included in the Disclosure Package</w:t>
      </w:r>
    </w:p>
    <w:p>
      <w:pPr>
        <w:spacing w:after="0" w:line="240"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w:t>
      </w:r>
    </w:p>
    <w:p>
      <w:pPr>
        <w:spacing w:after="0" w:line="24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Additional Documents Incorporated by Reference (other than any portions thereof, which under the Exchange Act and applicable SEC rules, are not deemed “filed”)</w:t>
      </w:r>
    </w:p>
    <w:p>
      <w:pPr>
        <w:spacing w:after="0" w:line="207" w:lineRule="exact"/>
        <w:rPr>
          <w:sz w:val="20"/>
          <w:szCs w:val="20"/>
          <w:color w:val="auto"/>
        </w:rPr>
      </w:pPr>
    </w:p>
    <w:p>
      <w:pPr>
        <w:ind w:left="1140" w:hanging="484"/>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29, 2018 filed February 27, 2019.</w:t>
      </w:r>
    </w:p>
    <w:p>
      <w:pPr>
        <w:spacing w:after="0" w:line="23" w:lineRule="exact"/>
        <w:rPr>
          <w:rFonts w:ascii="Arial" w:cs="Arial" w:eastAsia="Arial" w:hAnsi="Arial"/>
          <w:sz w:val="18"/>
          <w:szCs w:val="18"/>
          <w:color w:val="auto"/>
        </w:rPr>
      </w:pPr>
    </w:p>
    <w:p>
      <w:pPr>
        <w:ind w:left="1140" w:right="640" w:hanging="484"/>
        <w:spacing w:after="0" w:line="250"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30, 2019 and June 29, 2019 (together, the “Quarterly Reports”) filed May 9, 2019 and August 6, 2019, respectively.</w:t>
      </w:r>
    </w:p>
    <w:p>
      <w:pPr>
        <w:ind w:left="1140" w:right="20" w:hanging="484"/>
        <w:spacing w:after="0" w:line="250"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Current Reports on Form 8-K filed on January 10, 2019, February 1, 2019, February 19, 2019, June 13, 2019, July 19, 2019, July 23, 2019 and July 24, 2019.</w:t>
      </w:r>
    </w:p>
    <w:p>
      <w:pPr>
        <w:ind w:left="1140" w:right="80" w:hanging="484"/>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October 24, 2017, including any amendments or reports filed for the purposes of updating such description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Pricing information provided orally by Underwriters</w:t>
      </w:r>
    </w:p>
    <w:p>
      <w:pPr>
        <w:spacing w:after="0" w:line="240" w:lineRule="exact"/>
        <w:rPr>
          <w:sz w:val="20"/>
          <w:szCs w:val="20"/>
          <w:color w:val="auto"/>
        </w:rPr>
      </w:pPr>
    </w:p>
    <w:p>
      <w:pPr>
        <w:ind w:left="1140" w:hanging="48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Number of Securities: 9,149,908 shares of Common Stock</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$31.00 per share</w:t>
      </w:r>
    </w:p>
    <w:p>
      <w:pPr>
        <w:spacing w:after="0" w:line="9" w:lineRule="exact"/>
        <w:rPr>
          <w:rFonts w:ascii="Arial" w:cs="Arial" w:eastAsia="Arial" w:hAnsi="Arial"/>
          <w:sz w:val="18"/>
          <w:szCs w:val="18"/>
          <w:color w:val="auto"/>
        </w:rPr>
      </w:pPr>
    </w:p>
    <w:p>
      <w:pPr>
        <w:ind w:left="1140" w:hanging="484"/>
        <w:spacing w:after="0" w:line="26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Repurchase Shares is 819,134 shares to be purchased at a price per share equal to the price per share paid by the Underwriters to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22"/>
          <w:szCs w:val="22"/>
          <w:color w:val="auto"/>
        </w:rPr>
        <w:t>SCHEDULE III</w:t>
      </w:r>
    </w:p>
    <w:p>
      <w:pPr>
        <w:spacing w:after="0" w:line="234" w:lineRule="exact"/>
        <w:rPr>
          <w:sz w:val="20"/>
          <w:szCs w:val="20"/>
          <w:color w:val="auto"/>
        </w:rPr>
      </w:pPr>
    </w:p>
    <w:p>
      <w:pPr>
        <w:jc w:val="right"/>
        <w:ind w:right="2759"/>
        <w:spacing w:after="0"/>
        <w:rPr>
          <w:sz w:val="20"/>
          <w:szCs w:val="20"/>
          <w:color w:val="auto"/>
        </w:rPr>
      </w:pPr>
      <w:r>
        <w:rPr>
          <w:rFonts w:ascii="Arial" w:cs="Arial" w:eastAsia="Arial" w:hAnsi="Arial"/>
          <w:sz w:val="22"/>
          <w:szCs w:val="22"/>
          <w:color w:val="auto"/>
        </w:rPr>
        <w:t>Significant Subsidiaries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Nautilus Acquisition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41" w:name="page42"/>
    <w:bookmarkEnd w:id="41"/>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[Letterhead of officer or director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Vision Holdings,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Public Offering of Common Stock</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7,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238" w:lineRule="auto"/>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This letter is being delivered to you in connection with the proposed Underwriting Agreement (the “Underwriting Agreement”), among National Vision Holdings, Inc., a Delaware corporation (the “Company”), KKR Vision Aggregator L.P., a Delaware limited partnership (the “Selling Stockholder”), and each of you as representatives of a group of Underwriters named therein, relating to an underwritten public offering of common stock, $0.01 par value (the “Common Stock”), of the Company (the “Offering”).</w:t>
      </w:r>
    </w:p>
    <w:p>
      <w:pPr>
        <w:spacing w:after="0" w:line="215" w:lineRule="exact"/>
        <w:rPr>
          <w:sz w:val="20"/>
          <w:szCs w:val="20"/>
          <w:color w:val="auto"/>
        </w:rPr>
      </w:pPr>
    </w:p>
    <w:p>
      <w:pPr>
        <w:ind w:right="20" w:firstLine="1297"/>
        <w:spacing w:after="0" w:line="244" w:lineRule="auto"/>
        <w:rPr>
          <w:sz w:val="20"/>
          <w:szCs w:val="20"/>
          <w:color w:val="auto"/>
        </w:rPr>
      </w:pPr>
      <w:r>
        <w:rPr>
          <w:rFonts w:ascii="Arial" w:cs="Arial" w:eastAsia="Arial" w:hAnsi="Arial"/>
          <w:sz w:val="21"/>
          <w:szCs w:val="21"/>
          <w:color w:val="auto"/>
        </w:rPr>
        <w:t>In order to induce you and the other Underwriters to enter into the Underwriting Agreement, the undersigned will not, without the prior written consent of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30 days after the date of the Underwriting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foregoing restrictions shall not apply:</w:t>
      </w:r>
    </w:p>
    <w:p>
      <w:pPr>
        <w:spacing w:after="0" w:line="240"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644" w:right="60" w:hanging="644"/>
        <w:spacing w:after="0" w:line="277" w:lineRule="auto"/>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97" w:lineRule="exact"/>
        <w:rPr>
          <w:rFonts w:ascii="Arial" w:cs="Arial" w:eastAsia="Arial" w:hAnsi="Arial"/>
          <w:sz w:val="18"/>
          <w:szCs w:val="18"/>
          <w:color w:val="auto"/>
        </w:rPr>
      </w:pPr>
    </w:p>
    <w:p>
      <w:pPr>
        <w:ind w:left="644" w:right="80" w:hanging="644"/>
        <w:spacing w:after="0" w:line="302" w:lineRule="auto"/>
        <w:tabs>
          <w:tab w:leader="none" w:pos="6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9" w:lineRule="exact"/>
        <w:rPr>
          <w:rFonts w:ascii="Arial" w:cs="Arial" w:eastAsia="Arial" w:hAnsi="Arial"/>
          <w:sz w:val="17"/>
          <w:szCs w:val="17"/>
          <w:color w:val="auto"/>
        </w:rPr>
      </w:pPr>
    </w:p>
    <w:p>
      <w:pPr>
        <w:ind w:left="644" w:right="180" w:hanging="644"/>
        <w:spacing w:after="0" w:line="273"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250825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3" w:name="page44"/>
    <w:bookmarkEnd w:id="43"/>
    <w:p>
      <w:pPr>
        <w:ind w:left="1292" w:right="20" w:hanging="644"/>
        <w:spacing w:after="0" w:line="259" w:lineRule="auto"/>
        <w:tabs>
          <w:tab w:leader="none" w:pos="12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1292" w:right="40" w:hanging="644"/>
        <w:spacing w:after="0" w:line="277" w:lineRule="auto"/>
        <w:tabs>
          <w:tab w:leader="none" w:pos="12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1292" w:hanging="644"/>
        <w:spacing w:after="0"/>
        <w:tabs>
          <w:tab w:leader="none" w:pos="12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1292" w:hanging="644"/>
        <w:spacing w:after="0" w:line="271" w:lineRule="auto"/>
        <w:tabs>
          <w:tab w:leader="none" w:pos="129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 [and]</w:t>
      </w:r>
    </w:p>
    <w:p>
      <w:pPr>
        <w:spacing w:after="0" w:line="205" w:lineRule="exact"/>
        <w:rPr>
          <w:rFonts w:ascii="Arial" w:cs="Arial" w:eastAsia="Arial" w:hAnsi="Arial"/>
          <w:sz w:val="17"/>
          <w:szCs w:val="17"/>
          <w:color w:val="auto"/>
        </w:rPr>
      </w:pPr>
    </w:p>
    <w:p>
      <w:pPr>
        <w:ind w:left="1292" w:right="60" w:hanging="644"/>
        <w:spacing w:after="0" w:line="259" w:lineRule="auto"/>
        <w:tabs>
          <w:tab w:leader="none" w:pos="12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 and]</w:t>
      </w:r>
    </w:p>
    <w:p>
      <w:pPr>
        <w:spacing w:after="0" w:line="204" w:lineRule="exact"/>
        <w:rPr>
          <w:sz w:val="20"/>
          <w:szCs w:val="20"/>
          <w:color w:val="auto"/>
        </w:rPr>
      </w:pPr>
    </w:p>
    <w:p>
      <w:pPr>
        <w:ind w:left="652"/>
        <w:spacing w:after="0"/>
        <w:tabs>
          <w:tab w:leader="none" w:pos="1272" w:val="left"/>
          <w:tab w:leader="none" w:pos="5012" w:val="left"/>
        </w:tabs>
        <w:rPr>
          <w:sz w:val="20"/>
          <w:szCs w:val="20"/>
          <w:color w:val="auto"/>
        </w:rPr>
      </w:pPr>
      <w:r>
        <w:rPr>
          <w:rFonts w:ascii="Arial" w:cs="Arial" w:eastAsia="Arial" w:hAnsi="Arial"/>
          <w:sz w:val="18"/>
          <w:szCs w:val="18"/>
          <w:color w:val="auto"/>
        </w:rPr>
        <w:t>(xiv)</w:t>
      </w:r>
      <w:r>
        <w:rPr>
          <w:sz w:val="20"/>
          <w:szCs w:val="20"/>
          <w:color w:val="auto"/>
        </w:rPr>
        <w:tab/>
      </w:r>
      <w:r>
        <w:rPr>
          <w:rFonts w:ascii="Arial" w:cs="Arial" w:eastAsia="Arial" w:hAnsi="Arial"/>
          <w:sz w:val="18"/>
          <w:szCs w:val="18"/>
          <w:color w:val="auto"/>
        </w:rPr>
        <w:t>[to sales, transfers or dispositions of up to [</w:t>
      </w:r>
      <w:r>
        <w:rPr>
          <w:sz w:val="20"/>
          <w:szCs w:val="20"/>
          <w:color w:val="auto"/>
        </w:rPr>
        <w:tab/>
      </w:r>
      <w:r>
        <w:rPr>
          <w:rFonts w:ascii="Arial" w:cs="Arial" w:eastAsia="Arial" w:hAnsi="Arial"/>
          <w:sz w:val="16"/>
          <w:szCs w:val="16"/>
          <w:color w:val="auto"/>
        </w:rPr>
        <w:t>] Shares.]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449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43" w:lineRule="exact"/>
        <w:rPr>
          <w:sz w:val="20"/>
          <w:szCs w:val="20"/>
          <w:color w:val="auto"/>
        </w:rPr>
      </w:pPr>
    </w:p>
    <w:p>
      <w:pPr>
        <w:ind w:left="152" w:hanging="152"/>
        <w:spacing w:after="0"/>
        <w:tabs>
          <w:tab w:leader="none" w:pos="152" w:val="left"/>
        </w:tabs>
        <w:numPr>
          <w:ilvl w:val="0"/>
          <w:numId w:val="54"/>
        </w:numPr>
        <w:rPr>
          <w:rFonts w:ascii="Arial" w:cs="Arial" w:eastAsia="Arial" w:hAnsi="Arial"/>
          <w:sz w:val="31"/>
          <w:szCs w:val="31"/>
          <w:color w:val="auto"/>
          <w:vertAlign w:val="superscript"/>
        </w:rPr>
      </w:pPr>
      <w:r>
        <w:rPr>
          <w:rFonts w:ascii="Arial" w:cs="Arial" w:eastAsia="Arial" w:hAnsi="Arial"/>
          <w:sz w:val="19"/>
          <w:szCs w:val="19"/>
          <w:color w:val="auto"/>
        </w:rPr>
        <w:t>To be included in the lock-up agreements for Reade (150,000 shares), Patrick (70,000 shares) and John Vaught (50,000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right="40" w:hanging="315"/>
        <w:spacing w:after="0" w:line="255"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above, it shall be a condition to such transfer that each transferee executes and delivers to Goldman Sachs &amp; Co. LLC an agreement in form and substance satisfactory to Goldman Sachs &amp; Co.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220" w:lineRule="exact"/>
        <w:rPr>
          <w:rFonts w:ascii="Arial" w:cs="Arial" w:eastAsia="Arial" w:hAnsi="Arial"/>
          <w:sz w:val="18"/>
          <w:szCs w:val="18"/>
          <w:color w:val="auto"/>
        </w:rPr>
      </w:pPr>
    </w:p>
    <w:p>
      <w:pPr>
        <w:ind w:left="1620" w:hanging="315"/>
        <w:spacing w:after="0" w:line="259"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07"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213" w:lineRule="exact"/>
        <w:rPr>
          <w:sz w:val="20"/>
          <w:szCs w:val="20"/>
          <w:color w:val="auto"/>
        </w:rPr>
      </w:pPr>
    </w:p>
    <w:p>
      <w:pPr>
        <w:ind w:right="640" w:firstLine="1297"/>
        <w:spacing w:after="0" w:line="251" w:lineRule="auto"/>
        <w:rPr>
          <w:sz w:val="20"/>
          <w:szCs w:val="20"/>
          <w:color w:val="auto"/>
        </w:rPr>
      </w:pPr>
      <w:r>
        <w:rPr>
          <w:rFonts w:ascii="Arial" w:cs="Arial" w:eastAsia="Arial" w:hAnsi="Arial"/>
          <w:sz w:val="22"/>
          <w:szCs w:val="22"/>
          <w:color w:val="auto"/>
        </w:rPr>
        <w:t>If for any reason the Underwriting Agreement shall be terminated prior to the Closing Date (as defined in the Underwriting Agreement), the agreement set forth above shall likewise be terminated.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 Reade Fahs</w:t>
      </w:r>
    </w:p>
    <w:p>
      <w:pPr>
        <w:spacing w:after="0" w:line="238" w:lineRule="auto"/>
        <w:rPr>
          <w:sz w:val="20"/>
          <w:szCs w:val="20"/>
          <w:color w:val="auto"/>
        </w:rPr>
      </w:pPr>
      <w:r>
        <w:rPr>
          <w:rFonts w:ascii="Arial" w:cs="Arial" w:eastAsia="Arial" w:hAnsi="Arial"/>
          <w:sz w:val="22"/>
          <w:szCs w:val="22"/>
          <w:color w:val="auto"/>
        </w:rPr>
        <w:t>The Leonard Reade Fahs 2015 GST Trust</w:t>
      </w:r>
    </w:p>
    <w:p>
      <w:pPr>
        <w:spacing w:after="0" w:line="230" w:lineRule="auto"/>
        <w:rPr>
          <w:sz w:val="20"/>
          <w:szCs w:val="20"/>
          <w:color w:val="auto"/>
        </w:rPr>
      </w:pPr>
      <w:r>
        <w:rPr>
          <w:rFonts w:ascii="Arial" w:cs="Arial" w:eastAsia="Arial" w:hAnsi="Arial"/>
          <w:sz w:val="22"/>
          <w:szCs w:val="22"/>
          <w:color w:val="auto"/>
        </w:rPr>
        <w:t>Virginia Hepner</w:t>
      </w:r>
    </w:p>
    <w:p>
      <w:pPr>
        <w:spacing w:after="0" w:line="231" w:lineRule="auto"/>
        <w:rPr>
          <w:sz w:val="20"/>
          <w:szCs w:val="20"/>
          <w:color w:val="auto"/>
        </w:rPr>
      </w:pPr>
      <w:r>
        <w:rPr>
          <w:rFonts w:ascii="Arial" w:cs="Arial" w:eastAsia="Arial" w:hAnsi="Arial"/>
          <w:sz w:val="22"/>
          <w:szCs w:val="22"/>
          <w:color w:val="auto"/>
        </w:rPr>
        <w:t>D. Randolph Peeler</w:t>
      </w:r>
    </w:p>
    <w:p>
      <w:pPr>
        <w:spacing w:after="0" w:line="231" w:lineRule="auto"/>
        <w:rPr>
          <w:sz w:val="20"/>
          <w:szCs w:val="20"/>
          <w:color w:val="auto"/>
        </w:rPr>
      </w:pPr>
      <w:r>
        <w:rPr>
          <w:rFonts w:ascii="Arial" w:cs="Arial" w:eastAsia="Arial" w:hAnsi="Arial"/>
          <w:sz w:val="22"/>
          <w:szCs w:val="22"/>
          <w:color w:val="auto"/>
        </w:rPr>
        <w:t>Nathaniel H. Taylor</w:t>
      </w:r>
    </w:p>
    <w:p>
      <w:pPr>
        <w:spacing w:after="0" w:line="230" w:lineRule="auto"/>
        <w:rPr>
          <w:sz w:val="20"/>
          <w:szCs w:val="20"/>
          <w:color w:val="auto"/>
        </w:rPr>
      </w:pPr>
      <w:r>
        <w:rPr>
          <w:rFonts w:ascii="Arial" w:cs="Arial" w:eastAsia="Arial" w:hAnsi="Arial"/>
          <w:sz w:val="22"/>
          <w:szCs w:val="22"/>
          <w:color w:val="auto"/>
        </w:rPr>
        <w:t>Thomas V. Taylor, Jr.</w:t>
      </w:r>
    </w:p>
    <w:p>
      <w:pPr>
        <w:spacing w:after="0" w:line="231" w:lineRule="auto"/>
        <w:rPr>
          <w:sz w:val="20"/>
          <w:szCs w:val="20"/>
          <w:color w:val="auto"/>
        </w:rPr>
      </w:pPr>
      <w:r>
        <w:rPr>
          <w:rFonts w:ascii="Arial" w:cs="Arial" w:eastAsia="Arial" w:hAnsi="Arial"/>
          <w:sz w:val="22"/>
          <w:szCs w:val="22"/>
          <w:color w:val="auto"/>
        </w:rPr>
        <w:t>David M. Tehle</w:t>
      </w:r>
    </w:p>
    <w:p>
      <w:pPr>
        <w:spacing w:after="0" w:line="231" w:lineRule="auto"/>
        <w:rPr>
          <w:sz w:val="20"/>
          <w:szCs w:val="20"/>
          <w:color w:val="auto"/>
        </w:rPr>
      </w:pPr>
      <w:r>
        <w:rPr>
          <w:rFonts w:ascii="Arial" w:cs="Arial" w:eastAsia="Arial" w:hAnsi="Arial"/>
          <w:sz w:val="22"/>
          <w:szCs w:val="22"/>
          <w:color w:val="auto"/>
        </w:rPr>
        <w:t>Patrick R. Moore</w:t>
      </w:r>
    </w:p>
    <w:p>
      <w:pPr>
        <w:spacing w:after="0" w:line="230" w:lineRule="auto"/>
        <w:rPr>
          <w:sz w:val="20"/>
          <w:szCs w:val="20"/>
          <w:color w:val="auto"/>
        </w:rPr>
      </w:pPr>
      <w:r>
        <w:rPr>
          <w:rFonts w:ascii="Arial" w:cs="Arial" w:eastAsia="Arial" w:hAnsi="Arial"/>
          <w:sz w:val="22"/>
          <w:szCs w:val="22"/>
          <w:color w:val="auto"/>
        </w:rPr>
        <w:t>John Vaught</w:t>
      </w:r>
    </w:p>
    <w:p>
      <w:pPr>
        <w:spacing w:after="0" w:line="231" w:lineRule="auto"/>
        <w:rPr>
          <w:sz w:val="20"/>
          <w:szCs w:val="20"/>
          <w:color w:val="auto"/>
        </w:rPr>
      </w:pPr>
      <w:r>
        <w:rPr>
          <w:rFonts w:ascii="Arial" w:cs="Arial" w:eastAsia="Arial" w:hAnsi="Arial"/>
          <w:sz w:val="22"/>
          <w:szCs w:val="22"/>
          <w:color w:val="auto"/>
        </w:rPr>
        <w:t>Bill Clark</w:t>
      </w:r>
    </w:p>
    <w:p>
      <w:pPr>
        <w:spacing w:after="0" w:line="231" w:lineRule="auto"/>
        <w:rPr>
          <w:sz w:val="20"/>
          <w:szCs w:val="20"/>
          <w:color w:val="auto"/>
        </w:rPr>
      </w:pPr>
      <w:r>
        <w:rPr>
          <w:rFonts w:ascii="Arial" w:cs="Arial" w:eastAsia="Arial" w:hAnsi="Arial"/>
          <w:sz w:val="22"/>
          <w:szCs w:val="22"/>
          <w:color w:val="auto"/>
        </w:rPr>
        <w:t>Heather Cianfrocco</w:t>
      </w:r>
    </w:p>
    <w:p>
      <w:pPr>
        <w:spacing w:after="0" w:line="230" w:lineRule="auto"/>
        <w:rPr>
          <w:sz w:val="20"/>
          <w:szCs w:val="20"/>
          <w:color w:val="auto"/>
        </w:rPr>
      </w:pPr>
      <w:r>
        <w:rPr>
          <w:rFonts w:ascii="Arial" w:cs="Arial" w:eastAsia="Arial" w:hAnsi="Arial"/>
          <w:sz w:val="22"/>
          <w:szCs w:val="22"/>
          <w:color w:val="auto"/>
        </w:rPr>
        <w:t>Melissa Rasmussen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Jared Brandman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National Vision Holdings,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Public Offering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w:t>
      </w:r>
    </w:p>
    <w:p>
      <w:pPr>
        <w:spacing w:after="0" w:line="238" w:lineRule="auto"/>
        <w:rPr>
          <w:sz w:val="20"/>
          <w:szCs w:val="20"/>
          <w:color w:val="auto"/>
        </w:rPr>
      </w:pPr>
      <w:r>
        <w:rPr>
          <w:rFonts w:ascii="Arial" w:cs="Arial" w:eastAsia="Arial" w:hAnsi="Arial"/>
          <w:sz w:val="22"/>
          <w:szCs w:val="22"/>
          <w:color w:val="auto"/>
        </w:rPr>
        <w:t>Officer or Director</w:t>
      </w:r>
    </w:p>
    <w:p>
      <w:pPr>
        <w:spacing w:after="0"/>
        <w:rPr>
          <w:sz w:val="20"/>
          <w:szCs w:val="20"/>
          <w:color w:val="auto"/>
        </w:rPr>
      </w:pPr>
      <w:r>
        <w:rPr>
          <w:rFonts w:ascii="Arial" w:cs="Arial" w:eastAsia="Arial" w:hAnsi="Arial"/>
          <w:sz w:val="22"/>
          <w:szCs w:val="22"/>
          <w:color w:val="auto"/>
        </w:rPr>
        <w:t>Requesting Waiver]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Mr./Ms. [Name]:</w:t>
      </w:r>
    </w:p>
    <w:p>
      <w:pPr>
        <w:spacing w:after="0" w:line="240"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National Vision Holdings, Inc. (the “Company”) of [ ● ] shares of common stock, $0.01 par value (the “Common Stock”), of the Company and the lock-up letter dated [ ● ], 2019 (the “Lock-up Letter”), executed by you in connection with such offering, and your request for a [waiver] [release] dated [ ● ], 20[ ● ], with respect to [ ● ] shares of Common Stock (the “Shares”).</w:t>
      </w:r>
    </w:p>
    <w:p>
      <w:pPr>
        <w:spacing w:after="0" w:line="207" w:lineRule="exact"/>
        <w:rPr>
          <w:sz w:val="20"/>
          <w:szCs w:val="20"/>
          <w:color w:val="auto"/>
        </w:rPr>
      </w:pPr>
    </w:p>
    <w:p>
      <w:pPr>
        <w:ind w:right="200" w:firstLine="1305"/>
        <w:spacing w:after="0" w:line="251" w:lineRule="auto"/>
        <w:tabs>
          <w:tab w:leader="none" w:pos="1423" w:val="left"/>
        </w:tabs>
        <w:numPr>
          <w:ilvl w:val="0"/>
          <w:numId w:val="56"/>
        </w:numPr>
        <w:rPr>
          <w:rFonts w:ascii="Arial" w:cs="Arial" w:eastAsia="Arial" w:hAnsi="Arial"/>
          <w:sz w:val="22"/>
          <w:szCs w:val="22"/>
          <w:color w:val="auto"/>
        </w:rPr>
      </w:pPr>
      <w:r>
        <w:rPr>
          <w:rFonts w:ascii="Arial" w:cs="Arial" w:eastAsia="Arial" w:hAnsi="Arial"/>
          <w:sz w:val="22"/>
          <w:szCs w:val="22"/>
          <w:color w:val="auto"/>
        </w:rPr>
        <w:t>● ] hereby agree to [waive] [release] the transfer restrictions set forth in the Lock-up Letter, but only with respect to the Shares, effective [ ● ], 20[ ● ].</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Except as expressly [waived] [released] hereby, the Lock-up Letter shall remain in full force and effect.</w:t>
      </w:r>
    </w:p>
    <w:p>
      <w:pPr>
        <w:spacing w:after="0" w:line="240"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 ●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Simpson Thacher &amp; Bartlett </w:t>
      </w:r>
      <w:r>
        <w:rPr>
          <w:rFonts w:ascii="Arial" w:cs="Arial" w:eastAsia="Arial" w:hAnsi="Arial"/>
          <w:sz w:val="14"/>
          <w:szCs w:val="14"/>
          <w:b w:val="1"/>
          <w:bCs w:val="1"/>
          <w:color w:val="auto"/>
        </w:rPr>
        <w:t>LLP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425 </w:t>
      </w:r>
      <w:r>
        <w:rPr>
          <w:rFonts w:ascii="Arial" w:cs="Arial" w:eastAsia="Arial" w:hAnsi="Arial"/>
          <w:sz w:val="14"/>
          <w:szCs w:val="14"/>
          <w:color w:val="auto"/>
        </w:rPr>
        <w:t>LEXINGTON AVENUE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21"/>
          <w:szCs w:val="21"/>
          <w:color w:val="auto"/>
        </w:rPr>
        <w:t>,</w:t>
      </w:r>
      <w:r>
        <w:rPr>
          <w:rFonts w:ascii="Arial" w:cs="Arial" w:eastAsia="Arial" w:hAnsi="Arial"/>
          <w:sz w:val="15"/>
          <w:szCs w:val="15"/>
          <w:color w:val="auto"/>
        </w:rPr>
        <w:t xml:space="preserve"> NY </w:t>
      </w:r>
      <w:r>
        <w:rPr>
          <w:rFonts w:ascii="Arial" w:cs="Arial" w:eastAsia="Arial" w:hAnsi="Arial"/>
          <w:sz w:val="21"/>
          <w:szCs w:val="21"/>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157480</wp:posOffset>
            </wp:positionV>
            <wp:extent cx="6343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TELEPHONE</w:t>
      </w:r>
      <w:r>
        <w:rPr>
          <w:rFonts w:ascii="Arial" w:cs="Arial" w:eastAsia="Arial" w:hAnsi="Arial"/>
          <w:sz w:val="21"/>
          <w:szCs w:val="21"/>
          <w:color w:val="auto"/>
        </w:rPr>
        <w:t>: +1-212-455-2000</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FACSIMILE</w:t>
      </w:r>
      <w:r>
        <w:rPr>
          <w:rFonts w:ascii="Arial" w:cs="Arial" w:eastAsia="Arial" w:hAnsi="Arial"/>
          <w:sz w:val="21"/>
          <w:szCs w:val="21"/>
          <w:color w:val="auto"/>
        </w:rPr>
        <w:t>: +1-212-455-2502</w:t>
      </w:r>
    </w:p>
    <w:p>
      <w:pPr>
        <w:spacing w:after="0" w:line="234"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45" w:lineRule="exact"/>
        <w:rPr>
          <w:sz w:val="20"/>
          <w:szCs w:val="20"/>
          <w:color w:val="auto"/>
        </w:rPr>
      </w:pPr>
    </w:p>
    <w:p>
      <w:pPr>
        <w:ind w:left="9980"/>
        <w:spacing w:after="0"/>
        <w:rPr>
          <w:sz w:val="20"/>
          <w:szCs w:val="20"/>
          <w:color w:val="auto"/>
        </w:rPr>
      </w:pPr>
      <w:r>
        <w:rPr>
          <w:rFonts w:ascii="Arial" w:cs="Arial" w:eastAsia="Arial" w:hAnsi="Arial"/>
          <w:sz w:val="19"/>
          <w:szCs w:val="19"/>
          <w:color w:val="auto"/>
        </w:rPr>
        <w:t>August 12, 2019</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238" w:lineRule="auto"/>
        <w:rPr>
          <w:sz w:val="20"/>
          <w:szCs w:val="20"/>
          <w:color w:val="auto"/>
        </w:rPr>
      </w:pPr>
      <w:r>
        <w:rPr>
          <w:rFonts w:ascii="Arial" w:cs="Arial" w:eastAsia="Arial" w:hAnsi="Arial"/>
          <w:sz w:val="22"/>
          <w:szCs w:val="22"/>
          <w:color w:val="auto"/>
        </w:rPr>
        <w:t>2435 Commerce Avenue, Bldg. 2200</w:t>
      </w:r>
    </w:p>
    <w:p>
      <w:pPr>
        <w:spacing w:after="0"/>
        <w:rPr>
          <w:sz w:val="20"/>
          <w:szCs w:val="20"/>
          <w:color w:val="auto"/>
        </w:rPr>
      </w:pPr>
      <w:r>
        <w:rPr>
          <w:rFonts w:ascii="Arial" w:cs="Arial" w:eastAsia="Arial" w:hAnsi="Arial"/>
          <w:sz w:val="22"/>
          <w:szCs w:val="22"/>
          <w:color w:val="auto"/>
        </w:rPr>
        <w:t>Duluth, Georgia 30096-4980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We have acted as counsel to National Vision Holdings, Inc., a Delaware corporation (the “Company”), in connection with the Registration Statement on Form S-3ASR (File No. 333-228382) (the “Registration Statement”) filed by the Company with the Securities and Exchange Commission (the “Commission”) under the Securities Act of 1933, as amended (the “Securities Act”), on November 14, 2018, relating to the sale from time to time of shares of common stock, par value $0.01 per share (the “Common Stock”), of the Company by certain selling stockholders. This opinion relates to the sale by KKR Vision Aggregator L.P. (the “KKR Selling Stockholder”) of an aggregate of 9,149,908 shares of Common Stock (the “Shares”) pursuant to an Underwriting Agreement, dated August 7, 2019 (the “Underwriting Agreement”), among the Company, the KKR Selling Stockholder and the underwriter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0" w:name="page51"/>
    <w:bookmarkEnd w:id="50"/>
    <w:p>
      <w:pPr>
        <w:spacing w:after="0"/>
        <w:tabs>
          <w:tab w:leader="none" w:pos="5620" w:val="left"/>
          <w:tab w:leader="none" w:pos="10200" w:val="left"/>
        </w:tabs>
        <w:rPr>
          <w:sz w:val="20"/>
          <w:szCs w:val="20"/>
          <w:color w:val="auto"/>
        </w:rPr>
      </w:pPr>
      <w:r>
        <w:rPr>
          <w:rFonts w:ascii="Arial" w:cs="Arial" w:eastAsia="Arial" w:hAnsi="Arial"/>
          <w:sz w:val="18"/>
          <w:szCs w:val="18"/>
          <w:color w:val="auto"/>
        </w:rPr>
        <w:t>National Vision Holdings,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12, 2019</w:t>
      </w: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have examined the Registration Statement; the prospectus, dated November 14, 2018 (the “Base Prospectus”), as supplemented by the prospectus supplement dated August 7, 2019 relating to the Shares (together with the Base Prospectus, the “Prospectus”), filed by the Company pursuant to Rule 424(b) of the rules and regulations of the Commission under the Securities Act;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Based upon the foregoing, and subject to the qualifications, assumptions and limitations stated herein, we are of the opinion that the Shares have been validly issued and are fully paid and nonassessable.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express any opinion herein concerning any law other than the Delaware General Corporation Law.</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hereby consent to the filing of this opinion letter as Exhibit 5.1 to the Current Report on Form 8-K filed by the Company with the Commission on August 12, 2019 and to the use of our name under the caption “Legal Matters” in the Prospectus.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4"/>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1)"/>
      <w:numFmt w:val="lowerLetter"/>
      <w:start w:val="9"/>
    </w:lvl>
  </w:abstractNum>
  <w:abstractNum w:abstractNumId="6">
    <w:nsid w:val="737B8DDC"/>
    <w:multiLevelType w:val="hybridMultilevel"/>
    <w:lvl w:ilvl="0">
      <w:lvlJc w:val="left"/>
      <w:lvlText w:val="(%1)"/>
      <w:numFmt w:val="lowerLetter"/>
      <w:start w:val="14"/>
    </w:lvl>
  </w:abstractNum>
  <w:abstractNum w:abstractNumId="7">
    <w:nsid w:val="6CEAF087"/>
    <w:multiLevelType w:val="hybridMultilevel"/>
    <w:lvl w:ilvl="0">
      <w:lvlJc w:val="left"/>
      <w:lvlText w:val="(%1)"/>
      <w:numFmt w:val="lowerLetter"/>
      <w:start w:val="18"/>
    </w:lvl>
  </w:abstractNum>
  <w:abstractNum w:abstractNumId="8">
    <w:nsid w:val="22221A70"/>
    <w:multiLevelType w:val="hybridMultilevel"/>
    <w:lvl w:ilvl="0">
      <w:lvlJc w:val="left"/>
      <w:lvlText w:val="(%1)"/>
      <w:numFmt w:val="lowerLetter"/>
      <w:start w:val="22"/>
    </w:lvl>
  </w:abstractNum>
  <w:abstractNum w:abstractNumId="9">
    <w:nsid w:val="4516DDE9"/>
    <w:multiLevelType w:val="hybridMultilevel"/>
    <w:lvl w:ilvl="0">
      <w:lvlJc w:val="left"/>
      <w:lvlText w:val="(%1)"/>
      <w:numFmt w:val="lowerLetter"/>
      <w:start w:val="27"/>
    </w:lvl>
  </w:abstractNum>
  <w:abstractNum w:abstractNumId="10">
    <w:nsid w:val="3006C83E"/>
    <w:multiLevelType w:val="hybridMultilevel"/>
    <w:lvl w:ilvl="0">
      <w:lvlJc w:val="left"/>
      <w:lvlText w:val="(%1)"/>
      <w:numFmt w:val="lowerLetter"/>
      <w:start w:val="28"/>
    </w:lvl>
  </w:abstractNum>
  <w:abstractNum w:abstractNumId="11">
    <w:nsid w:val="614FD4A1"/>
    <w:multiLevelType w:val="hybridMultilevel"/>
    <w:lvl w:ilvl="0">
      <w:lvlJc w:val="left"/>
      <w:lvlText w:val="(%1)"/>
      <w:numFmt w:val="lowerLetter"/>
      <w:start w:val="33"/>
    </w:lvl>
  </w:abstractNum>
  <w:abstractNum w:abstractNumId="12">
    <w:nsid w:val="419AC241"/>
    <w:multiLevelType w:val="hybridMultilevel"/>
    <w:lvl w:ilvl="0">
      <w:lvlJc w:val="left"/>
      <w:lvlText w:val="§"/>
      <w:numFmt w:val="bullet"/>
      <w:start w:val="1"/>
    </w:lvl>
    <w:lvl w:ilvl="1">
      <w:lvlJc w:val="left"/>
      <w:lvlText w:val="(%2)"/>
      <w:numFmt w:val="lowerLetter"/>
      <w:start w:val="38"/>
    </w:lvl>
  </w:abstractNum>
  <w:abstractNum w:abstractNumId="13">
    <w:nsid w:val="5577F8E1"/>
    <w:multiLevelType w:val="hybridMultilevel"/>
    <w:lvl w:ilvl="0">
      <w:lvlJc w:val="left"/>
      <w:lvlText w:val="(%1)"/>
      <w:numFmt w:val="lowerLetter"/>
      <w:start w:val="41"/>
    </w:lvl>
  </w:abstractNum>
  <w:abstractNum w:abstractNumId="14">
    <w:nsid w:val="440BADFC"/>
    <w:multiLevelType w:val="hybridMultilevel"/>
    <w:lvl w:ilvl="0">
      <w:lvlJc w:val="left"/>
      <w:lvlText w:val="(%1)"/>
      <w:numFmt w:val="lowerLetter"/>
      <w:start w:val="42"/>
    </w:lvl>
  </w:abstractNum>
  <w:abstractNum w:abstractNumId="15">
    <w:nsid w:val="5072367"/>
    <w:multiLevelType w:val="hybridMultilevel"/>
    <w:lvl w:ilvl="0">
      <w:lvlJc w:val="left"/>
      <w:lvlText w:val="%1."/>
      <w:numFmt w:val="decimal"/>
      <w:start w:val="2"/>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4"/>
    </w:lvl>
  </w:abstractNum>
  <w:abstractNum w:abstractNumId="18">
    <w:nsid w:val="7724C67E"/>
    <w:multiLevelType w:val="hybridMultilevel"/>
    <w:lvl w:ilvl="0">
      <w:lvlJc w:val="left"/>
      <w:lvlText w:val="(%1)"/>
      <w:numFmt w:val="lowerRoman"/>
      <w:start w:val="1"/>
    </w:lvl>
  </w:abstractNum>
  <w:abstractNum w:abstractNumId="19">
    <w:nsid w:val="5C482A97"/>
    <w:multiLevelType w:val="hybridMultilevel"/>
    <w:lvl w:ilvl="0">
      <w:lvlJc w:val="left"/>
      <w:lvlText w:val="%1."/>
      <w:numFmt w:val="decimal"/>
      <w:start w:val="3"/>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decimal"/>
      <w:start w:val="4"/>
    </w:lvl>
  </w:abstractNum>
  <w:abstractNum w:abstractNumId="22">
    <w:nsid w:val="51EAD36B"/>
    <w:multiLevelType w:val="hybridMultilevel"/>
    <w:lvl w:ilvl="0">
      <w:lvlJc w:val="left"/>
      <w:lvlText w:val="%1."/>
      <w:numFmt w:val="decimal"/>
      <w:start w:val="6"/>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lowerLetter"/>
      <w:start w:val="8"/>
    </w:lvl>
  </w:abstractNum>
  <w:abstractNum w:abstractNumId="26">
    <w:nsid w:val="3855585C"/>
    <w:multiLevelType w:val="hybridMultilevel"/>
    <w:lvl w:ilvl="0">
      <w:lvlJc w:val="left"/>
      <w:lvlText w:val="(%1)"/>
      <w:numFmt w:val="lowerLetter"/>
      <w:start w:val="11"/>
    </w:lvl>
  </w:abstractNum>
  <w:abstractNum w:abstractNumId="27">
    <w:nsid w:val="70A64E2A"/>
    <w:multiLevelType w:val="hybridMultilevel"/>
    <w:lvl w:ilvl="0">
      <w:lvlJc w:val="left"/>
      <w:lvlText w:val="(%1)"/>
      <w:numFmt w:val="lowerLetter"/>
      <w:start w:val="13"/>
    </w:lvl>
  </w:abstractNum>
  <w:abstractNum w:abstractNumId="28">
    <w:nsid w:val="6A2342EC"/>
    <w:multiLevelType w:val="hybridMultilevel"/>
    <w:lvl w:ilvl="0">
      <w:lvlJc w:val="left"/>
      <w:lvlText w:val="%1."/>
      <w:numFmt w:val="decimal"/>
      <w:start w:val="7"/>
    </w:lvl>
    <w:lvl w:ilvl="1">
      <w:lvlJc w:val="left"/>
      <w:lvlText w:val="(%2)"/>
      <w:numFmt w:val="lowerLetter"/>
      <w:start w:val="1"/>
    </w:lvl>
  </w:abstractNum>
  <w:abstractNum w:abstractNumId="29">
    <w:nsid w:val="2A487CB0"/>
    <w:multiLevelType w:val="hybridMultilevel"/>
    <w:lvl w:ilvl="0">
      <w:lvlJc w:val="left"/>
      <w:lvlText w:val="%1."/>
      <w:numFmt w:val="decimal"/>
      <w:start w:val="8"/>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lvl w:ilvl="1">
      <w:lvlJc w:val="left"/>
      <w:lvlText w:val="(%2)"/>
      <w:numFmt w:val="lowerLetter"/>
      <w:start w:val="35"/>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lowerLetter"/>
      <w:start w:val="5"/>
    </w:lvl>
    <w:lvl w:ilvl="1">
      <w:lvlJc w:val="left"/>
      <w:lvlText w:val="(%2)"/>
      <w:numFmt w:val="decimal"/>
      <w:start w:val="1"/>
    </w:lvl>
  </w:abstractNum>
  <w:abstractNum w:abstractNumId="34">
    <w:nsid w:val="7A6D8D3C"/>
    <w:multiLevelType w:val="hybridMultilevel"/>
    <w:lvl w:ilvl="0">
      <w:lvlJc w:val="left"/>
      <w:lvlText w:val="(%1)"/>
      <w:numFmt w:val="lowerLetter"/>
      <w:start w:val="13"/>
    </w:lvl>
  </w:abstractNum>
  <w:abstractNum w:abstractNumId="35">
    <w:nsid w:val="4B588F54"/>
    <w:multiLevelType w:val="hybridMultilevel"/>
    <w:lvl w:ilvl="0">
      <w:lvlJc w:val="left"/>
      <w:lvlText w:val="%1."/>
      <w:numFmt w:val="decimal"/>
      <w:start w:val="9"/>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2"/>
    </w:lvl>
  </w:abstractNum>
  <w:abstractNum w:abstractNumId="38">
    <w:nsid w:val="38437FDB"/>
    <w:multiLevelType w:val="hybridMultilevel"/>
    <w:lvl w:ilvl="0">
      <w:lvlJc w:val="left"/>
      <w:lvlText w:val="(%1)"/>
      <w:numFmt w:val="lowerLetter"/>
      <w:start w:val="4"/>
    </w:lvl>
  </w:abstractNum>
  <w:abstractNum w:abstractNumId="39">
    <w:nsid w:val="7644A45C"/>
    <w:multiLevelType w:val="hybridMultilevel"/>
    <w:lvl w:ilvl="0">
      <w:lvlJc w:val="left"/>
      <w:lvlText w:val="(%1)"/>
      <w:numFmt w:val="lowerLetter"/>
      <w:start w:val="5"/>
    </w:lvl>
  </w:abstractNum>
  <w:abstractNum w:abstractNumId="40">
    <w:nsid w:val="32FFF902"/>
    <w:multiLevelType w:val="hybridMultilevel"/>
    <w:lvl w:ilvl="0">
      <w:lvlJc w:val="left"/>
      <w:lvlText w:val="%1."/>
      <w:numFmt w:val="decimal"/>
      <w:start w:val="11"/>
    </w:lvl>
  </w:abstractNum>
  <w:abstractNum w:abstractNumId="41">
    <w:nsid w:val="684A481A"/>
    <w:multiLevelType w:val="hybridMultilevel"/>
    <w:lvl w:ilvl="0">
      <w:lvlJc w:val="left"/>
      <w:lvlText w:val="%1."/>
      <w:numFmt w:val="decimal"/>
      <w:start w:val="13"/>
    </w:lvl>
  </w:abstractNum>
  <w:abstractNum w:abstractNumId="42">
    <w:nsid w:val="579478FE"/>
    <w:multiLevelType w:val="hybridMultilevel"/>
    <w:lvl w:ilvl="0">
      <w:lvlJc w:val="left"/>
      <w:lvlText w:val="%1."/>
      <w:numFmt w:val="decimal"/>
      <w:start w:val="18"/>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20"/>
    </w:lvl>
  </w:abstractNum>
  <w:abstractNum w:abstractNumId="45">
    <w:nsid w:val="1BA026FA"/>
    <w:multiLevelType w:val="hybridMultilevel"/>
    <w:lvl w:ilvl="0">
      <w:lvlJc w:val="left"/>
      <w:lvlText w:val="%1."/>
      <w:numFmt w:val="decimal"/>
      <w:start w:val="21"/>
    </w:lvl>
  </w:abstractNum>
  <w:abstractNum w:abstractNumId="46">
    <w:nsid w:val="79A1DEAA"/>
    <w:multiLevelType w:val="hybridMultilevel"/>
    <w:lvl w:ilvl="0">
      <w:lvlJc w:val="left"/>
      <w:lvlText w:val="%1."/>
      <w:numFmt w:val="decimal"/>
      <w:start w:val="25"/>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lowerRoman"/>
      <w:start w:val="1"/>
    </w:lvl>
  </w:abstractNum>
  <w:abstractNum w:abstractNumId="51">
    <w:nsid w:val="374A3FE6"/>
    <w:multiLevelType w:val="hybridMultilevel"/>
    <w:lvl w:ilvl="0">
      <w:lvlJc w:val="left"/>
      <w:lvlText w:val="(%1)"/>
      <w:numFmt w:val="lowerRoman"/>
      <w:start w:val="2"/>
    </w:lvl>
  </w:abstractNum>
  <w:abstractNum w:abstractNumId="52">
    <w:nsid w:val="4F4EF005"/>
    <w:multiLevelType w:val="hybridMultilevel"/>
    <w:lvl w:ilvl="0">
      <w:lvlJc w:val="left"/>
      <w:lvlText w:val="(%1)"/>
      <w:numFmt w:val="lowerRoman"/>
      <w:start w:val="9"/>
    </w:lvl>
  </w:abstractNum>
  <w:abstractNum w:abstractNumId="53">
    <w:nsid w:val="23F9C13C"/>
    <w:multiLevelType w:val="hybridMultilevel"/>
    <w:lvl w:ilvl="0">
      <w:lvlJc w:val="left"/>
      <w:lvlText w:val="1"/>
      <w:numFmt w:val="bullet"/>
      <w:start w:val="1"/>
    </w:lvl>
  </w:abstractNum>
  <w:abstractNum w:abstractNumId="54">
    <w:nsid w:val="649BB77C"/>
    <w:multiLevelType w:val="hybridMultilevel"/>
    <w:lvl w:ilvl="0">
      <w:lvlJc w:val="left"/>
      <w:lvlText w:val="%1."/>
      <w:numFmt w:val="upperLetter"/>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2019-12-28T07:17:56Z</dcterms:created>
  <dcterms:modified xsi:type="dcterms:W3CDTF">2019-12-28T07:17:56Z</dcterms:modified>
</cp:coreProperties>
</file>