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80" w:type="dxa"/>
            <w:vAlign w:val="bottom"/>
            <w:vMerge w:val="restart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OMB APPROVAL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80" w:type="dxa"/>
            <w:vAlign w:val="bottom"/>
            <w:vMerge w:val="restart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6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7211060</wp:posOffset>
            </wp:positionH>
            <wp:positionV relativeFrom="paragraph">
              <wp:posOffset>-525145</wp:posOffset>
            </wp:positionV>
            <wp:extent cx="52705" cy="538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53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5842000</wp:posOffset>
            </wp:positionH>
            <wp:positionV relativeFrom="paragraph">
              <wp:posOffset>-525145</wp:posOffset>
            </wp:positionV>
            <wp:extent cx="52705" cy="538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53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-8255</wp:posOffset>
            </wp:positionH>
            <wp:positionV relativeFrom="paragraph">
              <wp:posOffset>10160</wp:posOffset>
            </wp:positionV>
            <wp:extent cx="7299960" cy="28378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960" cy="283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60"/>
          </w:cols>
          <w:pgMar w:left="220" w:top="209" w:right="219" w:bottom="1440" w:gutter="0" w:footer="0" w:header="0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Clark Bill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52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06/11/2019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3. Issuer Name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6"/>
          <w:szCs w:val="16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National Vision Holdings, Inc.</w:t>
        </w:r>
        <w:r>
          <w:rPr>
            <w:rFonts w:ascii="Arial" w:cs="Arial" w:eastAsia="Arial" w:hAnsi="Arial"/>
            <w:sz w:val="16"/>
            <w:szCs w:val="16"/>
            <w:color w:val="0000EE"/>
          </w:rPr>
          <w:t xml:space="preserve"> </w:t>
        </w:r>
      </w:hyperlink>
      <w:r>
        <w:rPr>
          <w:rFonts w:ascii="Arial" w:cs="Arial" w:eastAsia="Arial" w:hAnsi="Arial"/>
          <w:sz w:val="16"/>
          <w:szCs w:val="16"/>
          <w:color w:val="000000"/>
        </w:rPr>
        <w:t>[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EYE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8" w:space="720"/>
            <w:col w:w="1362" w:space="360"/>
            <w:col w:w="6240"/>
          </w:cols>
          <w:pgMar w:left="220" w:top="209" w:right="21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8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NATIONAL VISION HOLDINGS, INC.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2435 COMMERCE AVENUE, BLDG. 2200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(Street)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8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0000FF"/>
        </w:rPr>
        <w:t>30096-4980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" w:right="940" w:hanging="9"/>
        <w:spacing w:after="0" w:line="235" w:lineRule="auto"/>
        <w:tabs>
          <w:tab w:leader="none" w:pos="128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2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SVP, Chief People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22" w:hanging="122"/>
        <w:spacing w:after="0"/>
        <w:tabs>
          <w:tab w:leader="none" w:pos="122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0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82" w:right="80" w:hanging="182"/>
        <w:spacing w:after="0" w:line="292" w:lineRule="auto"/>
        <w:tabs>
          <w:tab w:leader="none" w:pos="126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4"/>
          <w:szCs w:val="14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462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91" w:space="720"/>
            <w:col w:w="3209" w:space="218"/>
            <w:col w:w="2822"/>
          </w:cols>
          <w:pgMar w:left="220" w:top="209" w:right="21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8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 - Non-Derivative Securities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820" w:type="dxa"/>
            <w:vAlign w:val="bottom"/>
          </w:tcPr>
          <w:p>
            <w:pPr>
              <w:ind w:left="1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3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18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II - Derivative Securities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200" w:type="dxa"/>
            <w:vAlign w:val="bottom"/>
          </w:tcPr>
          <w:p>
            <w:pPr>
              <w:ind w:left="5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3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Exhibit List: Exhibit 24 - Power of Attorney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/s/ Jared Brandman, as Attorney-in-Fact 06/13/2019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00" w:hanging="1"/>
        <w:spacing w:after="0" w:line="335" w:lineRule="auto"/>
        <w:tabs>
          <w:tab w:leader="none" w:pos="154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60"/>
          </w:cols>
          <w:pgMar w:left="220" w:top="209" w:right="21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307975</wp:posOffset>
            </wp:positionV>
            <wp:extent cx="7217410" cy="9467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7410" cy="946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778111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2019-12-24T09:17:25Z</dcterms:created>
  <dcterms:modified xsi:type="dcterms:W3CDTF">2019-12-24T09:17:25Z</dcterms:modified>
</cp:coreProperties>
</file>