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4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52" w:lineRule="exact"/>
        <w:rPr>
          <w:sz w:val="24"/>
          <w:szCs w:val="24"/>
          <w:color w:val="auto"/>
        </w:rPr>
      </w:pPr>
    </w:p>
    <w:p>
      <w:pPr>
        <w:ind w:left="38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0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5363845</wp:posOffset>
            </wp:positionH>
            <wp:positionV relativeFrom="paragraph">
              <wp:posOffset>-625475</wp:posOffset>
            </wp:positionV>
            <wp:extent cx="8255" cy="62611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261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4060825</wp:posOffset>
            </wp:positionH>
            <wp:positionV relativeFrom="paragraph">
              <wp:posOffset>-633730</wp:posOffset>
            </wp:positionV>
            <wp:extent cx="8255" cy="6343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255" cy="6343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4086225</wp:posOffset>
            </wp:positionH>
            <wp:positionV relativeFrom="paragraph">
              <wp:posOffset>-608330</wp:posOffset>
            </wp:positionV>
            <wp:extent cx="1260475" cy="5835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60475" cy="5835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-1557020</wp:posOffset>
            </wp:positionH>
            <wp:positionV relativeFrom="paragraph">
              <wp:posOffset>40640</wp:posOffset>
            </wp:positionV>
            <wp:extent cx="69640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4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Armario Jose</w:t>
        </w:r>
      </w:hyperlink>
    </w:p>
    <w:p>
      <w:pPr>
        <w:spacing w:after="0" w:line="30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9" w:lineRule="exact"/>
        <w:rPr>
          <w:sz w:val="24"/>
          <w:szCs w:val="24"/>
          <w:color w:val="auto"/>
        </w:rPr>
      </w:pPr>
    </w:p>
    <w:p>
      <w:pPr>
        <w:ind w:left="120" w:right="44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NATIONAL VISION HOLDINGS, INC. 2435 COMMERCE AVENUE, BLDG 2200</w:t>
      </w:r>
    </w:p>
    <w:p>
      <w:pPr>
        <w:spacing w:after="0" w:line="163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9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DULUTH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GA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30096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 w:line="213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u w:val="single" w:color="auto"/>
                  <w:color w:val="0000EE"/>
                </w:rPr>
                <w:t>National Vision Holdings, Inc.</w:t>
              </w:r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EYE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7"/>
        </w:trPr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7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02/04/2021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3"/>
        </w:trPr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ind w:left="4100"/>
        <w:spacing w:after="0"/>
        <w:tabs>
          <w:tab w:leader="none" w:pos="440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86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1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-2433320</wp:posOffset>
            </wp:positionH>
            <wp:positionV relativeFrom="paragraph">
              <wp:posOffset>269240</wp:posOffset>
            </wp:positionV>
            <wp:extent cx="6964045" cy="112522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64045" cy="112522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8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9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6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3140" w:type="dxa"/>
            <w:vAlign w:val="bottom"/>
            <w:gridSpan w:val="8"/>
          </w:tcPr>
          <w:p>
            <w:pPr>
              <w:ind w:left="8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29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02/04/2021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2,112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5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2,112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9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4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4445</wp:posOffset>
            </wp:positionH>
            <wp:positionV relativeFrom="paragraph">
              <wp:posOffset>-1753235</wp:posOffset>
            </wp:positionV>
            <wp:extent cx="7031355" cy="179387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31355" cy="17938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64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6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Restricted stock award granted as director compensation, which will vest on the first anniversary of the grant date, subject to continued service through the applicable vesting date.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6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58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Jared Brandman, as</w:t>
            </w:r>
          </w:p>
        </w:tc>
        <w:tc>
          <w:tcPr>
            <w:tcW w:w="5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02/08/2021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180" w:type="dxa"/>
            <w:vAlign w:val="bottom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Attorney-in-Fact</w:t>
            </w:r>
          </w:p>
        </w:tc>
        <w:tc>
          <w:tcPr>
            <w:tcW w:w="9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1180" w:type="dxa"/>
            <w:vAlign w:val="bottom"/>
            <w:tcBorders>
              <w:bottom w:val="single" w:sz="8" w:color="auto"/>
            </w:tcBorders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1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19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3" Type="http://schemas.openxmlformats.org/officeDocument/2006/relationships/hyperlink" Target="http://www.sec.gov/cgi-bin/browse-edgar?action=getcompany&amp;CIK=0001377480" TargetMode="External"/><Relationship Id="rId14" Type="http://schemas.openxmlformats.org/officeDocument/2006/relationships/hyperlink" Target="http://www.sec.gov/cgi-bin/browse-edgar?action=getcompany&amp;CIK=000171015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2021-02-08T15:35:47Z</dcterms:created>
  <dcterms:modified xsi:type="dcterms:W3CDTF">2021-02-08T15:35:47Z</dcterms:modified>
</cp:coreProperties>
</file>