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0"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UNITED STATES</w:t>
      </w:r>
    </w:p>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SECURITIES AND EXCHANGE COMMISSION</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120"/>
        <w:jc w:val="center"/>
        <w:rPr/>
      </w:pPr>
      <w:r>
        <w:rPr/>
      </w:r>
    </w:p>
    <w:p>
      <w:pPr>
        <w:pStyle w:val="TextBody"/>
        <w:bidi w:val="0"/>
        <w:spacing w:lineRule="auto" w:line="276" w:before="0" w:after="10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0"/>
        <w:jc w:val="center"/>
        <w:rPr>
          <w:rFonts w:ascii="Arial;sans-serif" w:hAnsi="Arial;sans-serif"/>
          <w:b/>
          <w:color w:val="000000"/>
          <w:sz w:val="34"/>
        </w:rPr>
      </w:pPr>
      <w:r>
        <w:rPr>
          <w:rFonts w:ascii="Arial;sans-serif" w:hAnsi="Arial;sans-serif"/>
          <w:b/>
          <w:color w:val="000000"/>
          <w:sz w:val="34"/>
        </w:rPr>
        <w:t xml:space="preserve">FORM 8-K </w:t>
      </w:r>
    </w:p>
    <w:p>
      <w:pPr>
        <w:pStyle w:val="TextBody"/>
        <w:bidi w:val="0"/>
        <w:spacing w:lineRule="auto" w:line="276" w:before="10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before="100" w:after="283"/>
        <w:jc w:val="center"/>
        <w:rPr/>
      </w:pPr>
      <w:r>
        <w:rPr/>
      </w:r>
    </w:p>
    <w:p>
      <w:pPr>
        <w:pStyle w:val="TextBody"/>
        <w:bidi w:val="0"/>
        <w:spacing w:lineRule="auto" w:line="276" w:before="0" w:after="10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76" w:before="0" w:after="100"/>
        <w:jc w:val="center"/>
        <w:rPr>
          <w:rFonts w:ascii="Arial;sans-serif" w:hAnsi="Arial;sans-serif"/>
          <w:b/>
          <w:color w:val="000000"/>
          <w:sz w:val="18"/>
        </w:rPr>
      </w:pPr>
      <w:r>
        <w:rPr>
          <w:rFonts w:ascii="Arial;sans-serif" w:hAnsi="Arial;sans-serif"/>
          <w:b/>
          <w:color w:val="000000"/>
          <w:sz w:val="18"/>
        </w:rPr>
        <w:t>Date of Report (Date of earliest event reported):</w:t>
      </w:r>
    </w:p>
    <w:p>
      <w:pPr>
        <w:pStyle w:val="TextBody"/>
        <w:bidi w:val="0"/>
        <w:spacing w:lineRule="auto" w:line="276" w:before="0" w:after="100"/>
        <w:jc w:val="center"/>
        <w:rPr/>
      </w:pPr>
      <w:r>
        <w:rPr>
          <w:rFonts w:ascii="Arial;sans-serif" w:hAnsi="Arial;sans-serif"/>
          <w:b/>
          <w:color w:val="000000"/>
          <w:sz w:val="20"/>
        </w:rPr>
        <w:t>November 5, 2025</w:t>
      </w:r>
      <w:r>
        <w:rPr>
          <w:color w:val="000000"/>
        </w:rPr>
        <w:t xml:space="preserve"> </w:t>
      </w:r>
    </w:p>
    <w:p>
      <w:pPr>
        <w:pStyle w:val="TextBody"/>
        <w:bidi w:val="0"/>
        <w:spacing w:lineRule="auto" w:line="276" w:before="0" w:after="10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76" w:before="0" w:after="0"/>
        <w:jc w:val="center"/>
        <w:rPr>
          <w:rFonts w:ascii="Arial;sans-serif" w:hAnsi="Arial;sans-serif"/>
          <w:b/>
          <w:color w:val="000000"/>
          <w:sz w:val="32"/>
        </w:rPr>
      </w:pPr>
      <w:r>
        <w:rPr>
          <w:rFonts w:ascii="Arial;sans-serif" w:hAnsi="Arial;sans-serif"/>
          <w:b/>
          <w:color w:val="000000"/>
          <w:sz w:val="32"/>
        </w:rPr>
        <w:t xml:space="preserve">National Vision Holdings, Inc. </w:t>
      </w:r>
    </w:p>
    <w:p>
      <w:pPr>
        <w:pStyle w:val="TextBody"/>
        <w:bidi w:val="0"/>
        <w:spacing w:lineRule="auto" w:line="276" w:before="0" w:after="12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76" w:before="100" w:after="283"/>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before="100" w:after="283"/>
        <w:jc w:val="center"/>
        <w:rPr/>
      </w:pPr>
      <w:r>
        <w:rPr/>
      </w:r>
    </w:p>
    <w:p>
      <w:pPr>
        <w:pStyle w:val="TextBody"/>
        <w:bidi w:val="0"/>
        <w:spacing w:lineRule="auto" w:line="276" w:before="0" w:after="40"/>
        <w:jc w:val="center"/>
        <w:rPr>
          <w:rFonts w:ascii="Arial;sans-serif" w:hAnsi="Arial;sans-serif"/>
          <w:b/>
          <w:color w:val="000000"/>
          <w:sz w:val="18"/>
        </w:rPr>
      </w:pPr>
      <w:r>
        <w:rPr>
          <w:rFonts w:ascii="Arial;sans-serif" w:hAnsi="Arial;sans-serif"/>
          <w:b/>
          <w:color w:val="000000"/>
          <w:sz w:val="18"/>
        </w:rPr>
        <w:t xml:space="preserve">001-38257 </w:t>
      </w:r>
    </w:p>
    <w:p>
      <w:pPr>
        <w:pStyle w:val="TextBody"/>
        <w:bidi w:val="0"/>
        <w:spacing w:lineRule="auto" w:line="276" w:before="0" w:after="40"/>
        <w:jc w:val="center"/>
        <w:rPr>
          <w:rFonts w:ascii="Arial;sans-serif" w:hAnsi="Arial;sans-serif"/>
          <w:b w:val="false"/>
          <w:color w:val="000000"/>
          <w:sz w:val="18"/>
        </w:rPr>
      </w:pPr>
      <w:r>
        <w:rPr>
          <w:rFonts w:ascii="Arial;sans-serif" w:hAnsi="Arial;sans-serif"/>
          <w:b w:val="false"/>
          <w:color w:val="000000"/>
          <w:sz w:val="18"/>
        </w:rPr>
        <w:t xml:space="preserve">(Commission file number) </w:t>
      </w:r>
    </w:p>
    <w:tbl>
      <w:tblPr>
        <w:tblW w:w="5155" w:type="dxa"/>
        <w:jc w:val="center"/>
        <w:tblInd w:w="0" w:type="dxa"/>
        <w:tblLayout w:type="fixed"/>
        <w:tblCellMar>
          <w:top w:w="28" w:type="dxa"/>
          <w:left w:w="28" w:type="dxa"/>
          <w:bottom w:w="28" w:type="dxa"/>
          <w:right w:w="28" w:type="dxa"/>
        </w:tblCellMar>
      </w:tblPr>
      <w:tblGrid>
        <w:gridCol w:w="1176"/>
        <w:gridCol w:w="1032"/>
        <w:gridCol w:w="1046"/>
        <w:gridCol w:w="109"/>
        <w:gridCol w:w="109"/>
        <w:gridCol w:w="109"/>
        <w:gridCol w:w="459"/>
        <w:gridCol w:w="459"/>
        <w:gridCol w:w="656"/>
      </w:tblGrid>
      <w:tr>
        <w:trPr/>
        <w:tc>
          <w:tcPr>
            <w:tcW w:w="117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46-4841717</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w:t>
              <w:br/>
              <w:t>Identification No.)</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2435 Commerce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Building 2200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30096</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Duluth,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(770) 822</w:t>
        <w:noBreakHyphen/>
        <w:t xml:space="preserve">3600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76" w:before="100" w:after="120"/>
        <w:jc w:val="center"/>
        <w:rPr>
          <w:rFonts w:ascii="Arial;sans-serif" w:hAnsi="Arial;sans-serif"/>
          <w:b/>
          <w:color w:val="000000"/>
          <w:sz w:val="12"/>
        </w:rPr>
      </w:pPr>
      <w:r>
        <w:rPr>
          <w:rFonts w:ascii="Arial;sans-serif" w:hAnsi="Arial;sans-serif"/>
          <w:b/>
          <w:color w:val="000000"/>
          <w:sz w:val="12"/>
        </w:rPr>
        <w:t>_______________________________________________________________________</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60" w:after="60"/>
        <w:ind w:left="0" w:right="0" w:hanging="360"/>
        <w:jc w:val="left"/>
        <w:rPr>
          <w:color w:val="000000"/>
        </w:rPr>
      </w:pPr>
      <w:r>
        <w:rPr>
          <w:color w:val="000000"/>
        </w:rPr>
        <w:t>☐    </w:t>
      </w:r>
      <w:r>
        <w:rPr>
          <w:rFonts w:ascii="Arial;sans-serif" w:hAnsi="Arial;sans-serif"/>
          <w:b w:val="false"/>
          <w:color w:val="000000"/>
          <w:sz w:val="20"/>
        </w:rPr>
        <w:t>Written communications pursuant to Rule 425 under the Securities Act (17 CFR 230.42)</w:t>
      </w:r>
    </w:p>
    <w:p>
      <w:pPr>
        <w:pStyle w:val="TextBody"/>
        <w:bidi w:val="0"/>
        <w:spacing w:lineRule="auto" w:line="288" w:before="60" w:after="60"/>
        <w:ind w:left="0" w:right="0" w:hanging="360"/>
        <w:jc w:val="left"/>
        <w:rPr/>
      </w:pPr>
      <w:r>
        <w:rPr>
          <w:color w:val="000000"/>
        </w:rPr>
        <w:t>☐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60" w:after="60"/>
        <w:ind w:left="0" w:right="0" w:hanging="360"/>
        <w:jc w:val="left"/>
        <w:rPr/>
      </w:pPr>
      <w:r>
        <w:rPr>
          <w:color w:val="000000"/>
        </w:rPr>
        <w:t>☐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60" w:after="120"/>
        <w:ind w:left="0" w:right="0" w:hanging="360"/>
        <w:jc w:val="left"/>
        <w:rPr/>
      </w:pPr>
      <w:r>
        <w:rPr>
          <w:color w:val="000000"/>
        </w:rPr>
        <w:t>☐    </w:t>
      </w:r>
      <w:r>
        <w:rPr>
          <w:rFonts w:ascii="Arial;sans-serif" w:hAnsi="Arial;sans-serif"/>
          <w:b w:val="false"/>
          <w:color w:val="000000"/>
          <w:sz w:val="20"/>
        </w:rPr>
        <w:t>Pre-commencement communications pursuant to Rule 13e-4(c) under the Exchange Act (17 CFR 240.13e-4(c))</w:t>
      </w:r>
    </w:p>
    <w:p>
      <w:pPr>
        <w:pStyle w:val="TextBody"/>
        <w:bidi w:val="0"/>
        <w:spacing w:before="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116" w:type="dxa"/>
        <w:jc w:val="left"/>
        <w:tblInd w:w="0" w:type="dxa"/>
        <w:tblLayout w:type="fixed"/>
        <w:tblCellMar>
          <w:top w:w="28" w:type="dxa"/>
          <w:left w:w="28" w:type="dxa"/>
          <w:bottom w:w="28" w:type="dxa"/>
          <w:right w:w="28" w:type="dxa"/>
        </w:tblCellMar>
      </w:tblPr>
      <w:tblGrid>
        <w:gridCol w:w="1363"/>
        <w:gridCol w:w="1194"/>
        <w:gridCol w:w="1207"/>
        <w:gridCol w:w="109"/>
        <w:gridCol w:w="109"/>
        <w:gridCol w:w="109"/>
        <w:gridCol w:w="564"/>
        <w:gridCol w:w="564"/>
        <w:gridCol w:w="566"/>
        <w:gridCol w:w="109"/>
        <w:gridCol w:w="109"/>
        <w:gridCol w:w="109"/>
        <w:gridCol w:w="1170"/>
        <w:gridCol w:w="1170"/>
        <w:gridCol w:w="1664"/>
      </w:tblGrid>
      <w:tr>
        <w:trPr/>
        <w:tc>
          <w:tcPr>
            <w:tcW w:w="136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EYE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Nasdaq</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0"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On November 5, 2025, National Vision Holdings, Inc. (“National Vision”) issued a press release announcing financial results for the quarter ended September 27, 2025.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copy of the release is furnished herewith as Exhibit 99.1 and incorporated by reference herein.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120"/>
        <w:jc w:val="left"/>
        <w:rPr/>
      </w:pPr>
      <w:r>
        <w:rPr>
          <w:rFonts w:ascii="Arial;sans-serif" w:hAnsi="Arial;sans-serif"/>
          <w:b w:val="false"/>
          <w:color w:val="000000"/>
          <w:sz w:val="20"/>
        </w:rPr>
        <w:t xml:space="preserve">(d) </w:t>
      </w:r>
      <w:r>
        <w:rPr>
          <w:rFonts w:ascii="Arial;sans-serif" w:hAnsi="Arial;sans-serif"/>
          <w:b w:val="false"/>
          <w:i/>
          <w:color w:val="000000"/>
          <w:sz w:val="20"/>
        </w:rPr>
        <w:t>Exhibits.</w:t>
      </w:r>
    </w:p>
    <w:tbl>
      <w:tblPr>
        <w:tblW w:w="10205" w:type="dxa"/>
        <w:jc w:val="center"/>
        <w:tblInd w:w="0" w:type="dxa"/>
        <w:tblLayout w:type="fixed"/>
        <w:tblCellMar>
          <w:top w:w="28" w:type="dxa"/>
          <w:left w:w="28" w:type="dxa"/>
          <w:bottom w:w="28" w:type="dxa"/>
          <w:right w:w="28" w:type="dxa"/>
        </w:tblCellMar>
      </w:tblPr>
      <w:tblGrid>
        <w:gridCol w:w="382"/>
        <w:gridCol w:w="335"/>
        <w:gridCol w:w="338"/>
        <w:gridCol w:w="2673"/>
        <w:gridCol w:w="2673"/>
        <w:gridCol w:w="3804"/>
      </w:tblGrid>
      <w:tr>
        <w:trPr/>
        <w:tc>
          <w:tcPr>
            <w:tcW w:w="3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55" w:type="dxa"/>
            <w:gridSpan w:val="3"/>
            <w:tcBorders/>
            <w:vAlign w:val="center"/>
          </w:tcPr>
          <w:p>
            <w:pPr>
              <w:pStyle w:val="TableContents"/>
              <w:bidi w:val="0"/>
              <w:spacing w:before="0" w:after="283"/>
              <w:jc w:val="left"/>
              <w:rPr>
                <w:sz w:val="4"/>
                <w:szCs w:val="4"/>
              </w:rPr>
            </w:pPr>
            <w:r>
              <w:rPr>
                <w:sz w:val="4"/>
                <w:szCs w:val="4"/>
              </w:rPr>
            </w:r>
          </w:p>
        </w:tc>
        <w:tc>
          <w:tcPr>
            <w:tcW w:w="9150" w:type="dxa"/>
            <w:gridSpan w:val="3"/>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1-q32025earningsrelease.htm">
              <w:r>
                <w:rPr>
                  <w:rStyle w:val="InternetLink"/>
                  <w:rFonts w:ascii="Arial;sans-serif" w:hAnsi="Arial;sans-serif"/>
                  <w:b w:val="false"/>
                  <w:color w:val="0000FF"/>
                  <w:sz w:val="20"/>
                  <w:u w:val="single"/>
                </w:rPr>
                <w:t>99.1</w:t>
              </w:r>
            </w:hyperlink>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Vision Holdings, Inc. Press Release dated November 5, 2025.</w:t>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8182" w:type="dxa"/>
        <w:jc w:val="center"/>
        <w:tblInd w:w="0" w:type="dxa"/>
        <w:tblLayout w:type="fixed"/>
        <w:tblCellMar>
          <w:top w:w="28" w:type="dxa"/>
          <w:left w:w="28" w:type="dxa"/>
          <w:bottom w:w="28" w:type="dxa"/>
          <w:right w:w="28" w:type="dxa"/>
        </w:tblCellMar>
      </w:tblPr>
      <w:tblGrid>
        <w:gridCol w:w="808"/>
        <w:gridCol w:w="709"/>
        <w:gridCol w:w="717"/>
        <w:gridCol w:w="109"/>
        <w:gridCol w:w="109"/>
        <w:gridCol w:w="109"/>
        <w:gridCol w:w="223"/>
        <w:gridCol w:w="223"/>
        <w:gridCol w:w="228"/>
        <w:gridCol w:w="109"/>
        <w:gridCol w:w="109"/>
        <w:gridCol w:w="109"/>
        <w:gridCol w:w="1351"/>
        <w:gridCol w:w="1351"/>
        <w:gridCol w:w="1918"/>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Vision Holdings, Inc.</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November 5,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Jared Brandman</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Jared Brandman</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Legal &amp; Strategy Officer,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274320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Arial;sans-serif" w:hAnsi="Arial;sans-serif"/>
          <w:b/>
          <w:color w:val="000000"/>
          <w:sz w:val="28"/>
        </w:rPr>
      </w:pPr>
      <w:r>
        <w:rPr>
          <w:rFonts w:ascii="Arial;sans-serif" w:hAnsi="Arial;sans-serif"/>
          <w:b/>
          <w:color w:val="000000"/>
          <w:sz w:val="28"/>
        </w:rPr>
        <w:t>National Vision Holdings, Inc. Reports Third Quarter 2025 Financial Results</w:t>
      </w:r>
    </w:p>
    <w:p>
      <w:pPr>
        <w:pStyle w:val="TextBody"/>
        <w:bidi w:val="0"/>
        <w:spacing w:lineRule="auto" w:line="268" w:before="0" w:after="0"/>
        <w:jc w:val="center"/>
        <w:rPr>
          <w:rFonts w:ascii="Arial;sans-serif" w:hAnsi="Arial;sans-serif"/>
          <w:b w:val="false"/>
          <w:i/>
          <w:color w:val="000000"/>
          <w:sz w:val="24"/>
        </w:rPr>
      </w:pPr>
      <w:r>
        <w:rPr>
          <w:rFonts w:ascii="Arial;sans-serif" w:hAnsi="Arial;sans-serif"/>
          <w:b w:val="false"/>
          <w:i/>
          <w:color w:val="000000"/>
          <w:sz w:val="24"/>
        </w:rPr>
        <w:t>Transformation Initiatives Continue to Drive Strong Performance</w:t>
      </w:r>
    </w:p>
    <w:p>
      <w:pPr>
        <w:pStyle w:val="TextBody"/>
        <w:bidi w:val="0"/>
        <w:spacing w:lineRule="auto" w:line="268" w:before="0" w:after="0"/>
        <w:jc w:val="center"/>
        <w:rPr>
          <w:rFonts w:ascii="Arial;sans-serif" w:hAnsi="Arial;sans-serif"/>
          <w:b w:val="false"/>
          <w:i/>
          <w:color w:val="000000"/>
          <w:sz w:val="24"/>
        </w:rPr>
      </w:pPr>
      <w:r>
        <w:rPr>
          <w:rFonts w:ascii="Arial;sans-serif" w:hAnsi="Arial;sans-serif"/>
          <w:b w:val="false"/>
          <w:i/>
          <w:color w:val="000000"/>
          <w:sz w:val="24"/>
        </w:rPr>
        <w:t xml:space="preserve">Raises Fiscal 2025 Outlook </w:t>
      </w:r>
    </w:p>
    <w:p>
      <w:pPr>
        <w:pStyle w:val="TextBody"/>
        <w:bidi w:val="0"/>
        <w:spacing w:before="0" w:after="0"/>
        <w:ind w:left="0" w:right="0" w:hanging="360"/>
        <w:jc w:val="both"/>
        <w:rPr/>
      </w:pPr>
      <w:r>
        <w:rPr/>
      </w:r>
    </w:p>
    <w:p>
      <w:pPr>
        <w:pStyle w:val="TextBody"/>
        <w:bidi w:val="0"/>
        <w:spacing w:lineRule="auto" w:line="264" w:before="0" w:after="0"/>
        <w:ind w:left="0" w:right="0" w:hanging="360"/>
        <w:jc w:val="left"/>
        <w:rPr/>
      </w:pPr>
      <w:r>
        <w:rPr>
          <w:rFonts w:ascii="Arial;sans-serif" w:hAnsi="Arial;sans-serif"/>
          <w:b/>
          <w:color w:val="000000"/>
          <w:sz w:val="20"/>
        </w:rPr>
        <w:t>Third</w:t>
      </w:r>
      <w:r>
        <w:rPr>
          <w:color w:val="000000"/>
          <w:shd w:fill="FFFFFF" w:val="clear"/>
        </w:rPr>
        <w:t xml:space="preserve"> </w:t>
      </w:r>
      <w:r>
        <w:rPr>
          <w:rFonts w:ascii="Arial;sans-serif" w:hAnsi="Arial;sans-serif"/>
          <w:b/>
          <w:color w:val="000000"/>
          <w:sz w:val="20"/>
          <w:shd w:fill="FFFFFF" w:val="clear"/>
        </w:rPr>
        <w:t xml:space="preserve">quarter </w:t>
      </w:r>
      <w:r>
        <w:rPr>
          <w:rFonts w:ascii="Arial;sans-serif" w:hAnsi="Arial;sans-serif"/>
          <w:b/>
          <w:color w:val="000000"/>
          <w:sz w:val="20"/>
        </w:rPr>
        <w:t>2025</w:t>
      </w:r>
      <w:r>
        <w:rPr>
          <w:color w:val="000000"/>
          <w:shd w:fill="FFFFFF" w:val="clear"/>
        </w:rPr>
        <w:t xml:space="preserve"> </w:t>
      </w:r>
      <w:r>
        <w:rPr>
          <w:rFonts w:ascii="Arial;sans-serif" w:hAnsi="Arial;sans-serif"/>
          <w:b/>
          <w:color w:val="000000"/>
          <w:sz w:val="20"/>
          <w:shd w:fill="FFFFFF" w:val="clear"/>
        </w:rPr>
        <w:t>highlights compared to third quarter 2024:</w:t>
      </w:r>
    </w:p>
    <w:p>
      <w:pPr>
        <w:pStyle w:val="TextBody"/>
        <w:bidi w:val="0"/>
        <w:spacing w:lineRule="auto" w:line="264" w:before="60" w:after="283"/>
        <w:ind w:left="0" w:right="0" w:hanging="360"/>
        <w:jc w:val="left"/>
        <w:rPr/>
      </w:pPr>
      <w:r>
        <w:rPr>
          <w:color w:val="000000"/>
        </w:rPr>
        <w:t>•</w:t>
      </w:r>
      <w:r>
        <w:rPr>
          <w:rFonts w:ascii="Arial;sans-serif" w:hAnsi="Arial;sans-serif"/>
          <w:b w:val="false"/>
          <w:i/>
          <w:color w:val="000000"/>
          <w:sz w:val="20"/>
        </w:rPr>
        <w:t>Net revenue from continuing operations increased 7.9% to $487.3 million</w:t>
      </w:r>
    </w:p>
    <w:p>
      <w:pPr>
        <w:pStyle w:val="TextBody"/>
        <w:bidi w:val="0"/>
        <w:spacing w:lineRule="auto" w:line="264" w:before="60" w:after="283"/>
        <w:ind w:left="0" w:right="0" w:hanging="360"/>
        <w:jc w:val="left"/>
        <w:rPr/>
      </w:pPr>
      <w:r>
        <w:rPr>
          <w:color w:val="000000"/>
        </w:rPr>
        <w:t>•</w:t>
      </w:r>
      <w:r>
        <w:rPr>
          <w:rFonts w:ascii="Arial;sans-serif" w:hAnsi="Arial;sans-serif"/>
          <w:b w:val="false"/>
          <w:i/>
          <w:color w:val="000000"/>
          <w:sz w:val="20"/>
        </w:rPr>
        <w:t>Comparable store sales growth of 6.8% and Adjusted Comparable Store Sales Growth of 7.7% represented the 11th consecutive quarter of positive growth</w:t>
      </w:r>
    </w:p>
    <w:p>
      <w:pPr>
        <w:pStyle w:val="TextBody"/>
        <w:bidi w:val="0"/>
        <w:spacing w:lineRule="auto" w:line="276" w:before="0" w:after="0"/>
        <w:ind w:left="0" w:right="0" w:hanging="360"/>
        <w:jc w:val="left"/>
        <w:rPr/>
      </w:pPr>
      <w:r>
        <w:rPr>
          <w:color w:val="000000"/>
        </w:rPr>
        <w:t>•</w:t>
      </w:r>
      <w:r>
        <w:rPr>
          <w:rFonts w:ascii="Arial;sans-serif" w:hAnsi="Arial;sans-serif"/>
          <w:b w:val="false"/>
          <w:i/>
          <w:color w:val="000000"/>
          <w:sz w:val="20"/>
        </w:rPr>
        <w:t>Income from continuing operations of $3.4 million, Diluted EPS from continuing operations of $0.04, with</w:t>
      </w:r>
      <w:r>
        <w:rPr>
          <w:color w:val="000000"/>
        </w:rPr>
        <w:t xml:space="preserve"> </w:t>
      </w:r>
      <w:r>
        <w:rPr>
          <w:rFonts w:ascii="Arial;sans-serif" w:hAnsi="Arial;sans-serif"/>
          <w:b w:val="false"/>
          <w:i/>
          <w:color w:val="000000"/>
          <w:sz w:val="20"/>
        </w:rPr>
        <w:t>Income (loss) from continuing operations margin improving to 0.7% from (1.9)%</w:t>
      </w:r>
    </w:p>
    <w:p>
      <w:pPr>
        <w:pStyle w:val="TextBody"/>
        <w:bidi w:val="0"/>
        <w:spacing w:lineRule="auto" w:line="264" w:before="60" w:after="283"/>
        <w:ind w:left="0" w:right="0" w:hanging="360"/>
        <w:jc w:val="left"/>
        <w:rPr/>
      </w:pPr>
      <w:r>
        <w:rPr>
          <w:color w:val="000000"/>
        </w:rPr>
        <w:t>•</w:t>
      </w:r>
      <w:r>
        <w:rPr>
          <w:rFonts w:ascii="Arial;sans-serif" w:hAnsi="Arial;sans-serif"/>
          <w:b w:val="false"/>
          <w:i/>
          <w:color w:val="000000"/>
          <w:sz w:val="20"/>
        </w:rPr>
        <w:t xml:space="preserve">Adjusted Operating Income from continuing operations of $19.8 million, up 38.6%, with Adjusted Operating Margin improving to 4.1% from 3.2% </w:t>
      </w:r>
    </w:p>
    <w:p>
      <w:pPr>
        <w:pStyle w:val="TextBody"/>
        <w:bidi w:val="0"/>
        <w:spacing w:lineRule="auto" w:line="264" w:before="60" w:after="283"/>
        <w:ind w:left="0" w:right="0" w:hanging="360"/>
        <w:jc w:val="left"/>
        <w:rPr/>
      </w:pPr>
      <w:r>
        <w:rPr>
          <w:color w:val="000000"/>
        </w:rPr>
        <w:t>•</w:t>
      </w:r>
      <w:r>
        <w:rPr>
          <w:rFonts w:ascii="Arial;sans-serif" w:hAnsi="Arial;sans-serif"/>
          <w:b w:val="false"/>
          <w:i/>
          <w:color w:val="000000"/>
          <w:sz w:val="20"/>
        </w:rPr>
        <w:t>Adjusted Diluted EPS from continuing operations increased to $0.13 from $0.12</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76" w:before="0" w:after="120"/>
        <w:jc w:val="left"/>
        <w:rPr/>
      </w:pPr>
      <w:r>
        <w:rPr>
          <w:rFonts w:ascii="Arial;sans-serif" w:hAnsi="Arial;sans-serif"/>
          <w:b/>
          <w:color w:val="000000"/>
          <w:sz w:val="20"/>
        </w:rPr>
        <w:t>Duluth, Ga.</w:t>
      </w:r>
      <w:r>
        <w:rPr>
          <w:color w:val="000000"/>
        </w:rPr>
        <w:t xml:space="preserve"> </w:t>
      </w:r>
      <w:r>
        <w:rPr>
          <w:rFonts w:ascii="Arial;sans-serif" w:hAnsi="Arial;sans-serif"/>
          <w:b w:val="false"/>
          <w:color w:val="000000"/>
          <w:sz w:val="20"/>
        </w:rPr>
        <w:t xml:space="preserve">-- </w:t>
      </w:r>
      <w:r>
        <w:rPr>
          <w:rFonts w:ascii="Arial;sans-serif" w:hAnsi="Arial;sans-serif"/>
          <w:b/>
          <w:color w:val="000000"/>
          <w:sz w:val="20"/>
        </w:rPr>
        <w:t xml:space="preserve">November 5, 2025 </w:t>
      </w:r>
      <w:r>
        <w:rPr>
          <w:rFonts w:ascii="Arial;sans-serif" w:hAnsi="Arial;sans-serif"/>
          <w:b w:val="false"/>
          <w:color w:val="000000"/>
          <w:sz w:val="20"/>
        </w:rPr>
        <w:t>-- National Vision Holdings, Inc. (NASDAQ: EYE) (“National Vision,” “we,” “our,” “us” or the “Company”) today reported its financial results for the third quarter ended September 27, 2025.</w:t>
      </w:r>
    </w:p>
    <w:p>
      <w:pPr>
        <w:pStyle w:val="TextBody"/>
        <w:bidi w:val="0"/>
        <w:spacing w:before="0" w:after="120"/>
        <w:jc w:val="left"/>
        <w:rPr/>
      </w:pPr>
      <w:r>
        <w:rPr/>
      </w:r>
    </w:p>
    <w:p>
      <w:pPr>
        <w:pStyle w:val="TextBody"/>
        <w:bidi w:val="0"/>
        <w:spacing w:lineRule="auto" w:line="276" w:before="0" w:after="0"/>
        <w:jc w:val="left"/>
        <w:rPr/>
      </w:pPr>
      <w:r>
        <w:rPr>
          <w:rFonts w:ascii="Arial;sans-serif" w:hAnsi="Arial;sans-serif"/>
          <w:b w:val="false"/>
          <w:color w:val="000000"/>
          <w:sz w:val="20"/>
        </w:rPr>
        <w:t>"Our strong performance this quarter demonstrates that our team’s focused execution on our initiatives is delivering results," said Alex Wilkes, National Vision’s CEO. "Our merchandise strategy is working, our associates are embracing new selling techniques, and our new America’s Best branding is resonating with consumers. We continue to see</w:t>
      </w:r>
      <w:r>
        <w:rPr>
          <w:color w:val="000000"/>
        </w:rPr>
        <w:t xml:space="preserve"> </w:t>
      </w:r>
      <w:r>
        <w:rPr>
          <w:rFonts w:ascii="Arial;sans-serif" w:hAnsi="Arial;sans-serif"/>
          <w:b w:val="false"/>
          <w:color w:val="000000"/>
          <w:sz w:val="20"/>
        </w:rPr>
        <w:t>strong traffic growth with Managed Care, Progressive and Outside Rx customers, and are very pleased with the intentional evolution of our customer mix that we expect will lead to a healthier business overall. The strategic investments we are making are beginning to transform customer engagement, enabling greater operating efficiency and more personalized solutions while reinforcing our strong value proposition, best-in-class exam experience, and evolving product mix.</w:t>
      </w:r>
      <w:r>
        <w:rPr>
          <w:color w:val="000000"/>
        </w:rPr>
        <w:t xml:space="preserve"> </w:t>
      </w:r>
      <w:r>
        <w:rPr>
          <w:rFonts w:ascii="Arial;sans-serif" w:hAnsi="Arial;sans-serif"/>
          <w:b w:val="false"/>
          <w:color w:val="000000"/>
          <w:sz w:val="20"/>
        </w:rPr>
        <w:t>Looking ahead, we plan to launch further capabilities and expanded product offerings that will build upon the improvements we are making to transform the business, leading to sustained growth for years to come."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This release includes certain Non-GAAP Financial Measures that are not recognized under generally accepted accounting principles (“GAAP”). Please see “Non-GAAP Financial Measures” and “Reconciliation of Non-GAAP to GAAP Financial Measures” below for more information.</w:t>
      </w:r>
    </w:p>
    <w:p>
      <w:pPr>
        <w:pStyle w:val="TextBody"/>
        <w:bidi w:val="0"/>
        <w:spacing w:lineRule="auto" w:line="288" w:before="0" w:after="120"/>
        <w:jc w:val="left"/>
        <w:rPr>
          <w:rFonts w:ascii="Arial;sans-serif" w:hAnsi="Arial;sans-serif"/>
          <w:b w:val="false"/>
          <w:i/>
          <w:color w:val="000000"/>
          <w:sz w:val="20"/>
        </w:rPr>
      </w:pPr>
      <w:r>
        <w:rPr>
          <w:rFonts w:ascii="Arial;sans-serif" w:hAnsi="Arial;sans-serif"/>
          <w:b w:val="false"/>
          <w:i/>
          <w:color w:val="000000"/>
          <w:sz w:val="20"/>
        </w:rPr>
        <w:t>Results for all periods presented are reported on a continuing operations basis and reflect the results of our former Legacy segment and the substantial majority of AC Lens operations as discontinued operations. Unless otherwise noted, all comparisons are to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Third Quarter 2025 Summary</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0"/>
        </w:rPr>
        <w:t>Net revenue increased 7.9% to $487.3 million, driven by Adjusted Comparable Store Sales Growth and new store sales, partially offset by closed stores and includes a negative (0.8)% impact from the timing of unearned revenue.</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0"/>
        </w:rPr>
        <w:t>Comparable store sales growth was 6.8% and Adjusted Comparable Store Sales Growth was 7.7%, both reflecting a higher average ticket and continued strength in the managed care cohort, while customer traffic was relatively flat compared to the prior year period.</w:t>
      </w:r>
    </w:p>
    <w:p>
      <w:pPr>
        <w:pStyle w:val="TextBody"/>
        <w:bidi w:val="0"/>
        <w:spacing w:lineRule="auto" w:line="264" w:before="60" w:after="120"/>
        <w:ind w:left="0" w:right="0" w:hanging="270"/>
        <w:jc w:val="both"/>
        <w:rPr/>
      </w:pPr>
      <w:r>
        <w:rPr>
          <w:color w:val="000000"/>
        </w:rPr>
        <w:t>•</w:t>
      </w:r>
      <w:r>
        <w:rPr>
          <w:rFonts w:ascii="Arial;sans-serif" w:hAnsi="Arial;sans-serif"/>
          <w:b w:val="false"/>
          <w:color w:val="000000"/>
          <w:sz w:val="20"/>
        </w:rPr>
        <w:t>The Company opened four</w:t>
      </w:r>
      <w:r>
        <w:rPr>
          <w:color w:val="EE2724"/>
        </w:rPr>
        <w:t xml:space="preserve"> </w:t>
      </w:r>
      <w:r>
        <w:rPr>
          <w:rFonts w:ascii="Arial;sans-serif" w:hAnsi="Arial;sans-serif"/>
          <w:b w:val="false"/>
          <w:color w:val="000000"/>
          <w:sz w:val="20"/>
        </w:rPr>
        <w:t>new America’s Best stores and closed two Fred Meyer stores, ending the quarter with 1,242 stores. Overall, store count grew 0.9%.</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60"/>
        <w:ind w:left="0" w:right="0" w:hanging="270"/>
        <w:jc w:val="left"/>
        <w:rPr/>
      </w:pPr>
      <w:r>
        <w:rPr>
          <w:color w:val="000000"/>
        </w:rPr>
        <w:t>•</w:t>
      </w:r>
      <w:r>
        <w:rPr>
          <w:rFonts w:ascii="Arial;sans-serif" w:hAnsi="Arial;sans-serif"/>
          <w:b w:val="false"/>
          <w:color w:val="000000"/>
          <w:sz w:val="20"/>
        </w:rPr>
        <w:t>Costs applicable to revenue increased 7.0% to $203.2 million. As a percentage of net revenue, costs applicable to revenue decreased 40 basis points to 41.7%, primarily driven by the successful execution of pricing and product mix initiatives and leveraging optometrist-related costs, partially offset by a decrease in contact lens product margin.</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0"/>
        </w:rPr>
        <w:t>Selling, general and administrative expenses (SG&amp;A) increased 7.8% to $252.3 million. As a percentage of net revenue, SG&amp;A remained at 51.8%, as operating leverage on lower expenses and fees was offset by higher variable incentive compensation expenses related to revenue and profitability growth and higher health care expenses. Adjusted SG&amp;A increased 7.7% to $242.3 million and represented 49.7% of net revenue, a decrease of 10 basis points.</w:t>
      </w:r>
    </w:p>
    <w:p>
      <w:pPr>
        <w:pStyle w:val="TextBody"/>
        <w:bidi w:val="0"/>
        <w:spacing w:lineRule="auto" w:line="264" w:before="60" w:after="120"/>
        <w:ind w:left="0" w:right="0" w:hanging="270"/>
        <w:jc w:val="both"/>
        <w:rPr/>
      </w:pPr>
      <w:r>
        <w:rPr>
          <w:color w:val="000000"/>
        </w:rPr>
        <w:t>•</w:t>
      </w:r>
      <w:r>
        <w:rPr>
          <w:rFonts w:ascii="Arial;sans-serif" w:hAnsi="Arial;sans-serif"/>
          <w:b w:val="false"/>
          <w:color w:val="000000"/>
          <w:sz w:val="20"/>
        </w:rPr>
        <w:t>Income (loss) from continuing operations increased to $3.4 million, compared to $(8.4) million in the prior-year period. Income (loss) from continuing operations margin improved to 0.7% from (1.9)%.</w:t>
      </w:r>
    </w:p>
    <w:p>
      <w:pPr>
        <w:pStyle w:val="TextBody"/>
        <w:bidi w:val="0"/>
        <w:spacing w:lineRule="auto" w:line="264" w:before="60" w:after="120"/>
        <w:ind w:left="0" w:right="0" w:hanging="270"/>
        <w:jc w:val="both"/>
        <w:rPr/>
      </w:pPr>
      <w:r>
        <w:rPr>
          <w:color w:val="000000"/>
          <w:shd w:fill="FFFFFF" w:val="clear"/>
        </w:rPr>
        <w:t>•</w:t>
      </w:r>
      <w:r>
        <w:rPr>
          <w:rFonts w:ascii="Arial;sans-serif" w:hAnsi="Arial;sans-serif"/>
          <w:b w:val="false"/>
          <w:color w:val="000000"/>
          <w:sz w:val="20"/>
        </w:rPr>
        <w:t>Diluted earnings (loss) per share (EPS) from continuing operations increased</w:t>
      </w:r>
      <w:r>
        <w:rPr>
          <w:color w:val="EE2724"/>
        </w:rPr>
        <w:t xml:space="preserve"> </w:t>
      </w:r>
      <w:r>
        <w:rPr>
          <w:rFonts w:ascii="Arial;sans-serif" w:hAnsi="Arial;sans-serif"/>
          <w:b w:val="false"/>
          <w:color w:val="000000"/>
          <w:sz w:val="20"/>
        </w:rPr>
        <w:t>to $0.04 compared to $(0.11). Adjusted Diluted EPS increased to $0.13 from $0.12. The net change in margin on unearned revenue negatively impacted both Diluted EPS and Adjusted Diluted EPS by $(0.03).</w:t>
      </w:r>
    </w:p>
    <w:p>
      <w:pPr>
        <w:pStyle w:val="TextBody"/>
        <w:bidi w:val="0"/>
        <w:spacing w:lineRule="auto" w:line="264" w:before="60" w:after="283"/>
        <w:ind w:left="0" w:right="0" w:hanging="270"/>
        <w:jc w:val="both"/>
        <w:rPr/>
      </w:pPr>
      <w:r>
        <w:rPr>
          <w:color w:val="000000"/>
        </w:rPr>
        <w:t>•</w:t>
      </w:r>
      <w:r>
        <w:rPr>
          <w:rFonts w:ascii="Arial;sans-serif" w:hAnsi="Arial;sans-serif"/>
          <w:b w:val="false"/>
          <w:color w:val="000000"/>
          <w:sz w:val="20"/>
        </w:rPr>
        <w:t>Adjusted Operating Income increased 38.6% to $19.8 million. Adjusted Operating Margin improved to 4.1% from 3.2%. The net change in margin on unearned revenue negatively impacted income (loss) from continuing operations, by $(2.1) million and Adjusted Operating Income by $(2.8)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60" w:after="60"/>
        <w:ind w:left="0" w:right="0" w:hanging="360"/>
        <w:jc w:val="left"/>
        <w:rPr>
          <w:rFonts w:ascii="Arial;sans-serif" w:hAnsi="Arial;sans-serif"/>
          <w:b/>
          <w:color w:val="000000"/>
          <w:sz w:val="20"/>
        </w:rPr>
      </w:pPr>
      <w:r>
        <w:rPr>
          <w:rFonts w:ascii="Arial;sans-serif" w:hAnsi="Arial;sans-serif"/>
          <w:b/>
          <w:color w:val="000000"/>
          <w:sz w:val="20"/>
        </w:rPr>
        <w:t>Year-to-Date 2025 Summary</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0"/>
        </w:rPr>
        <w:t>Net revenue increased 7.1% to $1,484.1 million driven by Adjusted Comparable Store Sales Growth and new store sales, partially offset by closed stores and includes a negative (0.6)% impact from the timing of unearned revenue.</w:t>
      </w:r>
    </w:p>
    <w:p>
      <w:pPr>
        <w:pStyle w:val="TextBody"/>
        <w:bidi w:val="0"/>
        <w:spacing w:lineRule="auto" w:line="268" w:before="0" w:after="120"/>
        <w:ind w:left="0" w:right="0" w:hanging="270"/>
        <w:jc w:val="left"/>
        <w:rPr/>
      </w:pPr>
      <w:r>
        <w:rPr>
          <w:color w:val="000000"/>
        </w:rPr>
        <w:t>•</w:t>
      </w:r>
      <w:r>
        <w:rPr>
          <w:rFonts w:ascii="Arial;sans-serif" w:hAnsi="Arial;sans-serif"/>
          <w:b w:val="false"/>
          <w:color w:val="000000"/>
          <w:sz w:val="20"/>
        </w:rPr>
        <w:t>Comparable store sales growth was 5.7% and Adjusted Comparable Store Sales Growth was 6.4%, primarily due to higher average ticket, continued strength in the managed care cohort and relatively flat customer traffic.</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The Company opened 21</w:t>
      </w:r>
      <w:r>
        <w:rPr>
          <w:color w:val="EE2724"/>
        </w:rPr>
        <w:t xml:space="preserve"> </w:t>
      </w:r>
      <w:r>
        <w:rPr>
          <w:rFonts w:ascii="Arial;sans-serif" w:hAnsi="Arial;sans-serif"/>
          <w:b w:val="false"/>
          <w:color w:val="000000"/>
          <w:sz w:val="20"/>
        </w:rPr>
        <w:t>new America’s Best stores, closed 11 Fred Meyer stores and closed eight America’s Best stores, ending the period with 1,242 stores. Overall, store count grew 0.9%.</w:t>
      </w:r>
    </w:p>
    <w:p>
      <w:pPr>
        <w:pStyle w:val="TextBody"/>
        <w:bidi w:val="0"/>
        <w:spacing w:lineRule="auto" w:line="268" w:before="0" w:after="0"/>
        <w:ind w:left="0" w:right="0" w:hanging="270"/>
        <w:jc w:val="left"/>
        <w:rPr/>
      </w:pPr>
      <w:r>
        <w:rPr>
          <w:color w:val="000000"/>
        </w:rPr>
        <w:t>•</w:t>
      </w:r>
      <w:r>
        <w:rPr>
          <w:rFonts w:ascii="Arial;sans-serif" w:hAnsi="Arial;sans-serif"/>
          <w:b w:val="false"/>
          <w:color w:val="000000"/>
          <w:sz w:val="20"/>
        </w:rPr>
        <w:t>Costs applicable to revenue increased 5.1% to $608.8 million. As a percentage of net revenue, costs applicable to revenue decreased 80 basis points to 41.0%, mainly due to the successful execution of pricing and product mix initiatives, and leveraging of optometrist-related costs, partially offset by a decrease in contact lens product margin.</w:t>
      </w:r>
    </w:p>
    <w:p>
      <w:pPr>
        <w:pStyle w:val="TextBody"/>
        <w:bidi w:val="0"/>
        <w:spacing w:before="0" w:after="0"/>
        <w:ind w:left="0" w:right="0" w:firstLine="90"/>
        <w:jc w:val="left"/>
        <w:rPr/>
      </w:pPr>
      <w:r>
        <w:rPr/>
      </w:r>
    </w:p>
    <w:p>
      <w:pPr>
        <w:pStyle w:val="TextBody"/>
        <w:bidi w:val="0"/>
        <w:spacing w:lineRule="auto" w:line="288" w:before="0" w:after="120"/>
        <w:ind w:left="0" w:right="0" w:hanging="270"/>
        <w:jc w:val="left"/>
        <w:rPr/>
      </w:pPr>
      <w:r>
        <w:rPr>
          <w:color w:val="000000"/>
        </w:rPr>
        <w:t>•</w:t>
      </w:r>
      <w:r>
        <w:rPr>
          <w:rFonts w:ascii="Arial;sans-serif" w:hAnsi="Arial;sans-serif"/>
          <w:b w:val="false"/>
          <w:color w:val="000000"/>
          <w:sz w:val="20"/>
        </w:rPr>
        <w:t>SG&amp;A increased 7.0% to $755.0 million. As a percentage of net revenue, SG&amp;A was flat to prior year at 50.9% of revenue. Adjusted SG&amp;A increased 6.8% to $723.4 million and decreased 20 basis points to 48.7% of net revenue.</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Income from continuing operations increased to $26.3 million compared to $2.3 million. Income from continuing operations margin increased to 1.8% compared to 0.2%.</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Diluted EPS from continuing operations increased to $0.33 compared to $0.03. Adjusted Diluted EPS increased to $0.65 compared to $0.56. The net change in margin on unearned revenue negatively impacted both Diluted EPS and Adjusted Diluted EPS by $(0.06).</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Adjusted Operating Income increased 36.3% to $84.9 million. Adjusted Operating Margin increased to 5.7% compared to 4.5%. The net change in margin on unearned revenue negatively impacted income from continuing operations by $(4.9) million and Adjusted Operating Income by $(6.5)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60"/>
        <w:jc w:val="left"/>
        <w:rPr>
          <w:rFonts w:ascii="Arial;sans-serif" w:hAnsi="Arial;sans-serif"/>
          <w:b/>
          <w:color w:val="000000"/>
          <w:sz w:val="20"/>
        </w:rPr>
      </w:pPr>
      <w:bookmarkStart w:id="0" w:name="id75fff00d2154bd7a4c0b0068cd940af_664"/>
      <w:bookmarkEnd w:id="0"/>
      <w:r>
        <w:rPr>
          <w:rFonts w:ascii="Arial;sans-serif" w:hAnsi="Arial;sans-serif"/>
          <w:b/>
          <w:color w:val="000000"/>
          <w:sz w:val="20"/>
        </w:rPr>
        <w:t xml:space="preserve">Balance Sheet and Cash Flow Highlights as of September 27, 2025 </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National Vision’s cash balance was $56.0 million as of September 27, 2025. During the quarter, the Company repaid $15.0 million under its $300.0 million first lien revolving credit facility, which includes letters of credit of $6.4 million, bringing the balance to zero.</w:t>
      </w:r>
    </w:p>
    <w:p>
      <w:pPr>
        <w:pStyle w:val="TextBody"/>
        <w:bidi w:val="0"/>
        <w:spacing w:lineRule="auto" w:line="264" w:before="0" w:after="120"/>
        <w:ind w:left="0" w:right="0" w:hanging="270"/>
        <w:jc w:val="left"/>
        <w:rPr/>
      </w:pPr>
      <w:r>
        <w:rPr>
          <w:color w:val="000000"/>
        </w:rPr>
        <w:t>•</w:t>
      </w:r>
      <w:r>
        <w:rPr>
          <w:rFonts w:ascii="Arial;sans-serif" w:hAnsi="Arial;sans-serif"/>
          <w:b w:val="false"/>
          <w:color w:val="000000"/>
          <w:sz w:val="20"/>
        </w:rPr>
        <w:t>Total debt was $253.4 million as of September 27, 2025, consisting of outstanding first lien term loans and finance lease obligations, net of unamortized discounts.</w:t>
      </w:r>
    </w:p>
    <w:p>
      <w:pPr>
        <w:pStyle w:val="TextBody"/>
        <w:bidi w:val="0"/>
        <w:spacing w:before="0" w:after="60"/>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shd w:fill="FFFFFF" w:val="clear"/>
        </w:rPr>
      </w:pPr>
      <w:r>
        <w:rPr>
          <w:rFonts w:ascii="Arial;sans-serif" w:hAnsi="Arial;sans-serif"/>
          <w:b/>
          <w:color w:val="000000"/>
          <w:sz w:val="20"/>
          <w:shd w:fill="FFFFFF" w:val="clear"/>
        </w:rPr>
        <w:t>Fiscal 2025 Outlook</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Company is raising certain elements of its fiscal 2025 outlook for the 53 weeks ending January 3, 2026, as set forth below. The Company estimates the 53rd week of fiscal 2025 will contribute approximately $35 million to net revenue, and approximately $3 million to Adjusted Operating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tbl>
      <w:tblPr>
        <w:tblW w:w="9434" w:type="dxa"/>
        <w:jc w:val="left"/>
        <w:tblInd w:w="0" w:type="dxa"/>
        <w:tblLayout w:type="fixed"/>
        <w:tblCellMar>
          <w:top w:w="28" w:type="dxa"/>
          <w:left w:w="28" w:type="dxa"/>
          <w:bottom w:w="28" w:type="dxa"/>
          <w:right w:w="28" w:type="dxa"/>
        </w:tblCellMar>
      </w:tblPr>
      <w:tblGrid>
        <w:gridCol w:w="1470"/>
        <w:gridCol w:w="1294"/>
        <w:gridCol w:w="1301"/>
        <w:gridCol w:w="854"/>
        <w:gridCol w:w="854"/>
        <w:gridCol w:w="857"/>
        <w:gridCol w:w="820"/>
        <w:gridCol w:w="820"/>
        <w:gridCol w:w="1164"/>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BFBFBF"/>
              <w:left w:val="single" w:sz="8" w:space="0" w:color="BFBFB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BFBFBF"/>
              <w:left w:val="single" w:sz="8" w:space="0" w:color="BFBFBF"/>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 xml:space="preserve">Prior Fiscal 2025 Outlook </w:t>
            </w:r>
          </w:p>
          <w:p>
            <w:pPr>
              <w:pStyle w:val="TableContents"/>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(As of August 6, 2025)</w:t>
            </w:r>
          </w:p>
        </w:tc>
        <w:tc>
          <w:tcPr>
            <w:tcW w:w="2804" w:type="dxa"/>
            <w:gridSpan w:val="3"/>
            <w:tcBorders>
              <w:top w:val="single" w:sz="8" w:space="0" w:color="BFBFBF"/>
              <w:left w:val="single" w:sz="8" w:space="0" w:color="BFBFBF"/>
              <w:right w:val="single" w:sz="8" w:space="0" w:color="BFBFBF"/>
            </w:tcBorders>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Updated Fiscal 2025 Outlook</w:t>
            </w:r>
          </w:p>
          <w:p>
            <w:pPr>
              <w:pStyle w:val="TableContents"/>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(As of November 5, 2025)</w:t>
            </w:r>
          </w:p>
        </w:tc>
      </w:tr>
      <w:tr>
        <w:trPr/>
        <w:tc>
          <w:tcPr>
            <w:tcW w:w="40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New Stores</w:t>
            </w:r>
          </w:p>
        </w:tc>
        <w:tc>
          <w:tcPr>
            <w:tcW w:w="25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~32</w:t>
            </w:r>
          </w:p>
        </w:tc>
        <w:tc>
          <w:tcPr>
            <w:tcW w:w="2804"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~32</w:t>
            </w:r>
          </w:p>
        </w:tc>
      </w:tr>
      <w:tr>
        <w:trPr/>
        <w:tc>
          <w:tcPr>
            <w:tcW w:w="40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Comparable Store Sales Growth</w:t>
            </w:r>
            <w:r>
              <w:rPr>
                <w:rFonts w:ascii="Arial;sans-serif" w:hAnsi="Arial;sans-serif"/>
                <w:b w:val="false"/>
                <w:color w:val="000000"/>
                <w:sz w:val="13"/>
              </w:rPr>
              <w:t>(1)(2)</w:t>
            </w:r>
          </w:p>
        </w:tc>
        <w:tc>
          <w:tcPr>
            <w:tcW w:w="25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3.0% - 5.0%</w:t>
            </w:r>
          </w:p>
        </w:tc>
        <w:tc>
          <w:tcPr>
            <w:tcW w:w="2804" w:type="dxa"/>
            <w:gridSpan w:val="3"/>
            <w:tcBorders>
              <w:top w:val="single" w:sz="8" w:space="0" w:color="BFBFBF"/>
              <w:left w:val="single" w:sz="8" w:space="0" w:color="BFBFBF"/>
              <w:right w:val="single" w:sz="8" w:space="0" w:color="BFBFBF"/>
            </w:tcBorders>
            <w:shd w:fill="FFFFFF" w:val="clear"/>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5.0% - 6.0%</w:t>
            </w:r>
          </w:p>
        </w:tc>
      </w:tr>
      <w:tr>
        <w:trPr/>
        <w:tc>
          <w:tcPr>
            <w:tcW w:w="40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Revenue</w:t>
            </w:r>
          </w:p>
        </w:tc>
        <w:tc>
          <w:tcPr>
            <w:tcW w:w="25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$1.934 billion - $1.970 billion</w:t>
            </w:r>
          </w:p>
        </w:tc>
        <w:tc>
          <w:tcPr>
            <w:tcW w:w="2804"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$1.970 billion - 1.988 billion</w:t>
            </w:r>
          </w:p>
        </w:tc>
      </w:tr>
      <w:tr>
        <w:trPr/>
        <w:tc>
          <w:tcPr>
            <w:tcW w:w="40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Operating Income</w:t>
            </w:r>
            <w:r>
              <w:rPr>
                <w:rFonts w:ascii="Arial;sans-serif" w:hAnsi="Arial;sans-serif"/>
                <w:b w:val="false"/>
                <w:color w:val="000000"/>
                <w:sz w:val="13"/>
              </w:rPr>
              <w:t>(2)</w:t>
            </w:r>
          </w:p>
        </w:tc>
        <w:tc>
          <w:tcPr>
            <w:tcW w:w="25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$85 million - $95 million</w:t>
            </w:r>
          </w:p>
        </w:tc>
        <w:tc>
          <w:tcPr>
            <w:tcW w:w="2804" w:type="dxa"/>
            <w:gridSpan w:val="3"/>
            <w:tcBorders>
              <w:top w:val="single" w:sz="8" w:space="0" w:color="BFBFBF"/>
              <w:left w:val="single" w:sz="8" w:space="0" w:color="BFBFBF"/>
              <w:right w:val="single" w:sz="8" w:space="0" w:color="BFBFBF"/>
            </w:tcBorders>
            <w:shd w:fill="FFFFFF" w:val="clear"/>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$92 million - $98 million</w:t>
            </w:r>
          </w:p>
        </w:tc>
      </w:tr>
      <w:tr>
        <w:trPr/>
        <w:tc>
          <w:tcPr>
            <w:tcW w:w="40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Diluted EPS</w:t>
            </w:r>
            <w:r>
              <w:rPr>
                <w:rFonts w:ascii="Arial;sans-serif" w:hAnsi="Arial;sans-serif"/>
                <w:b w:val="false"/>
                <w:color w:val="000000"/>
                <w:sz w:val="13"/>
              </w:rPr>
              <w:t>(2)(3)</w:t>
            </w:r>
          </w:p>
        </w:tc>
        <w:tc>
          <w:tcPr>
            <w:tcW w:w="25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$0.62 - $0.70</w:t>
            </w:r>
          </w:p>
        </w:tc>
        <w:tc>
          <w:tcPr>
            <w:tcW w:w="2804"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$0.63 - $0.71</w:t>
            </w:r>
          </w:p>
        </w:tc>
      </w:tr>
      <w:tr>
        <w:trPr/>
        <w:tc>
          <w:tcPr>
            <w:tcW w:w="40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Depreciation and Amortization</w:t>
            </w:r>
            <w:r>
              <w:rPr>
                <w:rFonts w:ascii="Arial;sans-serif" w:hAnsi="Arial;sans-serif"/>
                <w:b w:val="false"/>
                <w:color w:val="000000"/>
                <w:sz w:val="13"/>
              </w:rPr>
              <w:t xml:space="preserve">(4) </w:t>
            </w:r>
          </w:p>
        </w:tc>
        <w:tc>
          <w:tcPr>
            <w:tcW w:w="25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$93 million - $96 million</w:t>
            </w:r>
          </w:p>
        </w:tc>
        <w:tc>
          <w:tcPr>
            <w:tcW w:w="2804" w:type="dxa"/>
            <w:gridSpan w:val="3"/>
            <w:tcBorders>
              <w:top w:val="single" w:sz="8" w:space="0" w:color="BFBFBF"/>
              <w:left w:val="single" w:sz="8" w:space="0" w:color="BFBFBF"/>
              <w:right w:val="single" w:sz="8" w:space="0" w:color="BFBFBF"/>
            </w:tcBorders>
            <w:shd w:fill="FFFFFF" w:val="clear"/>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$91 million - $93 million</w:t>
            </w:r>
          </w:p>
        </w:tc>
      </w:tr>
      <w:tr>
        <w:trPr/>
        <w:tc>
          <w:tcPr>
            <w:tcW w:w="40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Interest</w:t>
            </w:r>
            <w:r>
              <w:rPr>
                <w:rFonts w:ascii="Arial;sans-serif" w:hAnsi="Arial;sans-serif"/>
                <w:b w:val="false"/>
                <w:color w:val="000000"/>
                <w:sz w:val="13"/>
              </w:rPr>
              <w:t xml:space="preserve">(5) </w:t>
            </w:r>
          </w:p>
        </w:tc>
        <w:tc>
          <w:tcPr>
            <w:tcW w:w="2565" w:type="dxa"/>
            <w:gridSpan w:val="3"/>
            <w:tcBorders>
              <w:top w:val="single" w:sz="8" w:space="0" w:color="BFBFBF"/>
              <w:left w:val="single" w:sz="8" w:space="0" w:color="BFBFBF"/>
            </w:tcBorders>
            <w:shd w:fill="CCEE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 million - $19 million</w:t>
            </w:r>
          </w:p>
        </w:tc>
        <w:tc>
          <w:tcPr>
            <w:tcW w:w="2804" w:type="dxa"/>
            <w:gridSpan w:val="3"/>
            <w:tcBorders>
              <w:top w:val="single" w:sz="8" w:space="0" w:color="BFBFBF"/>
              <w:left w:val="single" w:sz="8" w:space="0" w:color="BFBFBF"/>
              <w:right w:val="single" w:sz="8" w:space="0" w:color="BFBFBF"/>
            </w:tcBorders>
            <w:shd w:fill="CCEE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 million - $19 million</w:t>
            </w:r>
          </w:p>
        </w:tc>
      </w:tr>
      <w:tr>
        <w:trPr/>
        <w:tc>
          <w:tcPr>
            <w:tcW w:w="40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0"/>
              </w:rPr>
              <w:t>Tax Rate</w:t>
            </w:r>
            <w:r>
              <w:rPr>
                <w:rFonts w:ascii="Arial;sans-serif" w:hAnsi="Arial;sans-serif"/>
                <w:b w:val="false"/>
                <w:color w:val="000000"/>
                <w:sz w:val="13"/>
              </w:rPr>
              <w:t>(6)</w:t>
            </w:r>
          </w:p>
        </w:tc>
        <w:tc>
          <w:tcPr>
            <w:tcW w:w="2565" w:type="dxa"/>
            <w:gridSpan w:val="3"/>
            <w:tcBorders>
              <w:top w:val="single" w:sz="8" w:space="0" w:color="BFBFBF"/>
              <w:left w:val="single" w:sz="8" w:space="0" w:color="BFBFBF"/>
            </w:tcBorders>
            <w:shd w:fill="FFFF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27%</w:t>
            </w:r>
          </w:p>
        </w:tc>
        <w:tc>
          <w:tcPr>
            <w:tcW w:w="2804" w:type="dxa"/>
            <w:gridSpan w:val="3"/>
            <w:tcBorders>
              <w:top w:val="single" w:sz="8" w:space="0" w:color="BFBFBF"/>
              <w:left w:val="single" w:sz="8" w:space="0" w:color="BFBFBF"/>
              <w:right w:val="single" w:sz="8" w:space="0" w:color="BFBFBF"/>
            </w:tcBorders>
            <w:shd w:fill="FFFFFF"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28%</w:t>
            </w:r>
          </w:p>
        </w:tc>
      </w:tr>
      <w:tr>
        <w:trPr/>
        <w:tc>
          <w:tcPr>
            <w:tcW w:w="4065" w:type="dxa"/>
            <w:gridSpan w:val="3"/>
            <w:tcBorders>
              <w:top w:val="single" w:sz="8" w:space="0" w:color="BFBFBF"/>
              <w:left w:val="single" w:sz="8" w:space="0" w:color="BFBFBF"/>
              <w:bottom w:val="single" w:sz="8" w:space="0" w:color="BFBFBF"/>
            </w:tcBorders>
            <w:shd w:fill="CCEEFF" w:val="clear"/>
            <w:tcMar>
              <w:top w:w="30" w:type="dxa"/>
              <w:bottom w:w="3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Capital Expenditures</w:t>
            </w:r>
          </w:p>
        </w:tc>
        <w:tc>
          <w:tcPr>
            <w:tcW w:w="2565" w:type="dxa"/>
            <w:gridSpan w:val="3"/>
            <w:tcBorders>
              <w:top w:val="single" w:sz="8" w:space="0" w:color="BFBFBF"/>
              <w:left w:val="single" w:sz="8" w:space="0" w:color="BFBFBF"/>
              <w:bottom w:val="single" w:sz="8" w:space="0" w:color="BFBFBF"/>
            </w:tcBorders>
            <w:shd w:fill="CCEEFF" w:val="clear"/>
            <w:tcMar>
              <w:top w:w="30" w:type="dxa"/>
              <w:bottom w:w="3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$87 million - $90 million</w:t>
            </w:r>
          </w:p>
        </w:tc>
        <w:tc>
          <w:tcPr>
            <w:tcW w:w="2804" w:type="dxa"/>
            <w:gridSpan w:val="3"/>
            <w:tcBorders>
              <w:top w:val="single" w:sz="8" w:space="0" w:color="BFBFBF"/>
              <w:left w:val="single" w:sz="8" w:space="0" w:color="BFBFBF"/>
              <w:bottom w:val="single" w:sz="8" w:space="0" w:color="BFBFBF"/>
              <w:right w:val="single" w:sz="8" w:space="0" w:color="BFBFBF"/>
            </w:tcBorders>
            <w:shd w:fill="CCEEFF" w:val="clear"/>
            <w:tcMar>
              <w:top w:w="30" w:type="dxa"/>
              <w:bottom w:w="3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$80 million - $85 million</w:t>
            </w:r>
          </w:p>
        </w:tc>
      </w:tr>
    </w:tbl>
    <w:p>
      <w:pPr>
        <w:pStyle w:val="TextBody"/>
        <w:bidi w:val="0"/>
        <w:spacing w:lineRule="auto" w:line="288" w:before="0" w:after="0"/>
        <w:ind w:left="0" w:right="0" w:hanging="180"/>
        <w:jc w:val="both"/>
        <w:rPr/>
      </w:pPr>
      <w:r>
        <w:rPr>
          <w:rFonts w:ascii="Arial;sans-serif" w:hAnsi="Arial;sans-serif"/>
          <w:b w:val="false"/>
          <w:i/>
          <w:color w:val="000000"/>
          <w:sz w:val="13"/>
        </w:rPr>
        <w:t xml:space="preserve">1 </w:t>
      </w:r>
      <w:r>
        <w:rPr>
          <w:rFonts w:ascii="Arial;sans-serif" w:hAnsi="Arial;sans-serif"/>
          <w:b w:val="false"/>
          <w:i/>
          <w:color w:val="000000"/>
          <w:sz w:val="20"/>
        </w:rPr>
        <w:t xml:space="preserve">For the 52 weeks ending December 27, 2025. </w:t>
      </w:r>
    </w:p>
    <w:p>
      <w:pPr>
        <w:pStyle w:val="TextBody"/>
        <w:bidi w:val="0"/>
        <w:spacing w:lineRule="auto" w:line="288" w:before="0" w:after="0"/>
        <w:ind w:left="0" w:right="0" w:hanging="180"/>
        <w:jc w:val="both"/>
        <w:rPr/>
      </w:pPr>
      <w:r>
        <w:rPr>
          <w:rFonts w:ascii="Arial;sans-serif" w:hAnsi="Arial;sans-serif"/>
          <w:b w:val="false"/>
          <w:i/>
          <w:color w:val="000000"/>
          <w:sz w:val="13"/>
        </w:rPr>
        <w:t xml:space="preserve">2 </w:t>
      </w:r>
      <w:r>
        <w:rPr>
          <w:rFonts w:ascii="Arial;sans-serif" w:hAnsi="Arial;sans-serif"/>
          <w:b w:val="false"/>
          <w:i/>
          <w:color w:val="000000"/>
          <w:sz w:val="20"/>
        </w:rPr>
        <w:t>Refer to “Non-GAAP Financial Measures” below for more information.</w:t>
      </w:r>
    </w:p>
    <w:p>
      <w:pPr>
        <w:pStyle w:val="TextBody"/>
        <w:bidi w:val="0"/>
        <w:spacing w:lineRule="auto" w:line="288" w:before="0" w:after="0"/>
        <w:ind w:left="0" w:right="0" w:hanging="180"/>
        <w:jc w:val="both"/>
        <w:rPr/>
      </w:pPr>
      <w:r>
        <w:rPr>
          <w:rFonts w:ascii="Arial;sans-serif" w:hAnsi="Arial;sans-serif"/>
          <w:b w:val="false"/>
          <w:i/>
          <w:color w:val="000000"/>
          <w:sz w:val="13"/>
        </w:rPr>
        <w:t>3</w:t>
      </w:r>
      <w:r>
        <w:rPr>
          <w:color w:val="000000"/>
        </w:rPr>
        <w:t xml:space="preserve"> </w:t>
      </w:r>
      <w:r>
        <w:rPr>
          <w:rFonts w:ascii="Arial;sans-serif" w:hAnsi="Arial;sans-serif"/>
          <w:b w:val="false"/>
          <w:i/>
          <w:color w:val="000000"/>
          <w:sz w:val="20"/>
        </w:rPr>
        <w:t>Assumes approximately 81 million shares.</w:t>
      </w:r>
    </w:p>
    <w:p>
      <w:pPr>
        <w:pStyle w:val="TextBody"/>
        <w:bidi w:val="0"/>
        <w:spacing w:lineRule="auto" w:line="288" w:before="0" w:after="0"/>
        <w:ind w:left="0" w:right="0" w:hanging="180"/>
        <w:jc w:val="both"/>
        <w:rPr/>
      </w:pPr>
      <w:r>
        <w:rPr>
          <w:rFonts w:ascii="Arial;sans-serif" w:hAnsi="Arial;sans-serif"/>
          <w:b w:val="false"/>
          <w:i/>
          <w:color w:val="000000"/>
          <w:sz w:val="13"/>
        </w:rPr>
        <w:t>4</w:t>
      </w:r>
      <w:r>
        <w:rPr>
          <w:color w:val="000000"/>
        </w:rPr>
        <w:t xml:space="preserve"> </w:t>
      </w:r>
      <w:r>
        <w:rPr>
          <w:rFonts w:ascii="Arial;sans-serif" w:hAnsi="Arial;sans-serif"/>
          <w:b w:val="false"/>
          <w:i/>
          <w:color w:val="000000"/>
          <w:sz w:val="20"/>
        </w:rPr>
        <w:t>Includes amortization of acquisition intangibles of approximately $0.7 million, which is excluded in the definition of Adjusted Operating Income.</w:t>
      </w:r>
    </w:p>
    <w:p>
      <w:pPr>
        <w:pStyle w:val="TextBody"/>
        <w:bidi w:val="0"/>
        <w:spacing w:lineRule="auto" w:line="288" w:before="0" w:after="0"/>
        <w:ind w:left="0" w:right="0" w:hanging="180"/>
        <w:jc w:val="both"/>
        <w:rPr/>
      </w:pPr>
      <w:r>
        <w:rPr>
          <w:rFonts w:ascii="Arial;sans-serif" w:hAnsi="Arial;sans-serif"/>
          <w:b w:val="false"/>
          <w:i/>
          <w:color w:val="000000"/>
          <w:sz w:val="13"/>
        </w:rPr>
        <w:t xml:space="preserve">5 </w:t>
      </w:r>
      <w:r>
        <w:rPr>
          <w:rFonts w:ascii="Arial;sans-serif" w:hAnsi="Arial;sans-serif"/>
          <w:b w:val="false"/>
          <w:i/>
          <w:color w:val="000000"/>
          <w:sz w:val="20"/>
        </w:rPr>
        <w:t>Before the impact of gains or losses on change in fair value of derivatives and charges related to debt discounts and deferred financing costs.</w:t>
      </w:r>
    </w:p>
    <w:p>
      <w:pPr>
        <w:pStyle w:val="TextBody"/>
        <w:bidi w:val="0"/>
        <w:spacing w:lineRule="auto" w:line="288" w:before="0" w:after="120"/>
        <w:ind w:left="0" w:right="0" w:hanging="180"/>
        <w:jc w:val="both"/>
        <w:rPr/>
      </w:pPr>
      <w:r>
        <w:rPr>
          <w:rFonts w:ascii="Arial;sans-serif" w:hAnsi="Arial;sans-serif"/>
          <w:b w:val="false"/>
          <w:i/>
          <w:color w:val="000000"/>
          <w:sz w:val="13"/>
        </w:rPr>
        <w:t xml:space="preserve">6 </w:t>
      </w:r>
      <w:r>
        <w:rPr>
          <w:rFonts w:ascii="Arial;sans-serif" w:hAnsi="Arial;sans-serif"/>
          <w:b w:val="false"/>
          <w:i/>
          <w:color w:val="000000"/>
          <w:sz w:val="20"/>
        </w:rPr>
        <w:t>Excluding the impact of vesting of restricted stock units and stock option exercises.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fiscal 2025 outlook information provided in this release includes Adjusted Operating Income and Adjusted Diluted EPS guidance.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w:t>
      </w:r>
    </w:p>
    <w:p>
      <w:pPr>
        <w:pStyle w:val="TextBody"/>
        <w:bidi w:val="0"/>
        <w:spacing w:lineRule="auto" w:line="288" w:before="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fiscal 2025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These uncertainties include, but are not limited to, dynamic market conditions, unexpected disruptions including additional regulatory actions impacting international trade such as tariffs, and other macroeconomic risks and uncertainties. Actual results may vary and those variations may be material. As such, the Company’s results may not fall within the ranges contained in its fiscal 2025 outlook. The Company uses these forward-looking measures internally to assess and benchmark its results and strategic plans. See “Forward-Looking Statements”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64" w:before="0" w:after="60"/>
        <w:jc w:val="left"/>
        <w:rPr>
          <w:rFonts w:ascii="Arial;sans-serif" w:hAnsi="Arial;sans-serif"/>
          <w:b/>
          <w:color w:val="000000"/>
          <w:sz w:val="20"/>
        </w:rPr>
      </w:pPr>
      <w:r>
        <w:rPr>
          <w:rFonts w:ascii="Arial;sans-serif" w:hAnsi="Arial;sans-serif"/>
          <w:b/>
          <w:color w:val="000000"/>
          <w:sz w:val="20"/>
        </w:rPr>
        <w:t>Conference Call Details</w:t>
      </w:r>
    </w:p>
    <w:p>
      <w:pPr>
        <w:pStyle w:val="TextBody"/>
        <w:bidi w:val="0"/>
        <w:spacing w:lineRule="auto" w:line="288" w:before="0" w:after="0"/>
        <w:jc w:val="left"/>
        <w:rPr/>
      </w:pPr>
      <w:r>
        <w:rPr>
          <w:rFonts w:ascii="Arial;sans-serif" w:hAnsi="Arial;sans-serif"/>
          <w:b w:val="false"/>
          <w:color w:val="000000"/>
          <w:sz w:val="20"/>
        </w:rPr>
        <w:t>The Company will host a conference call to discuss the third quarter 2025 financial results and fiscal-year 2025 guidance today, November 5, 2025, at 8:30 a.m. Eastern Time. To pre-register for the conference call and obtain a dial-in number and passcode, please refer to the</w:t>
      </w:r>
      <w:r>
        <w:rPr>
          <w:color w:val="000000"/>
          <w:shd w:fill="FFFFFF" w:val="clear"/>
        </w:rPr>
        <w:t xml:space="preserve"> “</w:t>
      </w:r>
      <w:r>
        <w:rPr>
          <w:rFonts w:ascii="Arial;sans-serif" w:hAnsi="Arial;sans-serif"/>
          <w:b w:val="false"/>
          <w:color w:val="000000"/>
          <w:sz w:val="20"/>
          <w:shd w:fill="FFFFFF" w:val="clear"/>
        </w:rPr>
        <w:t>Investors” section of the Company’s</w:t>
      </w:r>
      <w:r>
        <w:rPr>
          <w:color w:val="000000"/>
        </w:rPr>
        <w:t xml:space="preserve"> </w:t>
      </w:r>
      <w:r>
        <w:rPr>
          <w:rFonts w:ascii="Arial;sans-serif" w:hAnsi="Arial;sans-serif"/>
          <w:b w:val="false"/>
          <w:color w:val="000000"/>
          <w:sz w:val="20"/>
        </w:rPr>
        <w:t xml:space="preserve">website at </w:t>
      </w:r>
      <w:r>
        <w:rPr>
          <w:rFonts w:ascii="Arial;sans-serif" w:hAnsi="Arial;sans-serif"/>
          <w:b w:val="false"/>
          <w:color w:val="0E32E1"/>
          <w:sz w:val="20"/>
          <w:u w:val="single"/>
        </w:rPr>
        <w:t>www.ir.nationalvision.com</w:t>
      </w:r>
      <w:r>
        <w:rPr>
          <w:rFonts w:ascii="Arial;sans-serif" w:hAnsi="Arial;sans-serif"/>
          <w:b w:val="false"/>
          <w:color w:val="000000"/>
          <w:sz w:val="20"/>
        </w:rPr>
        <w:t xml:space="preserve">. A live audio webcast of the conference call will be available on the “Investors” section of the Company’s website at </w:t>
      </w:r>
      <w:r>
        <w:rPr>
          <w:rFonts w:ascii="Arial;sans-serif" w:hAnsi="Arial;sans-serif"/>
          <w:b w:val="false"/>
          <w:color w:val="0E32E1"/>
          <w:sz w:val="20"/>
          <w:u w:val="single"/>
        </w:rPr>
        <w:t>www.ir.nationalvision.com</w:t>
      </w:r>
      <w:r>
        <w:rPr>
          <w:rFonts w:ascii="Arial;sans-serif" w:hAnsi="Arial;sans-serif"/>
          <w:b w:val="false"/>
          <w:color w:val="000000"/>
          <w:sz w:val="20"/>
        </w:rPr>
        <w:t xml:space="preserve">, where presentation materials will be posted prior to </w:t>
      </w:r>
      <w:r>
        <w:rPr>
          <w:rFonts w:ascii="Arial;sans-serif" w:hAnsi="Arial;sans-serif"/>
          <w:b w:val="false"/>
          <w:color w:val="000000"/>
          <w:sz w:val="20"/>
          <w:shd w:fill="FFFFFF" w:val="clear"/>
        </w:rPr>
        <w:t>the conference call. A replay of the audio webcast will also be archived on the “Investors” section of the Company’s website.</w:t>
      </w:r>
    </w:p>
    <w:p>
      <w:pPr>
        <w:pStyle w:val="TextBody"/>
        <w:bidi w:val="0"/>
        <w:spacing w:before="0" w:after="0"/>
        <w:jc w:val="left"/>
        <w:rPr/>
      </w:pPr>
      <w:r>
        <w:rPr/>
      </w:r>
    </w:p>
    <w:p>
      <w:pPr>
        <w:pStyle w:val="TextBody"/>
        <w:bidi w:val="0"/>
        <w:spacing w:lineRule="auto" w:line="264" w:before="0" w:after="60"/>
        <w:jc w:val="left"/>
        <w:rPr>
          <w:rFonts w:ascii="Arial;sans-serif" w:hAnsi="Arial;sans-serif"/>
          <w:b/>
          <w:color w:val="000000"/>
          <w:sz w:val="20"/>
        </w:rPr>
      </w:pPr>
      <w:r>
        <w:rPr>
          <w:rFonts w:ascii="Arial;sans-serif" w:hAnsi="Arial;sans-serif"/>
          <w:b/>
          <w:color w:val="000000"/>
          <w:sz w:val="20"/>
        </w:rPr>
        <w:t>About National Vision Holdings, Inc.</w:t>
      </w:r>
    </w:p>
    <w:p>
      <w:pPr>
        <w:pStyle w:val="TextBody"/>
        <w:bidi w:val="0"/>
        <w:spacing w:lineRule="auto" w:line="288" w:before="0" w:after="0"/>
        <w:jc w:val="left"/>
        <w:rPr/>
      </w:pPr>
      <w:r>
        <w:rPr>
          <w:rFonts w:ascii="Arial;sans-serif" w:hAnsi="Arial;sans-serif"/>
          <w:b w:val="false"/>
          <w:color w:val="000000"/>
          <w:sz w:val="20"/>
        </w:rPr>
        <w:t>National Vision Holdings, Inc. (NASDAQ: EYE) is one of the largest optical retail companies in the United States with over 1,200 stores in 38 states and Puerto Rico. With a mission of helping people by making quality eye care and eyewear more affordable and accessible, the company op</w:t>
      </w:r>
      <w:r>
        <w:rPr>
          <w:rFonts w:ascii="Arial;sans-serif" w:hAnsi="Arial;sans-serif"/>
          <w:b w:val="false"/>
          <w:color w:val="000000"/>
          <w:sz w:val="20"/>
          <w:shd w:fill="FFFFFF" w:val="clear"/>
        </w:rPr>
        <w:t>erates four retail brands: America’s Best Contacts &amp;</w:t>
      </w:r>
      <w:r>
        <w:rPr>
          <w:color w:val="000000"/>
        </w:rPr>
        <w:t xml:space="preserve"> </w:t>
      </w:r>
      <w:r>
        <w:rPr>
          <w:rFonts w:ascii="Arial;sans-serif" w:hAnsi="Arial;sans-serif"/>
          <w:b w:val="false"/>
          <w:color w:val="000000"/>
          <w:sz w:val="20"/>
        </w:rPr>
        <w:t>Eyeglasses, Eyeglass World, and Vista Opticals inside select Fred Meyer stores and on select military bases, and an e-commerce website DiscountContacts.com, offering a variety of products and services for customers’ eye care needs. For more information, please visit www.nationalvision.com.</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6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64" w:before="0" w:after="120"/>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2025 Outlook” as well as other statements related to our current beliefs and expectations regarding the performance of our industry, the Company’s strategic direction, market position, prospects including remote medicine and optometrist recruiting and retention initiatives, and future results. You can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120"/>
        <w:jc w:val="left"/>
        <w:rPr>
          <w:rFonts w:ascii="Arial;sans-serif" w:hAnsi="Arial;sans-serif"/>
          <w:b w:val="false"/>
          <w:color w:val="000000"/>
          <w:sz w:val="20"/>
        </w:rPr>
      </w:pPr>
      <w:r>
        <w:rPr>
          <w:rFonts w:ascii="Arial;sans-serif" w:hAnsi="Arial;sans-serif"/>
          <w:b w:val="false"/>
          <w:color w:val="000000"/>
          <w:sz w:val="20"/>
        </w:rPr>
        <w:t xml:space="preserve">identify these forward-looking statements by the use of words such as “outlook,” “guidance,” “believes,” “expects,” “potential,” “continues,” “may,” “will,” “should,” “could,” “seeks,” “projects,” “predicts,” “intends,” “plans,” “estimates,” “anticipates” or variations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market volatility, an overall decline in the health of the economy, global macroeconomic conditions and other factors that may affect consumer spending or behavior; our ability to successfully implement our transformation initiatives, or anticipate the impact of important strategic initiatives; our ability to recruit and retain vision care professionals for in-store roles or to provide remote care offerings; our ability to compete in the highly competitive optical retail industry; the success of our marketing, advertising and promotional efforts; our ability to maintain, protect, and enhance the value of our owned brands; our ability to open and operate new stores (including as a result of store conversions) in a timely and cost-effective manner or to successfully enter new markets; our ability to increase sales in existing stores and to successfully reinvest in existing stores; our ability to successfully implement our pricing strategies; changes in the cost of inputs, and factors such as wage rate increases, inflation, cost increases, increases in the price of raw materials and energy prices; significant capital requirements to fund our expanding business including updating our Enterprise Resource Planning (“ERP”) and Customer Relationship Management (“CRM”), and other technological, systems and capabilities; the potential for our growth strategy to strain our existing resources and cause the performance of our existing stores to suffer; risks associated with leasing substantial amounts of space, including future increases in occupancy costs; our ability to successfully manage the distinct risks faced by our e-commerce and omni-channel business; our ability to retain our existing senior management team or attract qualified new personnel; seasonal fluctuations in our operating results and inventory levels; the potential impacts of catastrophic events, including changing climate and weather patterns leading to severe weather and natural disasters; the potential for certain technological advances, greater availability of, or increased consumer preferences for, vision correction alternatives to prescription eyeglasses or contact lenses, or future drug development for the correction of vision-related problems to reduce the demand for our products; our ability to successfully manage our inventory balances and inventory shrinkage; the potential for the loss of, or disruption in the operations of, one or more of our distribution centers or optical laboratories, which would impact our ability to process and fulfill customer orders and deliver our products in a timely manner, or at all, or result in quality issues; the performance of our Host brands and our ability to maintain or extend our operating relationships with our Host partners, including impacts resulting from the termination of our partnership with Walmart; our investments in technological innovators in the optical retail industry, including artificial intelligence; sustainability issues, including those related to climate change; our ability to develop, maintain and extend relationships with managed vision care companies, vision insurance providers and other third-party payors; risks associated with vendors from whom our products are sourced and our dependence on a limited number of suppliers; the impact of any significant failure, inadequacy, interruption or security breach affecting our information technology systems, or those of our vendors; our reliance on third-party coverage and reimbursement, including government programs, for an increasing portion of our revenues; our ability to comply with state, local and federal vision care and healthcare laws and regulations, as well as managed vision care laws and regulations; liability stemming from rapidly changing and increasingly stringent laws, regulations, contractual obligations, and industry standards relating to privacy, data security and data protection; product liability, product recall or personal injury issues; our ability to comply with laws, regulations and enforcement activities or changes in statutory, regulatory, accounting and other legal requirements; the outcome of legal proceedings relating to our business operations; the protection and validity of our intellectual property; risks related to our indebtedness; changes in interest rates; restrictions in our credit agreement that limit our flexibility in operating our business; and risks related to owning our common stock.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and subsequent Quarterly Reports on Form 10-Q, which are accessible on the SEC’s website at www.sec.gov. These factors should not be construed as exhaustive and should be read in conjunction with the other cautionary statements that are included in this release and in our filings with the SEC.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pStyle w:val="TextBody"/>
        <w:bidi w:val="0"/>
        <w:spacing w:before="0" w:after="0"/>
        <w:jc w:val="left"/>
        <w:rPr/>
      </w:pPr>
      <w:r>
        <w:rPr/>
      </w:r>
    </w:p>
    <w:p>
      <w:pPr>
        <w:pStyle w:val="TextBody"/>
        <w:bidi w:val="0"/>
        <w:spacing w:lineRule="auto" w:line="288" w:before="0" w:after="60"/>
        <w:jc w:val="left"/>
        <w:rPr/>
      </w:pPr>
      <w:r>
        <w:rPr>
          <w:rFonts w:ascii="Arial;sans-serif" w:hAnsi="Arial;sans-serif"/>
          <w:b/>
          <w:i/>
          <w:color w:val="000000"/>
          <w:sz w:val="20"/>
        </w:rPr>
        <w:t xml:space="preserve">EBITDA: </w:t>
      </w:r>
      <w:r>
        <w:rPr>
          <w:rFonts w:ascii="Arial;sans-serif" w:hAnsi="Arial;sans-serif"/>
          <w:b w:val="false"/>
          <w:color w:val="000000"/>
          <w:sz w:val="20"/>
        </w:rPr>
        <w:t>We define EBITDA from continuing operations as net income (loss), minus income (loss) from discontinued operations, net of tax, plus interest expense (income), net, income tax provision (benefit), and depreciation and amortization.</w:t>
      </w:r>
    </w:p>
    <w:p>
      <w:pPr>
        <w:pStyle w:val="TextBody"/>
        <w:bidi w:val="0"/>
        <w:spacing w:lineRule="auto" w:line="288" w:before="0" w:after="60"/>
        <w:jc w:val="left"/>
        <w:rPr/>
      </w:pPr>
      <w:r>
        <w:rPr>
          <w:rFonts w:ascii="Arial;sans-serif" w:hAnsi="Arial;sans-serif"/>
          <w:b/>
          <w:i/>
          <w:color w:val="000000"/>
          <w:sz w:val="20"/>
        </w:rPr>
        <w:t>Adjusted Operating Income:</w:t>
      </w:r>
      <w:r>
        <w:rPr>
          <w:color w:val="000000"/>
        </w:rPr>
        <w:t> </w:t>
      </w:r>
      <w:r>
        <w:rPr>
          <w:rFonts w:ascii="Arial;sans-serif" w:hAnsi="Arial;sans-serif"/>
          <w:b w:val="false"/>
          <w:color w:val="000000"/>
          <w:sz w:val="20"/>
        </w:rPr>
        <w:t xml:space="preserve">We define Adjusted Operating Income from continuing operations as net income (loss), minus income (loss) from discontinued operations, net of tax, plus interest expense (income), net and income 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Enterprise Resource Planning (“ERP”) and Customer Relationship Management (“CRM”) implementation expenses, shareholder activism costs, severance and employee-related costs associated with organizational restructuring and certain other expenses. </w:t>
      </w:r>
    </w:p>
    <w:p>
      <w:pPr>
        <w:pStyle w:val="TextBody"/>
        <w:bidi w:val="0"/>
        <w:spacing w:lineRule="auto" w:line="288" w:before="0" w:after="60"/>
        <w:jc w:val="left"/>
        <w:rPr/>
      </w:pPr>
      <w:r>
        <w:rPr>
          <w:rFonts w:ascii="Arial;sans-serif" w:hAnsi="Arial;sans-serif"/>
          <w:b/>
          <w:i/>
          <w:color w:val="000000"/>
          <w:sz w:val="20"/>
        </w:rPr>
        <w:t>Adjusted Operating Margin: </w:t>
      </w:r>
      <w:r>
        <w:rPr>
          <w:rFonts w:ascii="Arial;sans-serif" w:hAnsi="Arial;sans-serif"/>
          <w:b w:val="false"/>
          <w:color w:val="000000"/>
          <w:sz w:val="20"/>
        </w:rPr>
        <w:t>We define Adjusted Operating Margin from continuing operations as Adjusted Operating Income from continuing operations as a percentage of total net revenue.</w:t>
      </w:r>
    </w:p>
    <w:p>
      <w:pPr>
        <w:pStyle w:val="TextBody"/>
        <w:bidi w:val="0"/>
        <w:spacing w:lineRule="auto" w:line="288" w:before="0" w:after="60"/>
        <w:jc w:val="left"/>
        <w:rPr/>
      </w:pPr>
      <w:r>
        <w:rPr>
          <w:rFonts w:ascii="Arial;sans-serif" w:hAnsi="Arial;sans-serif"/>
          <w:b/>
          <w:i/>
          <w:color w:val="000000"/>
          <w:sz w:val="20"/>
        </w:rPr>
        <w:t>Adjusted EBITDA:</w:t>
      </w:r>
      <w:r>
        <w:rPr>
          <w:color w:val="000000"/>
        </w:rPr>
        <w:t xml:space="preserve"> </w:t>
      </w:r>
      <w:r>
        <w:rPr>
          <w:rFonts w:ascii="Arial;sans-serif" w:hAnsi="Arial;sans-serif"/>
          <w:b w:val="false"/>
          <w:color w:val="000000"/>
          <w:sz w:val="20"/>
        </w:rPr>
        <w:t>We define Adjusted EBITDA from continuing operations as net income (loss), minus income (loss) from discontinued operations, net of tax, plus interest expense (income), net, income tax provision and 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shareholder activism, severance and employee-related costs associated with restructuring and certain other expenses.</w:t>
      </w:r>
    </w:p>
    <w:p>
      <w:pPr>
        <w:pStyle w:val="TextBody"/>
        <w:bidi w:val="0"/>
        <w:spacing w:lineRule="auto" w:line="288" w:before="0" w:after="60"/>
        <w:jc w:val="left"/>
        <w:rPr/>
      </w:pPr>
      <w:r>
        <w:rPr>
          <w:rFonts w:ascii="Arial;sans-serif" w:hAnsi="Arial;sans-serif"/>
          <w:b/>
          <w:i/>
          <w:color w:val="000000"/>
          <w:sz w:val="20"/>
        </w:rPr>
        <w:t xml:space="preserve">Adjusted EBITDA Margin: </w:t>
      </w:r>
      <w:r>
        <w:rPr>
          <w:rFonts w:ascii="Arial;sans-serif" w:hAnsi="Arial;sans-serif"/>
          <w:b w:val="false"/>
          <w:color w:val="000000"/>
          <w:sz w:val="20"/>
        </w:rPr>
        <w:t>We define Adjusted EBITDA Margin from continuing operations as Adjusted EBITDA from continuing operations as a percentage of total net revenue.</w:t>
      </w:r>
    </w:p>
    <w:p>
      <w:pPr>
        <w:pStyle w:val="TextBody"/>
        <w:bidi w:val="0"/>
        <w:spacing w:lineRule="auto" w:line="288" w:before="0" w:after="60"/>
        <w:jc w:val="left"/>
        <w:rPr/>
      </w:pPr>
      <w:r>
        <w:rPr>
          <w:rFonts w:ascii="Arial;sans-serif" w:hAnsi="Arial;sans-serif"/>
          <w:b/>
          <w:i/>
          <w:color w:val="000000"/>
          <w:sz w:val="20"/>
        </w:rPr>
        <w:t>Adjusted Diluted EPS:</w:t>
      </w:r>
      <w:r>
        <w:rPr>
          <w:color w:val="000000"/>
        </w:rPr>
        <w:t xml:space="preserve"> </w:t>
      </w:r>
      <w:r>
        <w:rPr>
          <w:rFonts w:ascii="Arial;sans-serif" w:hAnsi="Arial;sans-serif"/>
          <w:b w:val="false"/>
          <w:color w:val="000000"/>
          <w:sz w:val="20"/>
        </w:rPr>
        <w:t xml:space="preserve">We define Adjusted Diluted EPS from continuing operations as diluted earnings (loss) per share, minus diluted earnings (loss) per share from discontinued operations, adjusted for the per share impact of stock-based compensation expense, (gain)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2.50% convertible senior notes due on May 15, 2025 ("2025 Notes") when not required under U.S. GAAP to be added back for diluted earnings (loss) per share, derivative fair value adjustments, ERP and CRM implementation expenses, shareholder activism, severance and employee-related costs associated with restructuring and certain other expenses, and related tax effects. </w:t>
      </w:r>
    </w:p>
    <w:p>
      <w:pPr>
        <w:pStyle w:val="TextBody"/>
        <w:bidi w:val="0"/>
        <w:spacing w:lineRule="auto" w:line="288" w:before="0" w:after="60"/>
        <w:jc w:val="left"/>
        <w:rPr/>
      </w:pPr>
      <w:r>
        <w:rPr>
          <w:rFonts w:ascii="Arial;sans-serif" w:hAnsi="Arial;sans-serif"/>
          <w:b/>
          <w:i/>
          <w:color w:val="000000"/>
          <w:sz w:val="20"/>
        </w:rPr>
        <w:t xml:space="preserve">Adjusted SG&amp;A: </w:t>
      </w:r>
      <w:r>
        <w:rPr>
          <w:rFonts w:ascii="Arial;sans-serif" w:hAnsi="Arial;sans-serif"/>
          <w:b w:val="false"/>
          <w:color w:val="000000"/>
          <w:sz w:val="20"/>
        </w:rPr>
        <w:t xml:space="preserve">We define Adjusted SG&amp;A from continuing operations as SG&amp;A from continuing operations adjusted to exclude stock-based compensation expense, litigation settlement, secondary offering expenses, management realignment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expenses, long-term incentive plan expense, ERP and CRM implementation expenses, shareholder activism, severance and employee-related costs associated with restructuring and certain other expenses. </w:t>
      </w:r>
    </w:p>
    <w:p>
      <w:pPr>
        <w:pStyle w:val="TextBody"/>
        <w:bidi w:val="0"/>
        <w:spacing w:lineRule="auto" w:line="288" w:before="0" w:after="60"/>
        <w:jc w:val="left"/>
        <w:rPr/>
      </w:pPr>
      <w:r>
        <w:rPr>
          <w:rFonts w:ascii="Arial;sans-serif" w:hAnsi="Arial;sans-serif"/>
          <w:b/>
          <w:i/>
          <w:color w:val="000000"/>
          <w:sz w:val="20"/>
        </w:rPr>
        <w:t xml:space="preserve">Adjusted SG&amp;A Percent of Net Revenue: </w:t>
      </w:r>
      <w:r>
        <w:rPr>
          <w:rFonts w:ascii="Arial;sans-serif" w:hAnsi="Arial;sans-serif"/>
          <w:b w:val="false"/>
          <w:color w:val="000000"/>
          <w:sz w:val="20"/>
        </w:rPr>
        <w:t>We define Adjusted SG&amp;A Percent of Net Revenue from continuing operations as Adjusted SG&amp;A from continuing operations as a percentage of total net revenue.</w:t>
      </w:r>
    </w:p>
    <w:p>
      <w:pPr>
        <w:pStyle w:val="TextBody"/>
        <w:bidi w:val="0"/>
        <w:spacing w:lineRule="auto" w:line="288" w:before="0" w:after="60"/>
        <w:jc w:val="left"/>
        <w:rPr/>
      </w:pPr>
      <w:r>
        <w:rPr>
          <w:rFonts w:ascii="Arial;sans-serif" w:hAnsi="Arial;sans-serif"/>
          <w:b/>
          <w:i/>
          <w:color w:val="000000"/>
          <w:sz w:val="20"/>
        </w:rPr>
        <w:t>Adjusted Comparable Store Sales Growth:</w:t>
      </w:r>
      <w:r>
        <w:rPr>
          <w:color w:val="000000"/>
        </w:rPr>
        <w:t xml:space="preserve"> </w:t>
      </w:r>
      <w:r>
        <w:rPr>
          <w:rFonts w:ascii="Arial;sans-serif" w:hAnsi="Arial;sans-serif"/>
          <w:b w:val="false"/>
          <w:color w:val="000000"/>
          <w:sz w:val="20"/>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 </w:t>
      </w:r>
    </w:p>
    <w:p>
      <w:pPr>
        <w:pStyle w:val="TextBody"/>
        <w:bidi w:val="0"/>
        <w:spacing w:lineRule="auto" w:line="288" w:before="0" w:after="60"/>
        <w:jc w:val="left"/>
        <w:rPr>
          <w:rFonts w:ascii="Arial;sans-serif" w:hAnsi="Arial;sans-serif"/>
          <w:b w:val="false"/>
          <w:i/>
          <w:color w:val="000000"/>
          <w:sz w:val="20"/>
        </w:rPr>
      </w:pPr>
      <w:r>
        <w:rPr>
          <w:rFonts w:ascii="Arial;sans-serif" w:hAnsi="Arial;sans-serif"/>
          <w:b w:val="false"/>
          <w:i/>
          <w:color w:val="000000"/>
          <w:sz w:val="20"/>
        </w:rPr>
        <w:t>Please see “Reconciliation of Non-GAAP to GAAP Financial Measures” below for reconciliations of non-GAAP financial measures used in this release to their most directly comparable 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865"/>
        <w:gridCol w:w="2028"/>
        <w:gridCol w:w="2039"/>
        <w:gridCol w:w="229"/>
        <w:gridCol w:w="1108"/>
        <w:gridCol w:w="118"/>
        <w:gridCol w:w="109"/>
        <w:gridCol w:w="109"/>
        <w:gridCol w:w="109"/>
        <w:gridCol w:w="226"/>
        <w:gridCol w:w="1096"/>
        <w:gridCol w:w="169"/>
      </w:tblGrid>
      <w:tr>
        <w:trPr/>
        <w:tc>
          <w:tcPr>
            <w:tcW w:w="2865"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 except share data</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 of</w:t>
              <w:br/>
              <w:t>December 28, 2024</w:t>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ASSETS </w:t>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220,188 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249,828 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assets:</w:t>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340,135 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362,175 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700,642 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698,305 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 and trade names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240,547 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386,793 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408,589 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assets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1,738,284 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1,757,943 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1,958,472 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2,007,771 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payables and accrued expenses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revenue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62,507 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maturities of long-term debt and finance lease obligations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operating lease obligations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468,274 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Noncurrent liabilities:</w:t>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and finance lease obligations, less current portion and debt discount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236,514 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248,610 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obligations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337,824 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366,335 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non-current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682,746 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723,164 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Common stock, $0.01 par value; 200,000,000 shares authorized; 86,098,306 and 85,444,263 shares issued as of September 27, 2025 and December 28, 2024, respectively; 79,259,590 and 78,775,117 shares outstanding as of September 27, 2025 and December 28, 2024, respectively</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825,742 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807,048 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226,117 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Treasury stock, at cost; 6,838,716 and 6,669,146 shares as of September 27, 2025 and December 28, 2024, respectively</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(220,241)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(217,686)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858,761 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816,333 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1,958,472 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2,007,771 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National Vision Holdings,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and Comprehensive Income (Unaudited)</w:t>
      </w:r>
    </w:p>
    <w:tbl>
      <w:tblPr>
        <w:tblW w:w="10205" w:type="dxa"/>
        <w:jc w:val="left"/>
        <w:tblInd w:w="0" w:type="dxa"/>
        <w:tblLayout w:type="fixed"/>
        <w:tblCellMar>
          <w:top w:w="28" w:type="dxa"/>
          <w:left w:w="28" w:type="dxa"/>
          <w:bottom w:w="28" w:type="dxa"/>
          <w:right w:w="28" w:type="dxa"/>
        </w:tblCellMar>
      </w:tblPr>
      <w:tblGrid>
        <w:gridCol w:w="1421"/>
        <w:gridCol w:w="959"/>
        <w:gridCol w:w="965"/>
        <w:gridCol w:w="251"/>
        <w:gridCol w:w="1021"/>
        <w:gridCol w:w="129"/>
        <w:gridCol w:w="109"/>
        <w:gridCol w:w="109"/>
        <w:gridCol w:w="109"/>
        <w:gridCol w:w="251"/>
        <w:gridCol w:w="1021"/>
        <w:gridCol w:w="129"/>
        <w:gridCol w:w="109"/>
        <w:gridCol w:w="109"/>
        <w:gridCol w:w="109"/>
        <w:gridCol w:w="237"/>
        <w:gridCol w:w="1152"/>
        <w:gridCol w:w="122"/>
        <w:gridCol w:w="109"/>
        <w:gridCol w:w="109"/>
        <w:gridCol w:w="109"/>
        <w:gridCol w:w="237"/>
        <w:gridCol w:w="1148"/>
        <w:gridCol w:w="181"/>
      </w:tblGrid>
      <w:tr>
        <w:trPr/>
        <w:tc>
          <w:tcPr>
            <w:tcW w:w="142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In thousands, except per share amounts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28, 2024</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product sales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393,483 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363,156 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1,200,837 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1,113,206 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sales of services and plans </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283,240 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272,836 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487,330 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451,515 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1,484,077 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1,386,042 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applicable to revenue (exclusive of depreciation and amortization):</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106,392 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346,215 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330,809 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 and plans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applicable to revenue</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203,199 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189,929 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608,760 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579,055 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252,339 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755,038 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705,472 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operating expenses </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274,523 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270,407 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823,123 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791,775 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52,194 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extinguishment of debt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(loss) from continuing operations before income taxes</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39,293 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from continuing operations</w:t>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discontinued operations, net of tax</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Basic earnings (loss) per share:</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Continuing operations </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Discontinued operations </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Diluted earnings (loss) per share:</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Continuing operations </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Discontinued operations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shares outstanding:</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Comprehensive income (loss):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hedge instruments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provision of unrealized gain on hedge instruments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income (loss)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(8,404)</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bookmarkStart w:id="1" w:name="i8c363fb4c2ba4e2299ab1e4db6a52f97_326"/>
      <w:bookmarkEnd w:id="1"/>
      <w:r>
        <w:rPr>
          <w:rFonts w:ascii="Arial;sans-serif" w:hAnsi="Arial;sans-serif"/>
          <w:b/>
          <w:color w:val="000000"/>
          <w:sz w:val="20"/>
        </w:rPr>
        <w:t xml:space="preserve">National Vision Holdings, Inc. and Subsidiaries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25"/>
        <w:gridCol w:w="1999"/>
        <w:gridCol w:w="2013"/>
        <w:gridCol w:w="343"/>
        <w:gridCol w:w="1225"/>
        <w:gridCol w:w="177"/>
        <w:gridCol w:w="109"/>
        <w:gridCol w:w="109"/>
        <w:gridCol w:w="109"/>
        <w:gridCol w:w="338"/>
        <w:gridCol w:w="1206"/>
        <w:gridCol w:w="252"/>
      </w:tblGrid>
      <w:tr>
        <w:trPr/>
        <w:tc>
          <w:tcPr>
            <w:tcW w:w="232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6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28, 2024</w:t>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69,934 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discount and deferred financing costs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cloud computing implementation costs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Asset impairment </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17,915 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expense (benefit)</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(Gains) on change in fair value of derivatives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adjustments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39,705 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28,697 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 and lease liabilities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(26,077)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(27,997)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and unearned revenue</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(31,884)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133,134 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103,367 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7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(48,441)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(63,485)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(52,289)</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(62,368)</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7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on long-term debt</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(94,712)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(218,751)</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on long-term debt</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115,000 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debt issuance costs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finance lease obligations</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common stock</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treasury stock</w:t>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financing activities</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(98,509)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(109,351)</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(17,664)</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(68,352)</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beginning of year</w:t>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151,027 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Cash, cash equivalents and restricted cash, end of period </w:t>
            </w:r>
            <w:r>
              <w:rPr>
                <w:rFonts w:ascii="Arial;sans-serif" w:hAnsi="Arial;sans-serif"/>
                <w:b w:val="false"/>
                <w:color w:val="000000"/>
                <w:sz w:val="13"/>
              </w:rPr>
              <w:t>(i)</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57,573 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82,675 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r>
      <w:tr>
        <w:trPr/>
        <w:tc>
          <w:tcPr>
            <w:tcW w:w="633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jc w:val="both"/>
        <w:rPr>
          <w:rFonts w:ascii="Arial;sans-serif" w:hAnsi="Arial;sans-serif"/>
          <w:b w:val="false"/>
          <w:color w:val="000000"/>
          <w:sz w:val="13"/>
        </w:rPr>
      </w:pPr>
      <w:r>
        <w:rPr>
          <w:rFonts w:ascii="Arial;sans-serif" w:hAnsi="Arial;sans-serif"/>
          <w:b w:val="false"/>
          <w:color w:val="000000"/>
          <w:sz w:val="13"/>
        </w:rPr>
        <w:t>(i) Cash balance includes restricted cash of $1.5 million and $1.5 million for the nine months ended September 27, 2025 and September 28, 2024, respectively, that are not reflected in cash and cash equivalents shown on the Condensed Consolidated Balance Sheets.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National Vision Holdings,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Non-GAAP to GAAP Financial Measures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51"/>
        <w:gridCol w:w="881"/>
        <w:gridCol w:w="883"/>
        <w:gridCol w:w="253"/>
        <w:gridCol w:w="902"/>
        <w:gridCol w:w="343"/>
        <w:gridCol w:w="127"/>
        <w:gridCol w:w="127"/>
        <w:gridCol w:w="127"/>
        <w:gridCol w:w="253"/>
        <w:gridCol w:w="902"/>
        <w:gridCol w:w="343"/>
        <w:gridCol w:w="127"/>
        <w:gridCol w:w="127"/>
        <w:gridCol w:w="127"/>
        <w:gridCol w:w="253"/>
        <w:gridCol w:w="902"/>
        <w:gridCol w:w="343"/>
        <w:gridCol w:w="127"/>
        <w:gridCol w:w="127"/>
        <w:gridCol w:w="127"/>
        <w:gridCol w:w="251"/>
        <w:gridCol w:w="897"/>
        <w:gridCol w:w="405"/>
      </w:tblGrid>
      <w:tr>
        <w:trPr/>
        <w:tc>
          <w:tcPr>
            <w:tcW w:w="125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Operating Income from Continuing Operations to Net Income (Loss)</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27, 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28, 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27, 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28, 2024</w:t>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(8,468)</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26,283 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discontinued operations, net of tax</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(2,180)</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(loss) from continuing operations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(8,440)</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26,283 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2,239 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11,779 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Gain on extinguishment of debt </w:t>
            </w:r>
            <w:r>
              <w:rPr>
                <w:rFonts w:ascii="Arial;sans-serif" w:hAnsi="Arial;sans-serif"/>
                <w:b w:val="false"/>
                <w:color w:val="000000"/>
                <w:sz w:val="13"/>
              </w:rPr>
              <w:t>(b)</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(c)</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13,726 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17,701 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settlement </w:t>
            </w:r>
            <w:r>
              <w:rPr>
                <w:rFonts w:ascii="Arial;sans-serif" w:hAnsi="Arial;sans-serif"/>
                <w:b w:val="false"/>
                <w:color w:val="000000"/>
                <w:sz w:val="13"/>
              </w:rPr>
              <w:t>(d)</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Amortization of acquisition intangibles </w:t>
            </w:r>
            <w:r>
              <w:rPr>
                <w:rFonts w:ascii="Arial;sans-serif" w:hAnsi="Arial;sans-serif"/>
                <w:b w:val="false"/>
                <w:color w:val="000000"/>
                <w:sz w:val="13"/>
              </w:rPr>
              <w:t>(e)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(h)</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1,804 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5,529 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color w:val="000000"/>
              </w:rPr>
              <w:t xml:space="preserve"> </w:t>
            </w:r>
            <w:r>
              <w:rPr>
                <w:rFonts w:ascii="Arial;sans-serif" w:hAnsi="Arial;sans-serif"/>
                <w:b w:val="false"/>
                <w:color w:val="000000"/>
                <w:sz w:val="13"/>
              </w:rPr>
              <w:t>(i)</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2,589 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Operating Income from continuing operations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19,807 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14,294 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84,883 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62,261 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(loss) from continuing operations margin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Operating Margin from continuing operations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Note: Percentages reflect line item as a percentage of total net revenue, adjusted for rounding.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94"/>
        <w:gridCol w:w="700"/>
        <w:gridCol w:w="701"/>
        <w:gridCol w:w="261"/>
        <w:gridCol w:w="929"/>
        <w:gridCol w:w="354"/>
        <w:gridCol w:w="134"/>
        <w:gridCol w:w="134"/>
        <w:gridCol w:w="134"/>
        <w:gridCol w:w="261"/>
        <w:gridCol w:w="929"/>
        <w:gridCol w:w="354"/>
        <w:gridCol w:w="134"/>
        <w:gridCol w:w="134"/>
        <w:gridCol w:w="134"/>
        <w:gridCol w:w="261"/>
        <w:gridCol w:w="1059"/>
        <w:gridCol w:w="354"/>
        <w:gridCol w:w="134"/>
        <w:gridCol w:w="134"/>
        <w:gridCol w:w="134"/>
        <w:gridCol w:w="261"/>
        <w:gridCol w:w="1059"/>
        <w:gridCol w:w="422"/>
      </w:tblGrid>
      <w:tr>
        <w:trPr/>
        <w:tc>
          <w:tcPr>
            <w:tcW w:w="10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EBITDA from Continuing Operations and Adjusted EBITDA from Continuing Operations to Net Income (Loss)</w:t>
            </w:r>
          </w:p>
        </w:tc>
      </w:tr>
      <w:tr>
        <w:trPr/>
        <w:tc>
          <w:tcPr>
            <w:tcW w:w="2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2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27, 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28, 2024</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27, 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28, 2024</w:t>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(8,468)</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26,283 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discontinued operations, net of tax</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(2,180)</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(loss) from continuing operations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(8,440)</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26,283 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4,119 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4,108 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provision (benefit)</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2,239 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22,185 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22,690 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67,684 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68,603 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 from continuing operations</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31,793 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14,728 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119,878 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84,674 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4,615 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11,779 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Gain on extinguishment of debt </w:t>
            </w:r>
            <w:r>
              <w:rPr>
                <w:rFonts w:ascii="Arial;sans-serif" w:hAnsi="Arial;sans-serif"/>
                <w:b w:val="false"/>
                <w:color w:val="000000"/>
                <w:sz w:val="13"/>
              </w:rPr>
              <w:t>(b)</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(c)</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13,726 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Litigation settlement</w:t>
            </w:r>
            <w:r>
              <w:rPr>
                <w:color w:val="000000"/>
              </w:rPr>
              <w:t xml:space="preserve"> </w:t>
            </w:r>
            <w:r>
              <w:rPr>
                <w:rFonts w:ascii="Arial;sans-serif" w:hAnsi="Arial;sans-serif"/>
                <w:b w:val="false"/>
                <w:color w:val="000000"/>
                <w:sz w:val="13"/>
              </w:rPr>
              <w:t>(d)</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4,450 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(h)</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1,804 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5,529 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4,461 </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(i)</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2,589 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6,412 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7,514 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from continuing operations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41,823 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36,603 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152,060 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129,720 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Income (loss) from continuing operations margin</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 from continuing operations</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Note: Percentages reflect line item as a percentage of total net revenue, adjusted for rounding.</w:t>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294"/>
        <w:gridCol w:w="965"/>
        <w:gridCol w:w="971"/>
        <w:gridCol w:w="393"/>
        <w:gridCol w:w="858"/>
        <w:gridCol w:w="165"/>
        <w:gridCol w:w="139"/>
        <w:gridCol w:w="139"/>
        <w:gridCol w:w="139"/>
        <w:gridCol w:w="380"/>
        <w:gridCol w:w="879"/>
        <w:gridCol w:w="158"/>
        <w:gridCol w:w="139"/>
        <w:gridCol w:w="139"/>
        <w:gridCol w:w="139"/>
        <w:gridCol w:w="393"/>
        <w:gridCol w:w="858"/>
        <w:gridCol w:w="165"/>
        <w:gridCol w:w="139"/>
        <w:gridCol w:w="139"/>
        <w:gridCol w:w="139"/>
        <w:gridCol w:w="388"/>
        <w:gridCol w:w="844"/>
        <w:gridCol w:w="243"/>
      </w:tblGrid>
      <w:tr>
        <w:trPr/>
        <w:tc>
          <w:tcPr>
            <w:tcW w:w="129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Diluted EPS from Continuing Operations to Diluted EPS</w:t>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3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Shares in thousands, except per share amounts</w:t>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27, 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28, 2024</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27, 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28, 2024</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EPS from discontinued operations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 from continuing operations</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Gain on extinguishment of debt </w:t>
            </w:r>
            <w:r>
              <w:rPr>
                <w:rFonts w:ascii="Arial;sans-serif" w:hAnsi="Arial;sans-serif"/>
                <w:b w:val="false"/>
                <w:color w:val="000000"/>
                <w:sz w:val="13"/>
              </w:rPr>
              <w:t>(b)</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 impairment </w:t>
            </w:r>
            <w:r>
              <w:rPr>
                <w:rFonts w:ascii="Arial;sans-serif" w:hAnsi="Arial;sans-serif"/>
                <w:b w:val="false"/>
                <w:color w:val="000000"/>
                <w:sz w:val="13"/>
              </w:rPr>
              <w:t>(c)</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settlement </w:t>
            </w:r>
            <w:r>
              <w:rPr>
                <w:rFonts w:ascii="Arial;sans-serif" w:hAnsi="Arial;sans-serif"/>
                <w:b w:val="false"/>
                <w:color w:val="000000"/>
                <w:sz w:val="13"/>
              </w:rPr>
              <w:t>(d)</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Amortization of acquisition intangibles </w:t>
            </w:r>
            <w:r>
              <w:rPr>
                <w:rFonts w:ascii="Arial;sans-serif" w:hAnsi="Arial;sans-serif"/>
                <w:b w:val="false"/>
                <w:color w:val="000000"/>
                <w:sz w:val="13"/>
              </w:rPr>
              <w:t>(e)</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Amortization of debt discount and deferred financing costs </w:t>
            </w:r>
            <w:r>
              <w:rPr>
                <w:rFonts w:ascii="Arial;sans-serif" w:hAnsi="Arial;sans-serif"/>
                <w:b w:val="false"/>
                <w:color w:val="000000"/>
                <w:sz w:val="13"/>
              </w:rPr>
              <w:t>(f)</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Derivatives fair value adjustments </w:t>
            </w:r>
            <w:r>
              <w:rPr>
                <w:rFonts w:ascii="Arial;sans-serif" w:hAnsi="Arial;sans-serif"/>
                <w:b w:val="false"/>
                <w:color w:val="000000"/>
                <w:sz w:val="13"/>
              </w:rPr>
              <w:t>(g)</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(h)</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(i)</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Tax effects </w:t>
            </w:r>
            <w:r>
              <w:rPr>
                <w:rFonts w:ascii="Arial;sans-serif" w:hAnsi="Arial;sans-serif"/>
                <w:b w:val="false"/>
                <w:color w:val="000000"/>
                <w:sz w:val="13"/>
              </w:rPr>
              <w:t>(j)</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Diluted EPS from continuing operations</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diluted shares outstanding</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80,170 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78,747 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9"/>
        <w:gridCol w:w="874"/>
        <w:gridCol w:w="860"/>
        <w:gridCol w:w="236"/>
        <w:gridCol w:w="960"/>
        <w:gridCol w:w="320"/>
        <w:gridCol w:w="122"/>
        <w:gridCol w:w="122"/>
        <w:gridCol w:w="122"/>
        <w:gridCol w:w="236"/>
        <w:gridCol w:w="960"/>
        <w:gridCol w:w="320"/>
        <w:gridCol w:w="122"/>
        <w:gridCol w:w="122"/>
        <w:gridCol w:w="122"/>
        <w:gridCol w:w="236"/>
        <w:gridCol w:w="960"/>
        <w:gridCol w:w="320"/>
        <w:gridCol w:w="122"/>
        <w:gridCol w:w="122"/>
        <w:gridCol w:w="122"/>
        <w:gridCol w:w="236"/>
        <w:gridCol w:w="960"/>
        <w:gridCol w:w="380"/>
      </w:tblGrid>
      <w:tr>
        <w:trPr/>
        <w:tc>
          <w:tcPr>
            <w:tcW w:w="124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SG&amp;A from Continuing Operations to SG&amp;A from Continuing Operations</w:t>
            </w:r>
          </w:p>
        </w:tc>
      </w:tr>
      <w:tr>
        <w:trPr/>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w:t>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27, 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28, 2024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27, 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September 28, 2024</w:t>
            </w:r>
          </w:p>
        </w:tc>
      </w:tr>
      <w:tr>
        <w:trPr/>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SG&amp;A from continuing operations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252,339 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233,991 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755,038 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705,472 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Stock-based compensation expense </w:t>
            </w:r>
            <w:r>
              <w:rPr>
                <w:rFonts w:ascii="Arial;sans-serif" w:hAnsi="Arial;sans-serif"/>
                <w:b w:val="false"/>
                <w:color w:val="000000"/>
                <w:sz w:val="13"/>
              </w:rPr>
              <w:t>(a)</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17,836 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11,779 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Litigation settlement </w:t>
            </w:r>
            <w:r>
              <w:rPr>
                <w:rFonts w:ascii="Arial;sans-serif" w:hAnsi="Arial;sans-serif"/>
                <w:b w:val="false"/>
                <w:color w:val="000000"/>
                <w:sz w:val="13"/>
              </w:rPr>
              <w:t>(d)</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ERP and CRM implementation expenses </w:t>
            </w:r>
            <w:r>
              <w:rPr>
                <w:rFonts w:ascii="Arial;sans-serif" w:hAnsi="Arial;sans-serif"/>
                <w:b w:val="false"/>
                <w:color w:val="000000"/>
                <w:sz w:val="13"/>
              </w:rPr>
              <w:t>(h)</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(i)</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7,457 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SG&amp;A from continuing operations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242,309 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225,040 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723,358 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677,325 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SG&amp;A from continuing operations Percent of Net Revenue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SG&amp;A from continuing operations Percent of Net Revenue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Note: Percentages reflect line item as a percentage of total net revenue.</w:t>
            </w:r>
          </w:p>
        </w:tc>
      </w:tr>
    </w:tbl>
    <w:p>
      <w:pPr>
        <w:pStyle w:val="TextBody"/>
        <w:bidi w:val="0"/>
        <w:spacing w:before="0" w:after="0"/>
        <w:jc w:val="both"/>
        <w:rPr/>
      </w:pPr>
      <w:r>
        <w:rPr/>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(a)Non-cash charges related to stock-based compensation programs, which vary from period to period depending on the timing of awards and performance vesting conditions.</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(b)For the three and nine months ended September 28, 2024, reflects the gain on extinguishment related to the repurchase of $217.7 million of the 2025 Notes on August 12, 2024.</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(c)Reflects write-off related to non-cash impairment charges of long-lived assets, primarily impairment of Fred Meyer contracts and relationships intangible asset of $10.5 million for the three and nine months ended September 28, 2024, impairment of property, equipment and lease-related assets on closed or underperforming stores, and certain store closure decisions made as part of the Company’s store optimization review during the three months ended September 28, 2024.</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(d)Expenses associated with settlement of certain litigation.</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(e)Amortization of the increase in carrying values of finite-lived intangible assets resulting from the application of purchase accounting following the acquisition of the Company by affiliates of KKR &amp; Co. Inc.</w:t>
      </w:r>
    </w:p>
    <w:p>
      <w:pPr>
        <w:pStyle w:val="TextBody"/>
        <w:bidi w:val="0"/>
        <w:spacing w:lineRule="auto" w:line="288" w:before="0" w:after="20"/>
        <w:ind w:left="0" w:right="0" w:hanging="360"/>
        <w:jc w:val="left"/>
        <w:rPr/>
      </w:pPr>
      <w:r>
        <w:rPr>
          <w:rFonts w:ascii="Arial;sans-serif" w:hAnsi="Arial;sans-serif"/>
          <w:b w:val="false"/>
          <w:color w:val="000000"/>
          <w:sz w:val="18"/>
        </w:rPr>
        <w:t xml:space="preserve">(f)Amortization of deferred financing costs and other non-cash charges related to our debt. We adjust for amortization of deferred financing costs related to the 2025 Notes only when adjustment for these costs is not required in the </w:t>
      </w:r>
      <w:r>
        <w:rPr>
          <w:rFonts w:ascii="Arial;sans-serif" w:hAnsi="Arial;sans-serif"/>
          <w:b w:val="false"/>
          <w:color w:val="000000"/>
          <w:sz w:val="18"/>
          <w:shd w:fill="FFFFFF" w:val="clear"/>
        </w:rPr>
        <w:t>calculation of diluted earnings per share under U.S. GAAP.</w:t>
      </w:r>
    </w:p>
    <w:p>
      <w:pPr>
        <w:pStyle w:val="TextBody"/>
        <w:bidi w:val="0"/>
        <w:spacing w:lineRule="auto" w:line="288" w:before="0" w:after="20"/>
        <w:ind w:left="0" w:right="0" w:hanging="360"/>
        <w:jc w:val="left"/>
        <w:rPr/>
      </w:pPr>
      <w:r>
        <w:rPr>
          <w:rFonts w:ascii="Arial;sans-serif" w:hAnsi="Arial;sans-serif"/>
          <w:b w:val="false"/>
          <w:color w:val="000000"/>
          <w:sz w:val="18"/>
        </w:rPr>
        <w:t>(g)The adjustments for the derivative fair value (gains) and losses have the effect of adjusting the (gain) or loss for changes in the f</w:t>
      </w:r>
      <w:r>
        <w:rPr>
          <w:rFonts w:ascii="Arial;sans-serif" w:hAnsi="Arial;sans-serif"/>
          <w:b w:val="false"/>
          <w:color w:val="000000"/>
          <w:sz w:val="18"/>
          <w:shd w:fill="FFFFFF" w:val="clear"/>
        </w:rPr>
        <w:t>air value of derivative instruments and amortization of AOCL for derivatives not designated as accounting hedges</w:t>
      </w:r>
      <w:r>
        <w:rPr>
          <w:rFonts w:ascii="Arial;sans-serif" w:hAnsi="Arial;sans-serif"/>
          <w:b w:val="false"/>
          <w:color w:val="000000"/>
          <w:sz w:val="18"/>
        </w:rPr>
        <w:t>. This results in reflecting derivative (gains) and losses within Adjusted Diluted EPS during the period the derivative is settled.</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(h)Costs related to the Company’s ERP and CRM implementations.</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(i)Other adjustments include amounts that management believes are not representative of our operating performance (amounts in brackets represent reductions in Adjusted Operating Income, Adjusted Diluted EPS, Adjusted EBITDA and Adjusted SG&amp;A), which are primarily related to shareholder activism costs of $2.1 million for the nine months ended September 27, 2025, and severance and employee-related costs associated with organizational restructuring of $0.8 million and $2.9 million for the three and nine months ended September 27, 2025, respectively, costs associated with the digitization of paper-based records of $0.6 million for the three and nine months ended September 27, 2025, $1.5 million and $5.7 million for the three and nine months ended September 28, 2024, respectively, costs associated with the store fleet review of $1.1 million for the three and nine months ended September 28, 2024, and other expenses and adjustments. Other adjustments for Adjusted SG&amp;A exclude optometrist-related store optimization costs in 2024.</w:t>
      </w:r>
    </w:p>
    <w:p>
      <w:pPr>
        <w:pStyle w:val="TextBody"/>
        <w:bidi w:val="0"/>
        <w:spacing w:lineRule="auto" w:line="288" w:before="0" w:after="20"/>
        <w:ind w:left="0" w:right="0" w:hanging="360"/>
        <w:jc w:val="left"/>
        <w:rPr>
          <w:rFonts w:ascii="Arial;sans-serif" w:hAnsi="Arial;sans-serif"/>
          <w:b w:val="false"/>
          <w:color w:val="000000"/>
          <w:sz w:val="18"/>
        </w:rPr>
      </w:pPr>
      <w:r>
        <w:rPr>
          <w:rFonts w:ascii="Arial;sans-serif" w:hAnsi="Arial;sans-serif"/>
          <w:b w:val="false"/>
          <w:color w:val="000000"/>
          <w:sz w:val="18"/>
        </w:rPr>
        <w:t>(j)Represents the income tax effect of the total adjustments at our combined statutory federal and state income tax rates, including tax expense (benefit) from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94"/>
        <w:gridCol w:w="580"/>
        <w:gridCol w:w="369"/>
        <w:gridCol w:w="453"/>
        <w:gridCol w:w="422"/>
        <w:gridCol w:w="525"/>
        <w:gridCol w:w="146"/>
        <w:gridCol w:w="146"/>
        <w:gridCol w:w="146"/>
        <w:gridCol w:w="453"/>
        <w:gridCol w:w="422"/>
        <w:gridCol w:w="525"/>
        <w:gridCol w:w="146"/>
        <w:gridCol w:w="146"/>
        <w:gridCol w:w="146"/>
        <w:gridCol w:w="450"/>
        <w:gridCol w:w="419"/>
        <w:gridCol w:w="517"/>
        <w:gridCol w:w="146"/>
        <w:gridCol w:w="146"/>
        <w:gridCol w:w="146"/>
        <w:gridCol w:w="450"/>
        <w:gridCol w:w="419"/>
        <w:gridCol w:w="517"/>
        <w:gridCol w:w="146"/>
        <w:gridCol w:w="146"/>
        <w:gridCol w:w="146"/>
        <w:gridCol w:w="406"/>
        <w:gridCol w:w="294"/>
        <w:gridCol w:w="238"/>
      </w:tblGrid>
      <w:tr>
        <w:trPr/>
        <w:tc>
          <w:tcPr>
            <w:tcW w:w="99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Comparable Store Sales Growth from Continuing Operations to Total Comparable Store Sales Growth from Continuing Operations</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2"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 xml:space="preserve">Comparable store sales growth from continuing operations </w:t>
            </w:r>
            <w:r>
              <w:rPr>
                <w:rFonts w:ascii="Arial;sans-serif" w:hAnsi="Arial;sans-serif"/>
                <w:b w:val="false"/>
                <w:color w:val="000000"/>
                <w:sz w:val="13"/>
              </w:rPr>
              <w:t>(a)</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27, 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September 28, 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27, 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September 28, 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20"/>
              </w:rPr>
              <w:t xml:space="preserve">2025 Outlook </w:t>
            </w:r>
            <w:r>
              <w:rPr>
                <w:rFonts w:ascii="Arial;sans-serif" w:hAnsi="Arial;sans-serif"/>
                <w:b w:val="false"/>
                <w:color w:val="000000"/>
                <w:sz w:val="13"/>
              </w:rPr>
              <w:t>(b)</w:t>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Owned &amp; Host segment</w:t>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 Best</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Eyeglass World</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Military</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Fred Meyer</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comparable store sales growth from continuing operations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5.5% - 6.5%</w:t>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Adjustments for effects of: </w:t>
            </w:r>
            <w:r>
              <w:rPr>
                <w:rFonts w:ascii="Arial;sans-serif" w:hAnsi="Arial;sans-serif"/>
                <w:b w:val="false"/>
                <w:color w:val="000000"/>
                <w:sz w:val="13"/>
              </w:rPr>
              <w:t>(b)</w:t>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Unearned &amp; deferred revenue</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Comparable Store Sales Growth from continuing operations</w:t>
            </w:r>
          </w:p>
        </w:tc>
        <w:tc>
          <w:tcPr>
            <w:tcW w:w="8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 - 6.0%</w:t>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r>
        <w:trPr/>
        <w:tc>
          <w:tcPr>
            <w:tcW w:w="194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left"/>
        <w:rPr>
          <w:rFonts w:ascii="Arial;sans-serif" w:hAnsi="Arial;sans-serif"/>
          <w:b w:val="false"/>
          <w:color w:val="000000"/>
          <w:sz w:val="18"/>
        </w:rPr>
      </w:pPr>
      <w:r>
        <w:rPr>
          <w:rFonts w:ascii="Arial;sans-serif" w:hAnsi="Arial;sans-serif"/>
          <w:b w:val="false"/>
          <w:color w:val="000000"/>
          <w:sz w:val="18"/>
        </w:rPr>
        <w:t>(a) Total comparable store sales from continuing operations is calculated based on consolidated net revenue from continuing operations excluding the impact of (i) other segments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16. “Segment Reporting” in our Annual Report on Form 10-K for the period ended December 28, 2024.</w:t>
      </w:r>
    </w:p>
    <w:p>
      <w:pPr>
        <w:pStyle w:val="TextBody"/>
        <w:bidi w:val="0"/>
        <w:spacing w:lineRule="auto" w:line="288" w:before="0" w:after="120"/>
        <w:ind w:left="0" w:right="0" w:hanging="270"/>
        <w:jc w:val="left"/>
        <w:rPr>
          <w:rFonts w:ascii="Arial;sans-serif" w:hAnsi="Arial;sans-serif"/>
          <w:b w:val="false"/>
          <w:color w:val="000000"/>
          <w:sz w:val="18"/>
        </w:rPr>
      </w:pPr>
      <w:r>
        <w:rPr>
          <w:rFonts w:ascii="Arial;sans-serif" w:hAnsi="Arial;sans-serif"/>
          <w:b w:val="false"/>
          <w:color w:val="000000"/>
          <w:sz w:val="18"/>
        </w:rPr>
        <w:t>(b) Adjusted Comparable Store Sales Growth from continuing operations includes the effect of deferred and unearned revenue as if such revenues were earned at the point of sale, resulting in the changes from total comparable store sales growth from continuing operations based on consolidated net revenue from continuing operations; with respect to the Company’s 2025 Outlook, Adjusted Comparable Store Sales Growth includes an estimated 0.5% decrease for the effect of deferred and unearned revenue as if such revenues were earned at the point of sale.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Investor contact:</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investor.relations@nationalvision.com</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National Vision Holdings,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Tamara Gonzalez</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ICR, Inc.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Caitlin Churchill </w: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media@nationalvision.com</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National Vision Holdings, Inc.</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6955</Words>
  <Characters>40599</Characters>
  <CharactersWithSpaces>46990</CharactersWithSpaces>
  <Paragraphs>1080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